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val="en-US" w:eastAsia="zh-CN"/>
        </w:rPr>
        <w:t>新疆喀什地区塔什库尔干县2020年度部门决算汇总</w:t>
      </w:r>
      <w:r>
        <w:rPr>
          <w:rFonts w:hint="eastAsia" w:ascii="方正小标宋_GBK" w:hAnsi="宋体" w:eastAsia="方正小标宋_GBK"/>
          <w:color w:val="auto"/>
          <w:sz w:val="44"/>
          <w:szCs w:val="44"/>
        </w:rPr>
        <w:t>2020</w:t>
      </w:r>
      <w:r>
        <w:rPr>
          <w:rFonts w:hint="eastAsia" w:ascii="方正小标宋_GBK" w:hAnsi="宋体" w:eastAsia="方正小标宋_GBK"/>
          <w:color w:val="auto"/>
          <w:sz w:val="44"/>
          <w:szCs w:val="44"/>
          <w:highlight w:val="none"/>
        </w:rPr>
        <w:t>年度部门决算公开说明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方正小标宋_GBK" w:hAnsi="宋体" w:eastAsia="方正小标宋_GBK"/>
          <w:color w:val="auto"/>
          <w:sz w:val="44"/>
          <w:szCs w:val="44"/>
          <w:highlight w:val="none"/>
        </w:rPr>
        <w:br w:type="page"/>
      </w: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_Toc32314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_Toc30567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_Toc2151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_Toc29374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第二部分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_Toc25314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_Toc12142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_Toc13201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_Toc26564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_Toc20360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_Toc30870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七</w:t>
      </w:r>
      <w:r>
        <w:rPr>
          <w:rFonts w:hint="eastAsia" w:ascii="仿宋_GB2312" w:hAnsi="仿宋_GB2312" w:eastAsia="仿宋_GB2312" w:cs="仿宋_GB2312"/>
          <w:bCs/>
          <w:kern w:val="0"/>
          <w:sz w:val="32"/>
          <w:szCs w:val="32"/>
          <w:highlight w:val="none"/>
        </w:rPr>
        <w:t>、一般公共预算</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_Toc5810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八、政府性基金预算财政拨款收入支出决算情况说明</w:t>
      </w:r>
      <w:r>
        <w:rPr>
          <w:rFonts w:hint="eastAsia" w:ascii="仿宋_GB2312" w:hAnsi="仿宋_GB2312" w:eastAsia="仿宋_GB2312" w:cs="仿宋_GB2312"/>
          <w:sz w:val="32"/>
          <w:szCs w:val="32"/>
          <w:highlight w:val="none"/>
        </w:rPr>
        <w:fldChar w:fldCharType="end"/>
      </w:r>
    </w:p>
    <w:p>
      <w:pPr>
        <w:rPr>
          <w:rFonts w:hint="eastAsia"/>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_Toc5810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九、国有资本经营预算财政拨款收入支出决算情况说明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_Toc1235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_Toc14519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_Toc8391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_Toc11283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十一、预算绩效的情况说明</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_Toc3250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第三部分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_Toc22784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_Toc2183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_Toc24532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_Toc32434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_Toc28786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_Toc14869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_Toc8884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_Toc29106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七、《一般公共预算财政拨款“三公”经费支出决算表》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kern w:val="0"/>
          <w:sz w:val="32"/>
          <w:szCs w:val="32"/>
          <w:highlight w:val="none"/>
        </w:rPr>
      </w:pPr>
      <w:r>
        <w:rPr>
          <w:rFonts w:hint="eastAsia" w:ascii="仿宋_GB2312" w:hAnsi="仿宋_GB2312" w:eastAsia="仿宋_GB2312" w:cs="仿宋_GB2312"/>
          <w:bCs/>
          <w:kern w:val="0"/>
          <w:sz w:val="32"/>
          <w:szCs w:val="32"/>
          <w:highlight w:val="none"/>
        </w:rPr>
        <w:fldChar w:fldCharType="begin"/>
      </w:r>
      <w:r>
        <w:rPr>
          <w:rFonts w:hint="eastAsia" w:ascii="仿宋_GB2312" w:hAnsi="仿宋_GB2312" w:eastAsia="仿宋_GB2312" w:cs="仿宋_GB2312"/>
          <w:bCs/>
          <w:kern w:val="0"/>
          <w:sz w:val="32"/>
          <w:szCs w:val="32"/>
          <w:highlight w:val="none"/>
        </w:rPr>
        <w:instrText xml:space="preserve"> HYPERLINK \l _Toc7643 </w:instrText>
      </w:r>
      <w:r>
        <w:rPr>
          <w:rFonts w:hint="eastAsia" w:ascii="仿宋_GB2312" w:hAnsi="仿宋_GB2312" w:eastAsia="仿宋_GB2312" w:cs="仿宋_GB2312"/>
          <w:bCs/>
          <w:kern w:val="0"/>
          <w:sz w:val="32"/>
          <w:szCs w:val="32"/>
          <w:highlight w:val="none"/>
        </w:rPr>
        <w:fldChar w:fldCharType="separate"/>
      </w:r>
      <w:r>
        <w:rPr>
          <w:rFonts w:hint="eastAsia" w:ascii="仿宋_GB2312" w:hAnsi="仿宋_GB2312" w:eastAsia="仿宋_GB2312" w:cs="仿宋_GB2312"/>
          <w:bCs/>
          <w:kern w:val="0"/>
          <w:sz w:val="32"/>
          <w:szCs w:val="32"/>
          <w:highlight w:val="none"/>
        </w:rPr>
        <w:t>八、《政府性基金预算财政拨款收入支出决算表》</w:t>
      </w:r>
      <w:r>
        <w:rPr>
          <w:rFonts w:hint="eastAsia" w:ascii="仿宋_GB2312" w:hAnsi="仿宋_GB2312" w:eastAsia="仿宋_GB2312" w:cs="仿宋_GB2312"/>
          <w:bCs/>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kern w:val="0"/>
          <w:sz w:val="32"/>
          <w:szCs w:val="32"/>
          <w:highlight w:val="none"/>
          <w:lang w:eastAsia="zh-CN"/>
        </w:rPr>
      </w:pPr>
      <w:r>
        <w:rPr>
          <w:rFonts w:hint="eastAsia" w:ascii="仿宋_GB2312" w:hAnsi="仿宋_GB2312" w:eastAsia="仿宋_GB2312" w:cs="仿宋_GB2312"/>
          <w:bCs/>
          <w:kern w:val="0"/>
          <w:sz w:val="32"/>
          <w:szCs w:val="32"/>
          <w:highlight w:val="none"/>
          <w:lang w:eastAsia="zh-CN"/>
        </w:rPr>
        <w:t>九、《国有资本经营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bCs/>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sz w:val="32"/>
          <w:szCs w:val="32"/>
          <w:highlight w:val="none"/>
        </w:rPr>
        <w:fldChar w:fldCharType="end"/>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bookmarkStart w:id="0" w:name="_Toc24028"/>
      <w:bookmarkStart w:id="1" w:name="_Toc32314"/>
      <w:r>
        <w:rPr>
          <w:rFonts w:hint="eastAsia" w:ascii="黑体" w:hAnsi="黑体" w:eastAsia="黑体"/>
          <w:color w:val="auto"/>
          <w:sz w:val="32"/>
          <w:szCs w:val="32"/>
          <w:highlight w:val="none"/>
        </w:rPr>
        <w:t>第一部分 部门单位概况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（1）贯彻执行国家财政、税收、国有资产管理的法规、制度和方针政策；贯彻执行并监督实施自治区财政、国有资产、财产评估、财务会计等方面的地方性法规和制度。</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根据全县国民经济和社会发展战略，制定全县财政发展战略和中长期财政规划，参与制定有关综合经济政策；提出运用财税政策实施区域经济调控和综合平衡社会财力的建议；拟定和执行财政与企业的分配政策，对全县社会财力进行综合平衡。</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（3）编制年度全县本级预决算；代编全县预决算草案并组织执行，审查、编制、批复部门预决算，受行署委托向人大工作委员会报告全县预算及其执行情况，向人大工作委员会报告决算和预算变动事项。</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（4）根据预算安排，拟定财政税收收入计划，并组织实施、管理和监督；负责全县税收的征收和管理。会同有关部门审查批准行政事业性收费项目并参与标准的制定。</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5）管理和监督全县本级承担的各项财政收入和财政支出，组织和监督全县财政预算的执行；负责地方财政收入入库解缴，监督地方国库资金的缴拨使用；负责预算外资金的财务管理工作；负责预算外资金收支计划的核定及预算外资金财政专户管理工作。管理农业综合开发项目财务及资金；管理社会保障专项资金、财政扶贫资金、发展资金、棉花基地建设资金；管理全县财政统一发放工资工作。</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（6）承办地委、行署及上级业务部门交办的其它工作。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新疆喀什地区塔什库尔干县2020年度部门决算汇总2020年度，实有人数4394人，其中：在职人员2983人，离休人员0人，退休人员1411人。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纳入新疆喀什地区塔什库尔干县2020年度部门决算汇总2020年度部门决算编制范围的单位名单见下表：</w:t>
      </w:r>
    </w:p>
    <w:tbl>
      <w:tblPr>
        <w:tblStyle w:val="8"/>
        <w:tblW w:w="8424" w:type="dxa"/>
        <w:tblInd w:w="98" w:type="dxa"/>
        <w:shd w:val="clear" w:color="auto" w:fill="auto"/>
        <w:tblLayout w:type="fixed"/>
        <w:tblCellMar>
          <w:top w:w="0" w:type="dxa"/>
          <w:left w:w="108" w:type="dxa"/>
          <w:bottom w:w="0" w:type="dxa"/>
          <w:right w:w="108" w:type="dxa"/>
        </w:tblCellMar>
      </w:tblPr>
      <w:tblGrid>
        <w:gridCol w:w="774"/>
        <w:gridCol w:w="4961"/>
        <w:gridCol w:w="2689"/>
      </w:tblGrid>
      <w:tr>
        <w:tblPrEx>
          <w:shd w:val="clear" w:color="auto" w:fill="auto"/>
          <w:tblCellMar>
            <w:top w:w="0" w:type="dxa"/>
            <w:left w:w="108" w:type="dxa"/>
            <w:bottom w:w="0" w:type="dxa"/>
            <w:right w:w="108" w:type="dxa"/>
          </w:tblCellMar>
        </w:tblPrEx>
        <w:trPr>
          <w:trHeight w:val="280"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bookmarkStart w:id="6" w:name="_Toc29374"/>
            <w:bookmarkStart w:id="7" w:name="_Toc3092"/>
            <w:r>
              <w:rPr>
                <w:rFonts w:hint="eastAsia" w:ascii="宋体" w:hAnsi="宋体" w:eastAsia="宋体" w:cs="宋体"/>
                <w:i w:val="0"/>
                <w:iCs w:val="0"/>
                <w:color w:val="000000"/>
                <w:kern w:val="0"/>
                <w:sz w:val="22"/>
                <w:szCs w:val="22"/>
                <w:u w:val="none"/>
                <w:lang w:val="en-US" w:eastAsia="zh-CN" w:bidi="ar"/>
              </w:rPr>
              <w:t>序号</w:t>
            </w:r>
          </w:p>
        </w:tc>
        <w:tc>
          <w:tcPr>
            <w:tcW w:w="49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单位名称</w:t>
            </w:r>
          </w:p>
        </w:tc>
        <w:tc>
          <w:tcPr>
            <w:tcW w:w="2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单位性质</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新疆喀什地区塔什库尔干县塔什库尔干镇人民政府</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新疆喀什地区塔什库尔干县阿巴提镇人民政府</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新疆喀什地区塔什库尔干县塔什库尔干乡人民政府</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新疆喀什地区塔什库尔干县达布达尔乡人民政府</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新疆喀什地区塔什库尔干县提孜那甫乡人民政府</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新疆喀什地区塔什库尔干县塔合曼乡人民政府</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7</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新疆喀什地区塔什库尔干县科克亚尔柯尔克孜民族乡人民政府</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新疆喀什地区塔什库尔干县班迪尔乡人民政府</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9</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新疆喀什地区塔什库尔干县瓦恰乡人民政府</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10</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新疆喀什地区塔什库尔干县马尔洋乡人民政府</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11</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新疆喀什地区塔什库尔干县库科西力克乡人民政府</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12</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新疆喀什地区塔什库尔干县大同乡人民政府</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新疆喀什地区塔什库尔干县机构编制委员会办公室</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14</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新疆喀什地区塔什库尔干塔吉克自治县技工学校</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财政补助事业单位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15</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新疆喀什地区塔什库尔干县委办公室</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16</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新疆喀什地区塔什库尔干县委组织部</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17</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新疆喀什地区塔什库尔干县妇女联合委员会</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18</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新疆喀什地区塔什库尔干县委员会宣传部</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19</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新疆喀什地区塔什库尔干县纪律检查委员会</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20</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新疆喀什地区塔什库尔干县委统战部</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21</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新疆喀什地区塔什库尔干县政法委员会</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22</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新疆喀什地区塔什库尔干县档案史志馆</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参照公务员法管理事业单位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23</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新疆喀什地区中国共产主义青年团塔什库尔干县委员会</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24</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新疆喀什地区塔什库尔干县总工会</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25</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新疆喀什地区塔什库尔干县委员会巡察工作领导小组办公室</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26</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新疆喀什地区塔什库尔干县人民政府办公室</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27</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新疆喀什地区塔什库尔干县审计局</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28</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新疆喀什地区塔什库尔干县统计局</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29</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新疆喀什地区塔什库尔干县人民政府驻喀什办事处</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财政补助事业单位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30</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新疆喀什地区塔什库尔干县人民代表大会常务委员会办公室</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31</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新疆喀什地区中国人民政治协商会议塔什库尔干县委员会</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32</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新疆喀什地区塔什库尔干县公安局</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33</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新疆喀什地区塔什库尔干县人民检察院</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34</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新疆喀什地区塔什库尔干县人民法院</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35</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新疆喀什地区塔什库尔干县司法局</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36</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新疆喀什地区塔什库尔干县财政局</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37</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新疆喀什地区塔什库尔干县财政国库集中支付中心</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参照公务员法管理事业单位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38</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新疆喀什地区塔什库尔干县乡镇财政管理局</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财政补助事业单位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39</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新疆喀什地区塔什库尔干县市场监督管理局</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40</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新疆喀什地区塔什库尔干县人民政府外事办公室</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41</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新疆喀什地区塔什库尔干县地震台</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参照公务员法管理事业单位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42</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新疆喀什地区塔什库尔干县应急管理局</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43</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新疆喀什地区塔什库尔干县人民武装部</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财政补助事业单位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44</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新疆喀什地区塔什库尔干县农业农村局</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45</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新疆喀什地区塔什库尔干县畜牧兽医局</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46</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新疆喀什地区塔什库尔干县畜牧兽医站</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财政补助事业单位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47</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新疆喀什地区塔什库尔干县草原站</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财政补助事业单位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48</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新疆喀什地区塔什库尔干县动物卫生监督所</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参照公务员法管理事业单位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49</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新疆喀什地区塔什库尔干县中学</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财政补助事业单位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50</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新疆喀什地区塔什库尔干县城乡寄宿制小学</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财政补助事业单位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51</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新疆喀什地区塔什库尔干县中心双语幼儿园</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财政补助事业单位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52</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新疆喀什地区塔什库尔干县塔什库尔干乡小学</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财政补助事业单位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53</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新疆喀什地区塔什库尔干县提孜那甫乡小学</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财政补助事业单位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54</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新疆喀什地区塔什库尔干县塔合曼乡小学</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财政补助事业单位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55</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新疆喀什地区塔什库尔干县柯克亚乡小学</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财政补助事业单位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56</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新疆喀什地区塔什库尔干县班迪尔乡小学</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财政补助事业单位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57</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新疆喀什地区塔什库尔干县瓦恰乡小学</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财政补助事业单位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58</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新疆喀什地区塔什库尔干县大同乡小学</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财政补助事业单位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59</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新疆喀什地区塔什库尔干县阿巴提镇学校</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财政补助事业单位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60</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新疆喀什地区塔什库尔干县达布达尔乡小学</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财政补助事业单位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61</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新疆喀什地区塔什库尔干县马尔洋乡小学</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财政补助事业单位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62</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新疆喀什地区塔什库尔干县库克西力克乡小学</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财政补助事业单位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63</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新疆喀什地区塔什库尔干县广播电视台</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财政补助事业单位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64</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新疆喀什地区塔什库尔干县文工团</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财政补助事业单位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65</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新疆喀什地区塔什库尔干县文化馆</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财政补助事业单位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66</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新疆喀什地区塔什库尔干县文化体育广播电视和旅游局</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67</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新疆中共塔什库尔干塔吉克自治县委员会党校</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参照公务员法管理事业单位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68</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新疆喀什地区塔什库尔干县教育和科学技术局</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69</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新疆喀什地区塔什库尔干县发展和改革委员会</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70</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新疆喀什地区塔什库尔干县扶贫开发办公室</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71</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新疆喀什地区塔什库尔干县自然资源局</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72</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新疆喀什地区塔什库尔干县交通运输局</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73</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新疆喀什地区塔什库尔干县住房和城乡建设局</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74</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新疆喀什地区塔什库尔干县环境保护局</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75</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新疆喀什地区塔什库尔干县供销合作社联合社</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财政补助事业单位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76</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新疆喀什地区塔什库尔干县驻喀什干休所</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参照公务员法管理事业单位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77</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新疆喀什地区塔什库尔干县人力资源和社会保障局</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78</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新疆喀什地区塔什库尔干县社会保险管理局</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参照公务员法管理事业单位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79</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新疆喀什地区塔什库尔干县卫生健康委员会</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80</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新疆喀什地区塔什库尔干县疾病预防控制中心</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财政补助事业单位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81</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新疆喀什地区塔什库尔干县民政局</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82</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新疆喀什地区塔什库尔干县妇幼保健站</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财政补助事业单位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83</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新疆喀什地区塔什库尔干县人民医院</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财政补助事业单位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84</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新疆喀什地区塔什库尔干县残疾人联合会</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参照公务员法管理事业单位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85</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新疆喀什地区塔什库尔干县退役军人事务局</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行政单位</w:t>
            </w:r>
          </w:p>
        </w:tc>
      </w:tr>
      <w:tr>
        <w:tblPrEx>
          <w:tblCellMar>
            <w:top w:w="0" w:type="dxa"/>
            <w:left w:w="108" w:type="dxa"/>
            <w:bottom w:w="0" w:type="dxa"/>
            <w:right w:w="108" w:type="dxa"/>
          </w:tblCellMar>
        </w:tblPrEx>
        <w:trPr>
          <w:trHeight w:val="308" w:hRule="atLeast"/>
        </w:trPr>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86</w:t>
            </w:r>
          </w:p>
        </w:tc>
        <w:tc>
          <w:tcPr>
            <w:tcW w:w="49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新疆喀什地区塔什库尔干县医疗保障局</w:t>
            </w:r>
          </w:p>
        </w:tc>
        <w:tc>
          <w:tcPr>
            <w:tcW w:w="2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行政单位</w:t>
            </w:r>
          </w:p>
        </w:tc>
      </w:tr>
    </w:tbl>
    <w:p>
      <w:pPr>
        <w:keepNext w:val="0"/>
        <w:keepLines w:val="0"/>
        <w:pageBreakBefore w:val="0"/>
        <w:widowControl w:val="0"/>
        <w:kinsoku/>
        <w:wordWrap/>
        <w:overflowPunct/>
        <w:topLinePunct w:val="0"/>
        <w:bidi w:val="0"/>
        <w:adjustRightInd/>
        <w:snapToGrid/>
        <w:spacing w:line="240" w:lineRule="auto"/>
        <w:jc w:val="both"/>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br w:type="page"/>
      </w:r>
    </w:p>
    <w:p>
      <w:pPr>
        <w:keepNext w:val="0"/>
        <w:keepLines w:val="0"/>
        <w:pageBreakBefore w:val="0"/>
        <w:widowControl w:val="0"/>
        <w:kinsoku/>
        <w:wordWrap/>
        <w:overflowPunct/>
        <w:topLinePunct w:val="0"/>
        <w:autoSpaceDE/>
        <w:autoSpaceDN/>
        <w:bidi w:val="0"/>
        <w:adjustRightInd/>
        <w:snapToGrid/>
        <w:spacing w:line="240" w:lineRule="auto"/>
        <w:ind w:left="1680" w:leftChars="0" w:firstLine="420" w:firstLineChars="0"/>
        <w:jc w:val="both"/>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第二部分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b w:val="0"/>
          <w:bCs w:val="0"/>
          <w:color w:val="auto"/>
          <w:sz w:val="32"/>
          <w:szCs w:val="32"/>
          <w:highlight w:val="none"/>
          <w:lang w:eastAsia="zh-CN"/>
        </w:rPr>
      </w:pPr>
      <w:r>
        <w:rPr>
          <w:rFonts w:hint="eastAsia" w:ascii="仿宋_GB2312" w:eastAsia="仿宋_GB2312"/>
          <w:b w:val="0"/>
          <w:bCs w:val="0"/>
          <w:color w:val="auto"/>
          <w:spacing w:val="0"/>
          <w:sz w:val="32"/>
          <w:szCs w:val="32"/>
          <w:highlight w:val="none"/>
          <w:lang w:val="en-US" w:eastAsia="zh-CN"/>
        </w:rPr>
        <w:t>2020年度本年收入276,688.84万元，与上年相比，增加44,308.06万元，增长19.07%</w:t>
      </w:r>
      <w:r>
        <w:rPr>
          <w:rFonts w:hint="eastAsia" w:ascii="仿宋_GB2312" w:eastAsia="仿宋_GB2312"/>
          <w:b w:val="0"/>
          <w:bCs w:val="0"/>
          <w:color w:val="auto"/>
          <w:sz w:val="32"/>
          <w:szCs w:val="32"/>
          <w:highlight w:val="none"/>
          <w:lang w:eastAsia="zh-CN"/>
        </w:rPr>
        <w:t>，主要原因是</w:t>
      </w:r>
      <w:r>
        <w:rPr>
          <w:rFonts w:hint="eastAsia" w:ascii="仿宋_GB2312" w:eastAsia="仿宋_GB2312"/>
          <w:b w:val="0"/>
          <w:bCs w:val="0"/>
          <w:color w:val="auto"/>
          <w:sz w:val="32"/>
          <w:szCs w:val="32"/>
          <w:highlight w:val="none"/>
        </w:rPr>
        <w:t>：</w:t>
      </w:r>
      <w:r>
        <w:rPr>
          <w:rFonts w:hint="eastAsia" w:ascii="仿宋_GB2312" w:eastAsia="仿宋_GB2312"/>
          <w:b w:val="0"/>
          <w:bCs w:val="0"/>
          <w:color w:val="auto"/>
          <w:sz w:val="32"/>
          <w:szCs w:val="32"/>
          <w:highlight w:val="none"/>
          <w:lang w:val="en-US" w:eastAsia="zh-CN"/>
        </w:rPr>
        <w:t>一是增加疫情防控等专项项目资金投入；二是增加机场建设项目投入资金5.19亿元；三是人员增加导致人员工资及社保经费增加</w:t>
      </w:r>
      <w:r>
        <w:rPr>
          <w:rFonts w:hint="eastAsia" w:ascii="仿宋_GB2312" w:eastAsia="仿宋_GB2312"/>
          <w:b w:val="0"/>
          <w:bCs w:val="0"/>
          <w:color w:val="auto"/>
          <w:sz w:val="32"/>
          <w:szCs w:val="32"/>
          <w:highlight w:val="none"/>
          <w:lang w:eastAsia="zh-CN"/>
        </w:rPr>
        <w:t>。</w:t>
      </w:r>
      <w:r>
        <w:rPr>
          <w:rFonts w:hint="eastAsia" w:ascii="仿宋_GB2312" w:eastAsia="仿宋_GB2312"/>
          <w:b w:val="0"/>
          <w:bCs w:val="0"/>
          <w:color w:val="auto"/>
          <w:sz w:val="32"/>
          <w:szCs w:val="32"/>
          <w:highlight w:val="none"/>
          <w:lang w:val="en-US" w:eastAsia="zh-CN"/>
        </w:rPr>
        <w:t>本年支出276,688.84万元，与上年相比，增加44,308.06万元，增长19.07%</w:t>
      </w:r>
      <w:r>
        <w:rPr>
          <w:rFonts w:hint="eastAsia" w:ascii="仿宋_GB2312" w:eastAsia="仿宋_GB2312"/>
          <w:b w:val="0"/>
          <w:bCs w:val="0"/>
          <w:color w:val="auto"/>
          <w:sz w:val="32"/>
          <w:szCs w:val="32"/>
          <w:highlight w:val="none"/>
          <w:lang w:eastAsia="zh-CN"/>
        </w:rPr>
        <w:t>，主要原因是</w:t>
      </w:r>
      <w:r>
        <w:rPr>
          <w:rFonts w:hint="eastAsia" w:ascii="仿宋_GB2312" w:eastAsia="仿宋_GB2312"/>
          <w:b w:val="0"/>
          <w:bCs w:val="0"/>
          <w:color w:val="auto"/>
          <w:sz w:val="32"/>
          <w:szCs w:val="32"/>
          <w:highlight w:val="none"/>
        </w:rPr>
        <w:t>：</w:t>
      </w:r>
      <w:r>
        <w:rPr>
          <w:rFonts w:hint="eastAsia" w:ascii="仿宋_GB2312" w:eastAsia="仿宋_GB2312"/>
          <w:b w:val="0"/>
          <w:bCs w:val="0"/>
          <w:color w:val="auto"/>
          <w:sz w:val="32"/>
          <w:szCs w:val="32"/>
          <w:highlight w:val="none"/>
          <w:lang w:val="en-US" w:eastAsia="zh-CN"/>
        </w:rPr>
        <w:t>一是增加疫情防控等专项经费投入；二是增加机场建设项目投入资金5.19亿元；三是人员增加导致人员工资及社保经费增加</w:t>
      </w:r>
      <w:r>
        <w:rPr>
          <w:rFonts w:hint="eastAsia" w:ascii="仿宋_GB2312" w:eastAsia="仿宋_GB2312"/>
          <w:b w:val="0"/>
          <w:bCs w:val="0"/>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pacing w:val="0"/>
          <w:sz w:val="32"/>
          <w:szCs w:val="32"/>
          <w:highlight w:val="none"/>
          <w:lang w:val="en-US" w:eastAsia="zh-CN"/>
        </w:rPr>
        <w:t>2020年度本年收入276,688.84万元，其中：财政拨款收入274,390.62万元，占99.17%；上级补助收入0.00万元，占0.00%；事业收入2,298.22万元，占0.83%；经营收入0.00万元，占0.00%；附属单位上缴收入0.00万元，占0.00%；其他收入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color w:val="auto"/>
          <w:sz w:val="32"/>
          <w:szCs w:val="32"/>
          <w:highlight w:val="none"/>
          <w:lang w:eastAsia="zh-CN"/>
        </w:rPr>
      </w:pPr>
      <w:r>
        <w:rPr>
          <w:rFonts w:hint="eastAsia" w:ascii="仿宋_GB2312" w:eastAsia="仿宋_GB2312"/>
          <w:color w:val="auto"/>
          <w:spacing w:val="0"/>
          <w:sz w:val="32"/>
          <w:szCs w:val="32"/>
          <w:highlight w:val="none"/>
          <w:lang w:val="en-US" w:eastAsia="zh-CN"/>
        </w:rPr>
        <w:t>2020年度本年支出276,688.84万元，其中：基本支出64,094.84万元，占23.16%；项目支出212,594.00万元，占76.84%；上缴上级支出0.00万元，占0.00%；经营支出0.00万元，占0.00%；对附属单位补助支出0.00万元，占0.00%。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pacing w:val="0"/>
          <w:sz w:val="32"/>
          <w:szCs w:val="32"/>
          <w:highlight w:val="none"/>
          <w:lang w:val="en-US" w:eastAsia="zh-CN"/>
        </w:rPr>
        <w:t>2020年度财政拨款收入274,390.62万元，与上年相比，增加44,343.17万元，增长19.28%</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rPr>
        <w:t>：</w:t>
      </w:r>
      <w:r>
        <w:rPr>
          <w:rFonts w:hint="eastAsia" w:ascii="仿宋_GB2312" w:eastAsia="仿宋_GB2312"/>
          <w:b w:val="0"/>
          <w:bCs w:val="0"/>
          <w:color w:val="auto"/>
          <w:sz w:val="32"/>
          <w:szCs w:val="32"/>
          <w:highlight w:val="none"/>
          <w:lang w:val="en-US" w:eastAsia="zh-CN"/>
        </w:rPr>
        <w:t>一是增加疫情防控等专项项目资金投入；二是增加机场建设项目投入资金5.19亿元；三是人员增加导致人员工资及社保经费增加</w:t>
      </w:r>
      <w:r>
        <w:rPr>
          <w:rFonts w:hint="eastAsia" w:ascii="仿宋_GB2312" w:eastAsia="仿宋_GB2312"/>
          <w:b w:val="0"/>
          <w:bCs w:val="0"/>
          <w:color w:val="auto"/>
          <w:sz w:val="32"/>
          <w:szCs w:val="32"/>
          <w:highlight w:val="none"/>
          <w:lang w:eastAsia="zh-CN"/>
        </w:rPr>
        <w:t>。</w:t>
      </w:r>
      <w:r>
        <w:rPr>
          <w:rFonts w:hint="eastAsia" w:ascii="仿宋_GB2312" w:eastAsia="仿宋_GB2312"/>
          <w:color w:val="auto"/>
          <w:sz w:val="32"/>
          <w:szCs w:val="32"/>
          <w:highlight w:val="none"/>
          <w:lang w:val="en-US" w:eastAsia="zh-CN"/>
        </w:rPr>
        <w:t>财政拨款支出274,390.62万元，与上年相比，增加44,343.17万元，增长19.28%</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rPr>
        <w:t>：</w:t>
      </w:r>
      <w:r>
        <w:rPr>
          <w:rFonts w:hint="eastAsia" w:ascii="仿宋_GB2312" w:eastAsia="仿宋_GB2312"/>
          <w:b w:val="0"/>
          <w:bCs w:val="0"/>
          <w:color w:val="auto"/>
          <w:sz w:val="32"/>
          <w:szCs w:val="32"/>
          <w:highlight w:val="none"/>
          <w:lang w:val="en-US" w:eastAsia="zh-CN"/>
        </w:rPr>
        <w:t>一是增加疫情防控等专项项目资金投入；二是增加机场建设项目投入资金5.19亿元；三是人员增加导致人员工资及社保经费增加</w:t>
      </w:r>
      <w:r>
        <w:rPr>
          <w:rFonts w:hint="eastAsia" w:ascii="仿宋_GB2312" w:eastAsia="仿宋_GB2312"/>
          <w:b w:val="0"/>
          <w:bCs w:val="0"/>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与年初预算数相比情况：财政拨款收入年初预算数152,175.19万元，决算数274,390.62万元，预决算差异率80.31%</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部门决算中年初预算只反映本级财力安排的财政拨款收入、事业收入及自治区预告并且预算单位项目明确项目资金，自治区预告且项目资金未明确预算单位和大量的转移支付财政拨款收入、上级补助收入在年度执行过程中，由有关部门逐步下达的专项资金和追加预算资金未列入年初预算中，致使造成年未预算实际执行结果与年初预算偏差较大</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财政拨款支出年初预算数152,175.19万元，决算数274,390.62万元，预决算差异率80.31%</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部门决算中年初预算只反映本级财力安排的财政拨款收入、事业收入及自治区预告并且预算单位项目明确项目资金，自治区预告且项目资金未明确预算单位和大量的转移支付财政拨款收入、上级补助收入在年度执行过程中，由有关部门逐步下达的专项资金和追加预算资金未列入年初预算中，致使造成年未预算实际执行结果与年初预算偏差较大</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val="en-US" w:eastAsia="zh-CN"/>
        </w:rPr>
        <w:t>2020年度一般公共预算财政拨款支出260,314.00万元。按功能分类科目项级科目公开，其中：</w:t>
      </w:r>
    </w:p>
    <w:p>
      <w:pPr>
        <w:keepNext w:val="0"/>
        <w:keepLines w:val="0"/>
        <w:pageBreakBefore w:val="0"/>
        <w:widowControl w:val="0"/>
        <w:kinsoku/>
        <w:wordWrap/>
        <w:overflowPunct/>
        <w:topLinePunct w:val="0"/>
        <w:bidi w:val="0"/>
        <w:adjustRightInd/>
        <w:snapToGrid/>
        <w:spacing w:line="240" w:lineRule="auto"/>
        <w:textAlignment w:val="auto"/>
        <w:rPr>
          <w:rFonts w:hint="default" w:ascii="仿宋_GB2312" w:eastAsia="仿宋_GB2312"/>
          <w:b/>
          <w:bCs/>
          <w:color w:val="auto"/>
          <w:sz w:val="32"/>
          <w:szCs w:val="32"/>
          <w:highlight w:val="none"/>
          <w:lang w:val="en-US" w:eastAsia="zh-CN"/>
        </w:rPr>
      </w:pPr>
      <w:r>
        <w:rPr>
          <w:rFonts w:hint="eastAsia" w:ascii="仿宋_GB2312" w:eastAsia="仿宋_GB2312"/>
          <w:color w:val="auto"/>
          <w:sz w:val="32"/>
          <w:szCs w:val="32"/>
          <w:highlight w:val="none"/>
          <w:lang w:val="en-US" w:eastAsia="zh-CN"/>
        </w:rPr>
        <w:t xml:space="preserve">    2010101 行政运行382.75万元;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2010102 一般行政管理事务25.76万元;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2010104 人大会议15.01万元;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2010199 其他人大事务支出19.34万元;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2010201 行政运行300.69万元;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2010202 一般行政管理事务2.87万元;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2010204 政协会议12.11万元;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2010299 其他政协事务支出5.00万元;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2010301 行政运行11,658.14万元;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2010302 一般行政管理事务25.69万元;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2010308 信访事务14.77万元;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2010399 其他政府办公厅（室）及相关机构事务支出99.67万元;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2010401 行政运行273.39万元;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2010501 行政运行19.40万元;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2010507 专项普查活动20.20万元;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2010550 事业运行26.33万元;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2010601 行政运行382.46万元;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2010650 事业运行364.47万元;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2010701 行政运行36.00万元;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2010801 行政运行77.26万元;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2010850 事业运行77.30万元;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2011001 行政运行285.36万元;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2011050 事业运行850.94万元;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2011099 其他人力资源事务支出60.77万元;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2011101 行政运行1,187.44万元;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2011199 其他纪检监察事务支出15.67万元;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2011301 行政运行37.81万元;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2011399 其他商贸事务支出400.00万元;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2012601 行政运行122.63万元;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2012901 行政运行107.81万元;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2012999 其他群众团体事务支出1.00万元;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2013101 行政运行939.96万元;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2013102 一般行政管理事务1.40万元;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2013199 其他党委办公厅（室）及相关机构事务支出4.20万元;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2013201 行政运行362.40万元;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2013299 其他组织事务支出3,823.41万元;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2013301 行政运行295.22万元;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2013399 其他宣传事务支出5.30万元;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2013401 行政运行171.13万元;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2013499 其他统战事务支出142.94万元;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2013801 行政运行210.56万元;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2013804 市场主体管理1.00万元;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2013810 质量基础0.36万元;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2013850 事业运行29.38万元;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2019999 其他一般公共服务支出78.21万元;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2030608 边海防1,179.72万元;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2039901 其他国防支出70.00万元;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2040201 行政运行3,768.00万元;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2040299 其他公安支出713.58万元;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2040401 行政运行307.44万元;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2040499 其他检察支出109.57万元;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2040501 行政运行616.45万元;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2040599 其他法院支出240.59万元;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2040601 行政运行342.32万元;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2040605 普法宣传7.20万元;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2040699 其他司法支出67.70万元;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2049901 其他公共安全支出7,234.09万元;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2050101 行政运行427.92万元;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2050201 学前教育3,011.88万元;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2050202 小学教育10,474.12万元;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2050203 初中教育4,704.17万元;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2050204 高中教育379.04万元;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2050299 其他普通教育支出2,458.03万元;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2050302 中等职业教育272.12万元;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2050801 教师进修178.69万元;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2050802 干部教育258.98万元;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2050902 农村中小学教学设施145.47万元;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2050904 城市中小学教学设施119.98万元;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2050905 中等职业学校教学设施55.03万元;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2060404 科技成果转化与扩散6.99万元;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2060599 其他科技条件与服务支出13.35万元;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2060799 其他科学技术普及支出6.22万元;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2070101 行政运行450.93万元;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2070107 艺术表演团体1,082.90万元;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2070109 群众文化658.89万元;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2070111 文化创作与保护37.36万元;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2070199 其他文化和旅游支出2,085.59万元;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2070204 文物保护24.00万元;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2070205 博物馆27.00万元;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2070607 电影500.00万元;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2070899 其他广播电视支出464.67万元;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2079999 其他文化旅游体育与传媒支出103.31万元;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2080101 行政运行123.66万元;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2080109 社会保险经办机构4.80万元;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2080201 行政运行285.26万元;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2080299 其他民政管理事务支出27.50万元;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2080503 离退休人员管理机构115.78万元;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2080505 机关事业单位基本养老保险缴费支出5,899.71万元;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2080506 机关事业单位职业年金缴费支出402.46万元;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2080699 其他企业改革发展补助1.15万元;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2080705 公益性岗位补贴70.08万元;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2080799 其他就业补助支出1,473.20万元;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2080802 伤残抚恤102.08万元;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2080901 退役士兵安置98.20万元;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2080902 军队移交政府的离退休人员安置3.00万元;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2080905 军队转业干部安置1,220.15万元;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2080999 其他退役安置支出931.76万元;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2081002 老年福利0.75万元;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2081005 社会福利事业单位38.26万元;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2081101 行政运行35.57万元;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2081104 残疾人康复1,011.40万元;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2081105 残疾人就业和扶贫12.95万元;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2081199 其他残疾人事业支出2.41万元;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2081901 城市最低生活保障金支出710.00万元;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2081902 农村最低生活保障金支出946.66万元;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2082001 临时救助支出1,468.33万元;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2082101 城市特困人员救助供养支出0.96万元;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2082102 农村特困人员救助供养支出22.05万元;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2082501 其他城市生活救助115.87万元;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2082502 其他农村生活救助1,004.10万元;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2082801 行政运行48.82万元;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2082850 事业运行39.86万元;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2082899 其他退役军人事务管理支出33.00万元;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2089901 其他社会保障和就业支出318.19万元;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2100101 行政运行574.27万元;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2100199 其他卫生健康管理事务支出25.83万元;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2100201 综合医院1,323.40万元;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2100299 其他公立医院支出237.71万元;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2100302 乡镇卫生院3,684.89万元;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2100399 其他基层医疗卫生机构支出410.96万元;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2100401 疾病预防控制机构3,049.00万元;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2100403 妇幼保健机构64.57万元;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2100408 基本公共卫生服务305.09万元;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2100409 重大公共卫生服务246.86万元;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2100410 突发公共卫生事件应急处理7,182.90万元;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2100499 其他公共卫生支出363.44万元;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2100601 中医（民族医）药专项174.75万元;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2100717 计划生育服务76.97万元;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2100799 其他计划生育事务支出357.44万元;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2101301 城乡医疗救助527.91万元;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2101501 行政运行68.62万元;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2101506 医疗保障经办事务1.00万元;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2101550 事业运行121.39万元;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2101599 其他医疗保障管理事务支出7.12万元;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2109901 其他卫生健康支出1,099.68万元;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2110101 行政运行83.94万元;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2110302 水体2,878.72万元;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2110304 固体废弃物与化学品316.23万元;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2110401 生态保护232.92万元;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2110499 其他自然生态保护支出72.50万元;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2110699 其他退耕还林还草支出189.58万元;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2111407 能源行业管理88.43万元;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2120101 行政运行366.97万元;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2120104 城管执法585.64万元;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2120303 小城镇基础设施建设2,693.62万元;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2130101 行政运行476.92万元;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2130104 事业运行2,446.22万元;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2130106 科技转化与推广服务3.00万元;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2130108 病虫害控制514.35万元;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2130109 农产品质量安全18.72万元;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2130119 防灾救灾22.74万元;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2130122 农业生产发展1,093.54万元;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2130135 农业资源保护修复与利用5,831.13万元;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2130199 其他农业农村支出232.09万元;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2130205 森林资源培育49.67万元;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2130206 技术推广与转化11.64万元;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2130209 森林生态效益补偿128.66万元;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2130234 林业草原防灾减灾1.00万元;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2130236 草原管理113.00万元;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2130399 其他水利支出23.55万元;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2130501 行政运行694.19万元;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2130504 农村基础设施建设17,573.26万元;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2130505 生产发展25,372.10万元;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2130599 其他扶贫支出3,625.77万元;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2130701 对村级一事一议的补助22.61万元;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2130706 对村集体经济组织的补助97.30万元;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2130803 农业保险保费补贴146.70万元;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2130899 其他普惠金融发展支出1,001.11万元;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2139999 其他农林水支出3,361.24万元;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2140101 行政运行97.37万元;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2140106 公路养护116.25万元;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2140304 机场建设51,900.00万元;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2140402 对农村道路客运的补贴154.29万元;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2140599 其他邮政业支出1.08万元;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2140601 车辆购置税用于公路等基础设施建设支出3,333.92万元;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2150899 其他支持中小企业发展和管理支出100.00万元;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2160250 事业运行161.03万元;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2160299 其他商业流通事务支出0.06万元;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2160699 其他涉外发展服务支出40.00万元;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2170302 利息费用补贴支出22.56万元;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2200101 行政运行342.51万元;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2200113 地质矿产资源与环境调查108.00万元;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2200150 事业运行153.55万元;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2200199 其他自然资源事务支出34.74万元;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2210103 棚户区改造289.22万元;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2210201 住房公积金2,553.83万元;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2220511 应急物资储备58.00万元;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2240101 行政运行154.45万元;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2240501 行政运行70.78万元;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2240601 地质灾害防治109.00万元;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2249900 其他灾害防治及应急管理支出536.00万元;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2299901 其他支出27,559.75万元</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8" w:name="_Toc30870"/>
      <w:bookmarkStart w:id="19" w:name="_Toc11146"/>
      <w:r>
        <w:rPr>
          <w:rFonts w:hint="eastAsia" w:ascii="黑体" w:hAnsi="黑体" w:eastAsia="黑体" w:cs="宋体"/>
          <w:bCs/>
          <w:color w:val="auto"/>
          <w:kern w:val="0"/>
          <w:sz w:val="32"/>
          <w:szCs w:val="32"/>
          <w:highlight w:val="none"/>
          <w:lang w:eastAsia="zh-CN"/>
        </w:rPr>
        <w:t>六、一般公共预算财政拨款基本支出决算情况说明</w:t>
      </w:r>
      <w:bookmarkEnd w:id="18"/>
      <w:bookmarkEnd w:id="19"/>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2020年度一般公共预算财政拨款基本支出61,796.62万元，其中：</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人员经费59,448.76万元，包括：基本工资、津贴补贴、奖金、绩效工资、机关事业单位基本养老保险缴费、职业年金缴费、职工基本医疗保险缴费、公务员医疗补助缴费、其他社会保障缴费、住房公积金、其他工资福利支出、离休费、退休费、抚恤金、生活补助、医疗费补助、个人农业生产补贴、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val="en-US" w:eastAsia="zh-CN"/>
        </w:rPr>
        <w:t>公用经费2,347.86万元，包括：电费、办公费、印刷费、咨询费、手续费、水费、邮电费、取暖费、差旅费、维修（护）费、租赁费、会议费、培训费、专用材料费、劳务费、委托业务费、公务用车运行维护费、其他交通费用、其他商品和服务支出、办公设备购置、信息网络及软件购置更新、公务用车购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20" w:name="_Toc21518"/>
      <w:bookmarkStart w:id="21" w:name="_Toc7190"/>
      <w:r>
        <w:rPr>
          <w:rFonts w:hint="eastAsia" w:ascii="黑体" w:hAnsi="黑体" w:eastAsia="黑体" w:cs="宋体"/>
          <w:bCs/>
          <w:color w:val="auto"/>
          <w:kern w:val="0"/>
          <w:sz w:val="32"/>
          <w:szCs w:val="32"/>
          <w:highlight w:val="none"/>
          <w:lang w:eastAsia="zh-CN"/>
        </w:rPr>
        <w:t>七</w:t>
      </w:r>
      <w:r>
        <w:rPr>
          <w:rFonts w:hint="eastAsia" w:ascii="黑体" w:hAnsi="黑体" w:eastAsia="黑体" w:cs="宋体"/>
          <w:bCs/>
          <w:color w:val="auto"/>
          <w:kern w:val="0"/>
          <w:sz w:val="32"/>
          <w:szCs w:val="32"/>
          <w:highlight w:val="none"/>
        </w:rPr>
        <w:t>、一般公共预算</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val="en-US" w:eastAsia="zh-CN"/>
        </w:rPr>
        <w:t>2020年度一般公共预算“三公”经费支出决算415.21万元，比上年增加84.41万元，增长25.52%</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县委办，人大，检察院因开展工作需要购买公务用车</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其中，因公出国（境）费支出0.00万元，占0.00%，比上年增加0.00万元，增长0.00%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因疫情影响，今年无公出国（境）费支出</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公务用车购置及运行维护费支出415.21万元，占100%，比上年增加84.41万元，增长25.52%</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县委办，人大，检察院因开展工作需要购买公务用车</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公务接待费支出0.00万元，占0%，比上年增加0.00万元，增长0.00%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因疫情影响，今年无公务接待费支出</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因公出国（境）费支出0.00万元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开支内容包括：</w:t>
      </w:r>
      <w:r>
        <w:rPr>
          <w:rFonts w:hint="eastAsia" w:ascii="仿宋_GB2312" w:eastAsia="仿宋_GB2312"/>
          <w:color w:val="auto"/>
          <w:sz w:val="32"/>
          <w:szCs w:val="32"/>
          <w:highlight w:val="none"/>
          <w:lang w:val="en-US" w:eastAsia="zh-CN"/>
        </w:rPr>
        <w:t>因疫情影响，今年无公出国（境）费支出</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公务用车购置及运行维护费415.21万元，其中，公务用车购置费65.34万元，公务用车运行维护费349.87万元。</w:t>
      </w:r>
      <w:r>
        <w:rPr>
          <w:rFonts w:hint="eastAsia" w:ascii="仿宋_GB2312" w:eastAsia="仿宋_GB2312"/>
          <w:color w:val="auto"/>
          <w:sz w:val="32"/>
          <w:szCs w:val="32"/>
          <w:highlight w:val="none"/>
        </w:rPr>
        <w:t>公务用车运行维护费开支内容包括</w:t>
      </w:r>
      <w:r>
        <w:rPr>
          <w:rFonts w:hint="eastAsia" w:ascii="仿宋_GB2312" w:eastAsia="仿宋_GB2312"/>
          <w:color w:val="auto"/>
          <w:sz w:val="32"/>
          <w:szCs w:val="32"/>
          <w:highlight w:val="none"/>
          <w:lang w:val="en-US" w:eastAsia="zh-CN"/>
        </w:rPr>
        <w:t>车辆加油费、维修费、保险费</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公务用车购置数4辆，公务用车保有量338辆。</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公务接待费0.00万元</w:t>
      </w:r>
      <w:r>
        <w:rPr>
          <w:rFonts w:hint="eastAsia" w:ascii="仿宋_GB2312" w:eastAsia="仿宋_GB2312"/>
          <w:color w:val="auto"/>
          <w:sz w:val="32"/>
          <w:szCs w:val="32"/>
          <w:highlight w:val="none"/>
        </w:rPr>
        <w:t>，开支内容包括</w:t>
      </w:r>
      <w:r>
        <w:rPr>
          <w:rFonts w:hint="eastAsia" w:ascii="仿宋_GB2312" w:eastAsia="仿宋_GB2312"/>
          <w:color w:val="auto"/>
          <w:sz w:val="32"/>
          <w:szCs w:val="32"/>
          <w:highlight w:val="none"/>
          <w:lang w:val="en-US" w:eastAsia="zh-CN"/>
        </w:rPr>
        <w:t>因疫情影响，今年无公务接待费支出，县委办，人大，检察院因开展工作需要购买公务用车</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与年初预算数相比情况：一般公共预算“三公”经费支出年初预算数472.59万元，决算数415.21万元，预决算差异率-12.14%</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严格按照中央八项规定执行，厉行节约，压减经费</w:t>
      </w:r>
      <w:r>
        <w:rPr>
          <w:rFonts w:hint="eastAsia" w:ascii="仿宋_GB2312"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其中：因公出国（境）费预算数0.00万元，决算数0.00万元，预决算差异率0.00%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年初无此项经费预算安排</w:t>
      </w:r>
      <w:r>
        <w:rPr>
          <w:rFonts w:hint="eastAsia" w:ascii="仿宋_GB2312"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公务用车购置费预算数65.34万元，决算数65.34万元，预决算差异率0.00%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严格按照年初预算执行</w:t>
      </w:r>
      <w:r>
        <w:rPr>
          <w:rFonts w:hint="eastAsia" w:ascii="仿宋_GB2312"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公务用车运行费预算数407.25万元，决算数349.87万元，预决算差异率-14.09%</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严格按照中央八项规定执行，厉行节约，压减经费</w:t>
      </w:r>
      <w:r>
        <w:rPr>
          <w:rFonts w:hint="eastAsia" w:ascii="仿宋_GB2312"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公务接待费预算数0.00万元，决算数0.00万元，预决算差异率0.00%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年初无此项经费预算安排</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22" w:name="_Toc5810"/>
      <w:bookmarkStart w:id="23" w:name="_Toc7927"/>
      <w:r>
        <w:rPr>
          <w:rFonts w:hint="eastAsia" w:ascii="黑体" w:hAnsi="黑体" w:eastAsia="黑体" w:cs="宋体"/>
          <w:bCs/>
          <w:color w:val="auto"/>
          <w:kern w:val="0"/>
          <w:sz w:val="32"/>
          <w:szCs w:val="32"/>
          <w:highlight w:val="none"/>
          <w:lang w:eastAsia="zh-CN"/>
        </w:rPr>
        <w:t>八、政府性基金预算收入支出决算情况说明</w:t>
      </w:r>
      <w:bookmarkEnd w:id="22"/>
      <w:bookmarkEnd w:id="23"/>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2020年度政府性基金预算财政拨款收入14,076.12万元，与上年相比，增加12,871.09万元，增长1,068.11%，主要原因是：新增专项债券收入。政府性基金预算支出14,076.12万元。与上年相比，增加12,871.09万元，增长1,068.11%，主要原因是：新增专项债券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r>
        <w:rPr>
          <w:rFonts w:hint="eastAsia" w:ascii="黑体" w:hAnsi="黑体" w:eastAsia="黑体" w:cs="宋体"/>
          <w:bCs/>
          <w:kern w:val="0"/>
          <w:sz w:val="32"/>
          <w:szCs w:val="32"/>
          <w:highlight w:val="none"/>
          <w:lang w:eastAsia="zh-CN"/>
        </w:rPr>
        <w:t>九、国有资本经营预算财政拨款收入支出决算情况说明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2020年度国有资本经营预算财政拨款收入0.51万元，与上年相比，增加0.51万元，增长100.00%，主要原因是：新增国有企业退休人员社会化管理补助经费。国有资本经营预算财政拨款支出0.51万元，与上年相比，增加0.51万元，增长100.00%，主要原因是：新增国有企业退休人员社会化管理补助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24" w:name="_Toc7314"/>
      <w:bookmarkStart w:id="25" w:name="_Toc1235"/>
      <w:r>
        <w:rPr>
          <w:rFonts w:hint="eastAsia" w:ascii="黑体" w:hAnsi="黑体" w:eastAsia="黑体" w:cs="宋体"/>
          <w:bCs/>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color w:val="auto"/>
          <w:sz w:val="32"/>
          <w:szCs w:val="32"/>
          <w:highlight w:val="none"/>
        </w:rPr>
      </w:pPr>
      <w:bookmarkStart w:id="26" w:name="_Toc13105"/>
      <w:bookmarkStart w:id="27"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6"/>
      <w:bookmarkEnd w:id="27"/>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pacing w:val="0"/>
          <w:sz w:val="32"/>
          <w:szCs w:val="32"/>
          <w:highlight w:val="none"/>
          <w:lang w:val="en-US" w:eastAsia="zh-CN"/>
        </w:rPr>
        <w:t>2020年度新疆喀什地区塔什库尔干县2020年度部门决算汇总（行政单位和参照公务员法管理事业单位）机关运行经费支出2,093.65万元，比上年减少1,950.40万元，降低48.23%</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val="en-US" w:eastAsia="zh-CN"/>
        </w:rPr>
        <w:t>一是本年度因疫情原因减少会议及培训，二是从规范会议、培训的管理入手，着力解决会议费、培训费等方面存在的突出问题，积极采用视频会议、视频培训的方式，进一步严格落实中央八项规定和自治区十条规定压缩会议费、培训费支出，三是受疫情影响，经费压缩，业务减少，办公经费等公用经费减少</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2020年度新疆喀什地区塔什库尔干县2020年度部门决算汇总</w:t>
      </w:r>
      <w:r>
        <w:rPr>
          <w:rFonts w:hint="default" w:ascii="仿宋_GB2312" w:eastAsia="仿宋_GB2312"/>
          <w:color w:val="auto"/>
          <w:spacing w:val="0"/>
          <w:sz w:val="32"/>
          <w:szCs w:val="32"/>
          <w:highlight w:val="none"/>
          <w:lang w:val="en-US" w:eastAsia="zh-CN"/>
        </w:rPr>
        <w:t>（事业单位）日常公用经费</w:t>
      </w:r>
      <w:r>
        <w:rPr>
          <w:rFonts w:hint="eastAsia" w:ascii="仿宋_GB2312" w:eastAsia="仿宋_GB2312"/>
          <w:color w:val="auto"/>
          <w:spacing w:val="0"/>
          <w:sz w:val="32"/>
          <w:szCs w:val="32"/>
          <w:highlight w:val="none"/>
          <w:lang w:val="en-US" w:eastAsia="zh-CN"/>
        </w:rPr>
        <w:t>254.31</w:t>
      </w:r>
      <w:r>
        <w:rPr>
          <w:rFonts w:hint="default" w:ascii="仿宋_GB2312" w:eastAsia="仿宋_GB2312"/>
          <w:color w:val="auto"/>
          <w:spacing w:val="0"/>
          <w:sz w:val="32"/>
          <w:szCs w:val="32"/>
          <w:highlight w:val="none"/>
          <w:lang w:val="en-US" w:eastAsia="zh-CN"/>
        </w:rPr>
        <w:t>万元，比上年减少</w:t>
      </w:r>
      <w:r>
        <w:rPr>
          <w:rFonts w:hint="eastAsia" w:ascii="仿宋_GB2312" w:eastAsia="仿宋_GB2312"/>
          <w:color w:val="auto"/>
          <w:spacing w:val="0"/>
          <w:sz w:val="32"/>
          <w:szCs w:val="32"/>
          <w:highlight w:val="none"/>
          <w:lang w:val="en-US" w:eastAsia="zh-CN"/>
        </w:rPr>
        <w:t>67.01</w:t>
      </w:r>
      <w:r>
        <w:rPr>
          <w:rFonts w:hint="default" w:ascii="仿宋_GB2312" w:eastAsia="仿宋_GB2312"/>
          <w:color w:val="auto"/>
          <w:spacing w:val="0"/>
          <w:sz w:val="32"/>
          <w:szCs w:val="32"/>
          <w:highlight w:val="none"/>
          <w:lang w:val="en-US" w:eastAsia="zh-CN"/>
        </w:rPr>
        <w:t>万元，降低</w:t>
      </w:r>
      <w:r>
        <w:rPr>
          <w:rFonts w:hint="eastAsia" w:ascii="仿宋_GB2312" w:eastAsia="仿宋_GB2312"/>
          <w:color w:val="auto"/>
          <w:spacing w:val="0"/>
          <w:sz w:val="32"/>
          <w:szCs w:val="32"/>
          <w:highlight w:val="none"/>
          <w:lang w:val="en-US" w:eastAsia="zh-CN"/>
        </w:rPr>
        <w:t>20.85</w:t>
      </w:r>
      <w:r>
        <w:rPr>
          <w:rFonts w:hint="default" w:ascii="仿宋_GB2312" w:eastAsia="仿宋_GB2312"/>
          <w:color w:val="auto"/>
          <w:spacing w:val="0"/>
          <w:sz w:val="32"/>
          <w:szCs w:val="32"/>
          <w:highlight w:val="none"/>
          <w:lang w:val="en-US" w:eastAsia="zh-CN"/>
        </w:rPr>
        <w:t>%，主要原因是</w:t>
      </w:r>
      <w:r>
        <w:rPr>
          <w:rFonts w:hint="eastAsia" w:ascii="仿宋_GB2312" w:eastAsia="仿宋_GB2312"/>
          <w:color w:val="auto"/>
          <w:spacing w:val="0"/>
          <w:sz w:val="32"/>
          <w:szCs w:val="32"/>
          <w:highlight w:val="none"/>
          <w:lang w:val="en-US" w:eastAsia="zh-CN"/>
        </w:rPr>
        <w:t>进一步严格落实中央八项规定和自治区十条规定压缩会议费、培训费支出，三是受疫情影响，经费压缩，业务减少，办公经费等公用经费减少</w:t>
      </w:r>
      <w:r>
        <w:rPr>
          <w:rFonts w:hint="default" w:ascii="仿宋_GB2312" w:eastAsia="仿宋_GB2312"/>
          <w:color w:val="auto"/>
          <w:spacing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color w:val="auto"/>
          <w:sz w:val="32"/>
          <w:szCs w:val="32"/>
          <w:highlight w:val="none"/>
          <w:lang w:eastAsia="zh-CN"/>
        </w:rPr>
      </w:pPr>
      <w:bookmarkStart w:id="28" w:name="_Toc227"/>
      <w:bookmarkStart w:id="29" w:name="_Toc26704"/>
      <w:r>
        <w:rPr>
          <w:rFonts w:hint="eastAsia" w:ascii="黑体" w:hAnsi="黑体" w:eastAsia="黑体"/>
          <w:color w:val="auto"/>
          <w:sz w:val="32"/>
          <w:szCs w:val="32"/>
          <w:highlight w:val="none"/>
          <w:lang w:eastAsia="zh-CN"/>
        </w:rPr>
        <w:t>（二）政府采购情况</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val="en-US" w:eastAsia="zh-CN"/>
        </w:rPr>
        <w:t>2020年度政府采购支出总额13,953.42万元，其中：政府采购货物支出12,390.27万元、政府采购工程支出1,031.04万元、政府采购服务支出532.11万元。</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pacing w:val="0"/>
          <w:sz w:val="32"/>
          <w:szCs w:val="32"/>
          <w:highlight w:val="none"/>
          <w:lang w:val="en-US" w:eastAsia="zh-CN"/>
        </w:rPr>
      </w:pPr>
      <w:bookmarkStart w:id="30" w:name="_Toc4591"/>
      <w:bookmarkStart w:id="31" w:name="_Toc8391"/>
      <w:r>
        <w:rPr>
          <w:rFonts w:hint="eastAsia" w:ascii="仿宋_GB2312" w:eastAsia="仿宋_GB2312"/>
          <w:color w:val="auto"/>
          <w:spacing w:val="0"/>
          <w:sz w:val="32"/>
          <w:szCs w:val="32"/>
          <w:highlight w:val="none"/>
          <w:lang w:val="en-US" w:eastAsia="zh-CN"/>
        </w:rPr>
        <w:t>授予中小企业合同金额13,794.83万元，占政府采购支出总额的98.86%，其中：授予小微企业合同金额11,287.79万元，占政府采购支出总额的80.90%。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（三）国有资产占用情况说明</w:t>
      </w:r>
      <w:bookmarkEnd w:id="30"/>
      <w:bookmarkEnd w:id="31"/>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截止2020年12月31日，单位共有房屋216191.88（平方米），价值26,077.73万元。车辆370辆，价值5,271.04万元，其中：副部（省）级及以上领导用车0辆、主要领导干部用车0辆、机要通信用车1辆、应急保障用车1辆、执法执勤用车80辆、特种专业技术用车4辆、离退休干部用车0辆、其他用车284辆</w:t>
      </w:r>
      <w:r>
        <w:rPr>
          <w:rFonts w:hint="eastAsia" w:ascii="仿宋_GB2312" w:eastAsia="仿宋_GB2312"/>
          <w:color w:val="auto"/>
          <w:sz w:val="32"/>
          <w:szCs w:val="32"/>
          <w:highlight w:val="none"/>
        </w:rPr>
        <w:t>，其他用车主要是：</w:t>
      </w:r>
      <w:r>
        <w:rPr>
          <w:rFonts w:hint="eastAsia" w:ascii="仿宋_GB2312" w:eastAsia="仿宋_GB2312"/>
          <w:color w:val="auto"/>
          <w:sz w:val="32"/>
          <w:szCs w:val="32"/>
          <w:highlight w:val="none"/>
          <w:lang w:val="en-US" w:eastAsia="zh-CN"/>
        </w:rPr>
        <w:t>一般公务用车</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单位价值50万元以上通用设备15台（套）、单位价值100万元以上专用设备10台（套）。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32" w:name="_Toc11283"/>
      <w:bookmarkStart w:id="33" w:name="_Toc435"/>
      <w:r>
        <w:rPr>
          <w:rFonts w:hint="eastAsia" w:ascii="黑体" w:hAnsi="黑体" w:eastAsia="黑体" w:cs="宋体"/>
          <w:bCs/>
          <w:kern w:val="0"/>
          <w:sz w:val="32"/>
          <w:szCs w:val="32"/>
          <w:highlight w:val="none"/>
          <w:lang w:eastAsia="zh-CN"/>
        </w:rPr>
        <w:t>十一</w:t>
      </w:r>
      <w:r>
        <w:rPr>
          <w:rFonts w:hint="eastAsia" w:ascii="黑体" w:hAnsi="黑体" w:eastAsia="黑体" w:cs="宋体"/>
          <w:bCs/>
          <w:color w:val="auto"/>
          <w:kern w:val="0"/>
          <w:sz w:val="32"/>
          <w:szCs w:val="32"/>
          <w:highlight w:val="none"/>
          <w:lang w:eastAsia="zh-CN"/>
        </w:rPr>
        <w:t>、预算绩效的情况说明</w:t>
      </w:r>
      <w:bookmarkEnd w:id="32"/>
      <w:bookmarkEnd w:id="33"/>
    </w:p>
    <w:p>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根据预算绩效管理要求，我单位</w:t>
      </w:r>
      <w:r>
        <w:rPr>
          <w:rFonts w:hint="eastAsia" w:ascii="仿宋_GB2312" w:eastAsia="仿宋_GB2312"/>
          <w:color w:val="auto"/>
          <w:sz w:val="32"/>
          <w:szCs w:val="32"/>
          <w:highlight w:val="none"/>
          <w:lang w:val="en-US" w:eastAsia="zh-CN"/>
        </w:rPr>
        <w:t>2020</w:t>
      </w:r>
      <w:r>
        <w:rPr>
          <w:rFonts w:hint="eastAsia" w:ascii="仿宋_GB2312" w:eastAsia="仿宋_GB2312"/>
          <w:color w:val="auto"/>
          <w:sz w:val="32"/>
          <w:szCs w:val="32"/>
          <w:highlight w:val="none"/>
          <w:lang w:eastAsia="zh-CN"/>
        </w:rPr>
        <w:t>年度开展预算绩效评价项目</w:t>
      </w:r>
      <w:r>
        <w:rPr>
          <w:rFonts w:hint="eastAsia" w:ascii="仿宋_GB2312" w:eastAsia="仿宋_GB2312"/>
          <w:color w:val="auto"/>
          <w:sz w:val="32"/>
          <w:szCs w:val="32"/>
          <w:highlight w:val="none"/>
          <w:lang w:val="en-US" w:eastAsia="zh-CN"/>
        </w:rPr>
        <w:t>524</w:t>
      </w:r>
      <w:r>
        <w:rPr>
          <w:rFonts w:hint="eastAsia" w:ascii="仿宋_GB2312" w:eastAsia="仿宋_GB2312"/>
          <w:color w:val="auto"/>
          <w:sz w:val="32"/>
          <w:szCs w:val="32"/>
          <w:highlight w:val="none"/>
          <w:lang w:eastAsia="zh-CN"/>
        </w:rPr>
        <w:t>个，共涉及资金</w:t>
      </w:r>
      <w:r>
        <w:rPr>
          <w:rFonts w:hint="eastAsia" w:ascii="仿宋_GB2312" w:eastAsia="仿宋_GB2312"/>
          <w:sz w:val="32"/>
          <w:szCs w:val="32"/>
          <w:lang w:val="en-US" w:eastAsia="zh-CN"/>
        </w:rPr>
        <w:t>234591.57</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bookmarkStart w:id="54" w:name="_GoBack"/>
      <w:bookmarkEnd w:id="54"/>
      <w:r>
        <w:rPr>
          <w:rFonts w:hint="eastAsia" w:ascii="仿宋_GB2312" w:eastAsia="仿宋_GB2312"/>
          <w:color w:val="auto"/>
          <w:sz w:val="32"/>
          <w:szCs w:val="32"/>
          <w:highlight w:val="none"/>
          <w:lang w:eastAsia="zh-CN"/>
        </w:rPr>
        <w:t>预算绩效管理取得的成效：</w:t>
      </w:r>
      <w:r>
        <w:rPr>
          <w:rFonts w:hint="eastAsia" w:ascii="仿宋_GB2312" w:eastAsia="仿宋_GB2312"/>
          <w:color w:val="auto"/>
          <w:sz w:val="32"/>
          <w:szCs w:val="32"/>
          <w:highlight w:val="none"/>
          <w:lang w:val="en-US" w:eastAsia="zh-CN"/>
        </w:rPr>
        <w:t>一是预算编制环节突出绩效导向。将绩效关口前移，各部门各单位要对新出台重大政策、项目，结合预算评审、项目审批等开展事前绩效评估，评估结果作为申请预算的必备要件，防止“拍脑袋决策”，从源头上提高预算编制的科学性和精准性。二是预算执行环节加强绩效监控。按照“谁支出、谁负责”的原则，完善用款计划管理，对绩效目标实现程度和预算执行进度实行“双监控”，发现问题要分析原因并及时纠正</w:t>
      </w:r>
      <w:r>
        <w:rPr>
          <w:rFonts w:hint="eastAsia" w:ascii="仿宋_GB2312" w:eastAsia="仿宋_GB2312"/>
          <w:color w:val="auto"/>
          <w:sz w:val="32"/>
          <w:szCs w:val="32"/>
          <w:highlight w:val="none"/>
          <w:lang w:eastAsia="zh-CN"/>
        </w:rPr>
        <w:t>。发现的问题及原因：</w:t>
      </w:r>
      <w:r>
        <w:rPr>
          <w:rFonts w:hint="eastAsia" w:ascii="仿宋_GB2312" w:eastAsia="仿宋_GB2312"/>
          <w:color w:val="auto"/>
          <w:sz w:val="32"/>
          <w:szCs w:val="32"/>
          <w:highlight w:val="none"/>
          <w:lang w:val="en-US" w:eastAsia="zh-CN"/>
        </w:rPr>
        <w:t>深入分析全面实施预算绩效管理工作，当前存在的主要问题和不足有：一是一些支出项目固化问题仍然突出，支出结构有待调整优化；二是预算安排与绩效评价结果结合不够紧密，预算绩效管理质量有待提高，部分单位对全面实施预算绩效管理的认识理解和重视程度需要进一步提高，要坚决在思想上政治上行动上同党中央、自治区党委保持高度一致，充分发挥领导作用，严肃工作纪律、严格工作要求，切实履行本地区全面实施预算绩效管理责任，着力解决好本地区财政资金分配和使用中低效、无效问题</w:t>
      </w:r>
      <w:r>
        <w:rPr>
          <w:rFonts w:hint="eastAsia" w:ascii="仿宋_GB2312" w:eastAsia="仿宋_GB2312"/>
          <w:color w:val="auto"/>
          <w:sz w:val="32"/>
          <w:szCs w:val="32"/>
          <w:highlight w:val="none"/>
          <w:lang w:eastAsia="zh-CN"/>
        </w:rPr>
        <w:t>。下一步改进措施：</w:t>
      </w:r>
      <w:r>
        <w:rPr>
          <w:rFonts w:hint="eastAsia" w:ascii="仿宋_GB2312" w:eastAsia="仿宋_GB2312"/>
          <w:color w:val="auto"/>
          <w:sz w:val="32"/>
          <w:szCs w:val="32"/>
          <w:highlight w:val="none"/>
          <w:lang w:val="en-US" w:eastAsia="zh-CN"/>
        </w:rPr>
        <w:t>一是积极落实中央建立特殊转移支付直达资金机制，适当强化知识产权、养老保险等领域中央财政事权和支出责任，加强已出台重点领域事权和支出责任划分改革方案的实施。二是全面推进预算绩效管理。严格按照“全方位、全过程、全覆盖”管理要求，建立从绩效目标、绩效监控、绩效评价到结果应用的管理闭环，促进绩效管理与预算管理深度融合，提高财政资金使用效益。三是深化预算管理制度改革，强化对预算编制的宏观指导。加强中期财政规划管理，完善跨年度预算平衡机制。推进财政支出标准化，提高预算编制科学性、合理性。强化预算绩效管理，抓实绩效评价工作，强化评价结果运用，加大评价结果公开力度</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项目自评情况附项目支出绩效自评表。</w:t>
      </w:r>
    </w:p>
    <w:p>
      <w:pPr>
        <w:keepNext w:val="0"/>
        <w:keepLines w:val="0"/>
        <w:pageBreakBefore w:val="0"/>
        <w:widowControl w:val="0"/>
        <w:kinsoku/>
        <w:wordWrap/>
        <w:overflowPunct/>
        <w:topLinePunct w:val="0"/>
        <w:bidi w:val="0"/>
        <w:adjustRightInd/>
        <w:snapToGrid/>
        <w:spacing w:line="240" w:lineRule="auto"/>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val="en-US" w:eastAsia="zh-CN"/>
        </w:rPr>
        <w:br w:type="page"/>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sz w:val="32"/>
          <w:szCs w:val="32"/>
          <w:highlight w:val="none"/>
        </w:rPr>
      </w:pPr>
      <w:bookmarkStart w:id="34" w:name="_Toc3250"/>
      <w:bookmarkStart w:id="35" w:name="_Toc24143"/>
      <w:bookmarkStart w:id="36" w:name="_Toc28903"/>
      <w:bookmarkStart w:id="37" w:name="_Toc22784"/>
      <w:r>
        <w:rPr>
          <w:rFonts w:hint="eastAsia" w:ascii="黑体" w:hAnsi="黑体" w:eastAsia="黑体"/>
          <w:sz w:val="32"/>
          <w:szCs w:val="32"/>
          <w:highlight w:val="none"/>
        </w:rPr>
        <w:t>第三部分 专业名词解释</w:t>
      </w:r>
      <w:bookmarkEnd w:id="34"/>
      <w:bookmarkEnd w:id="35"/>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财政拨款收入：指同级财政当年拨付的资金。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上级补助收入：指事业单位从主管部门和上级单位取得的非财政补助收入。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事业收入：指事业单位开展专业业务活动及其辅助活动所取得的收入。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附属单位上缴收入：指事业单位附属的独立核算单位按有关规定上缴的收入。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其他收入：指除上述“财政拨款收入”、“事业收入”、“经营收入”、“附属单位上缴收入”等之外取得的收入。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lang w:eastAsia="zh-CN"/>
        </w:rPr>
        <w:t>年初</w:t>
      </w:r>
      <w:r>
        <w:rPr>
          <w:rFonts w:hint="eastAsia" w:ascii="仿宋_GB2312" w:eastAsia="仿宋_GB2312"/>
          <w:sz w:val="32"/>
          <w:szCs w:val="32"/>
          <w:highlight w:val="none"/>
        </w:rPr>
        <w:t>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基本支出：指为保障机构正常运转、完成日常工作任务而发生的人员支出和公用支出。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项目支出：指在基本支出之外为完成特定行政任务和事业发展目标所发生的支出。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对附属单位补助支出：指事业单位发生的用非财政预算资金对附属单位的补助支出。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rPr>
        <w:t>“三公”经费：指用一般公共预算财政拨款安排的因公出国（境）费、公务用车购置及运行费和公务接待费。其中，因公出国（境）费反映单位公务出国（境）的</w:t>
      </w:r>
      <w:r>
        <w:rPr>
          <w:rFonts w:hint="eastAsia" w:ascii="仿宋_GB2312" w:eastAsia="仿宋_GB2312"/>
          <w:sz w:val="32"/>
          <w:szCs w:val="32"/>
          <w:highlight w:val="none"/>
          <w:lang w:eastAsia="zh-CN"/>
        </w:rPr>
        <w:t>国际旅费、国外城市间交通费、</w:t>
      </w:r>
      <w:r>
        <w:rPr>
          <w:rFonts w:hint="eastAsia" w:ascii="仿宋_GB2312" w:eastAsia="仿宋_GB2312"/>
          <w:sz w:val="32"/>
          <w:szCs w:val="32"/>
          <w:highlight w:val="none"/>
        </w:rPr>
        <w:t>住宿费、伙食费、培训费、</w:t>
      </w:r>
      <w:r>
        <w:rPr>
          <w:rFonts w:hint="eastAsia" w:ascii="仿宋_GB2312" w:eastAsia="仿宋_GB2312"/>
          <w:sz w:val="32"/>
          <w:szCs w:val="32"/>
          <w:highlight w:val="none"/>
          <w:lang w:eastAsia="zh-CN"/>
        </w:rPr>
        <w:t>公</w:t>
      </w:r>
      <w:r>
        <w:rPr>
          <w:rFonts w:hint="eastAsia" w:ascii="仿宋_GB2312" w:eastAsia="仿宋_GB2312"/>
          <w:sz w:val="32"/>
          <w:szCs w:val="32"/>
          <w:highlight w:val="none"/>
        </w:rPr>
        <w:t>杂费等支出；公务用车购置费</w:t>
      </w:r>
      <w:r>
        <w:rPr>
          <w:rFonts w:hint="eastAsia" w:ascii="仿宋_GB2312" w:eastAsia="仿宋_GB2312"/>
          <w:sz w:val="32"/>
          <w:szCs w:val="32"/>
          <w:highlight w:val="none"/>
          <w:lang w:eastAsia="zh-CN"/>
        </w:rPr>
        <w:t>反映公务用车购置支出（含车辆购置税、牌照费）；</w:t>
      </w:r>
      <w:r>
        <w:rPr>
          <w:rFonts w:hint="eastAsia" w:ascii="仿宋_GB2312" w:eastAsia="仿宋_GB2312"/>
          <w:sz w:val="32"/>
          <w:szCs w:val="32"/>
          <w:highlight w:val="none"/>
        </w:rPr>
        <w:t>公务用车运行</w:t>
      </w:r>
      <w:r>
        <w:rPr>
          <w:rFonts w:hint="eastAsia" w:ascii="仿宋_GB2312" w:eastAsia="仿宋_GB2312"/>
          <w:sz w:val="32"/>
          <w:szCs w:val="32"/>
          <w:highlight w:val="none"/>
          <w:lang w:eastAsia="zh-CN"/>
        </w:rPr>
        <w:t>维护</w:t>
      </w:r>
      <w:r>
        <w:rPr>
          <w:rFonts w:hint="eastAsia" w:ascii="仿宋_GB2312" w:eastAsia="仿宋_GB2312"/>
          <w:sz w:val="32"/>
          <w:szCs w:val="32"/>
          <w:highlight w:val="none"/>
        </w:rPr>
        <w:t>费反映</w:t>
      </w:r>
      <w:r>
        <w:rPr>
          <w:rFonts w:hint="eastAsia" w:ascii="仿宋_GB2312" w:eastAsia="仿宋_GB2312"/>
          <w:sz w:val="32"/>
          <w:szCs w:val="32"/>
          <w:highlight w:val="none"/>
          <w:lang w:eastAsia="zh-CN"/>
        </w:rPr>
        <w:t>单位按规定保留的公务用车燃料费、维修费、</w:t>
      </w:r>
      <w:r>
        <w:rPr>
          <w:rFonts w:hint="eastAsia" w:ascii="仿宋_GB2312" w:eastAsia="仿宋_GB2312"/>
          <w:sz w:val="32"/>
          <w:szCs w:val="32"/>
          <w:highlight w:val="none"/>
        </w:rPr>
        <w:t>过路过桥费、保险费、安全奖励费用等支出</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公务接待费反映单位按规定开支的各类公务接待（含外宾接待）</w:t>
      </w:r>
      <w:r>
        <w:rPr>
          <w:rFonts w:hint="eastAsia" w:ascii="仿宋_GB2312" w:eastAsia="仿宋_GB2312"/>
          <w:sz w:val="32"/>
          <w:szCs w:val="32"/>
          <w:highlight w:val="none"/>
          <w:lang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bidi w:val="0"/>
        <w:adjustRightInd/>
        <w:snapToGrid/>
        <w:spacing w:line="240" w:lineRule="auto"/>
        <w:jc w:val="both"/>
        <w:textAlignment w:val="auto"/>
        <w:rPr>
          <w:rFonts w:hint="eastAsia" w:ascii="仿宋_GB2312" w:eastAsia="仿宋_GB2312"/>
          <w:sz w:val="32"/>
          <w:szCs w:val="32"/>
          <w:highlight w:val="none"/>
        </w:rPr>
      </w:pPr>
      <w:r>
        <w:rPr>
          <w:rFonts w:hint="eastAsia" w:ascii="仿宋_GB2312" w:eastAsia="仿宋_GB2312"/>
          <w:color w:val="auto"/>
          <w:sz w:val="32"/>
          <w:szCs w:val="32"/>
          <w:highlight w:val="none"/>
          <w:lang w:val="en-US" w:eastAsia="zh-CN"/>
        </w:rPr>
        <w:br w:type="page"/>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第四部分 部门决算报表（见附表）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38" w:name="_Toc6062"/>
      <w:bookmarkStart w:id="39" w:name="_Toc2183"/>
      <w:r>
        <w:rPr>
          <w:rFonts w:hint="eastAsia" w:ascii="黑体" w:hAnsi="黑体" w:eastAsia="黑体" w:cs="宋体"/>
          <w:bCs/>
          <w:kern w:val="0"/>
          <w:sz w:val="32"/>
          <w:szCs w:val="32"/>
          <w:highlight w:val="none"/>
        </w:rPr>
        <w:t>一、《收入支出决算总表》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40" w:name="_Toc24532"/>
      <w:bookmarkStart w:id="41" w:name="_Toc30364"/>
      <w:r>
        <w:rPr>
          <w:rFonts w:hint="eastAsia" w:ascii="黑体" w:hAnsi="黑体" w:eastAsia="黑体" w:cs="宋体"/>
          <w:bCs/>
          <w:kern w:val="0"/>
          <w:sz w:val="32"/>
          <w:szCs w:val="32"/>
          <w:highlight w:val="none"/>
        </w:rPr>
        <w:t>二、《收入决算表》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42" w:name="_Toc21304"/>
      <w:bookmarkStart w:id="43" w:name="_Toc32434"/>
      <w:r>
        <w:rPr>
          <w:rFonts w:hint="eastAsia" w:ascii="黑体" w:hAnsi="黑体" w:eastAsia="黑体" w:cs="宋体"/>
          <w:bCs/>
          <w:kern w:val="0"/>
          <w:sz w:val="32"/>
          <w:szCs w:val="32"/>
          <w:highlight w:val="none"/>
        </w:rPr>
        <w:t>三、《支出决算表》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44" w:name="_Toc28786"/>
      <w:bookmarkStart w:id="45" w:name="_Toc14238"/>
      <w:r>
        <w:rPr>
          <w:rFonts w:hint="eastAsia" w:ascii="黑体" w:hAnsi="黑体" w:eastAsia="黑体" w:cs="宋体"/>
          <w:bCs/>
          <w:kern w:val="0"/>
          <w:sz w:val="32"/>
          <w:szCs w:val="32"/>
          <w:highlight w:val="none"/>
        </w:rPr>
        <w:t>四、《财政拨款收入支出决算总表》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46" w:name="_Toc10347"/>
      <w:bookmarkStart w:id="47" w:name="_Toc14869"/>
      <w:r>
        <w:rPr>
          <w:rFonts w:hint="eastAsia" w:ascii="黑体" w:hAnsi="黑体" w:eastAsia="黑体" w:cs="宋体"/>
          <w:bCs/>
          <w:kern w:val="0"/>
          <w:sz w:val="32"/>
          <w:szCs w:val="32"/>
          <w:highlight w:val="none"/>
        </w:rPr>
        <w:t>五、《一般公共预算财政拨款支出决算表》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48" w:name="_Toc5626"/>
      <w:bookmarkStart w:id="49" w:name="_Toc8884"/>
      <w:r>
        <w:rPr>
          <w:rFonts w:hint="eastAsia" w:ascii="黑体" w:hAnsi="黑体" w:eastAsia="黑体" w:cs="宋体"/>
          <w:bCs/>
          <w:kern w:val="0"/>
          <w:sz w:val="32"/>
          <w:szCs w:val="32"/>
          <w:highlight w:val="none"/>
        </w:rPr>
        <w:t>六、《一般公共预算财政拨款基本支出决算表》</w:t>
      </w:r>
      <w:bookmarkEnd w:id="48"/>
      <w:bookmarkEnd w:id="4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50" w:name="_Toc32663"/>
      <w:bookmarkStart w:id="51" w:name="_Toc29106"/>
      <w:r>
        <w:rPr>
          <w:rFonts w:hint="eastAsia" w:ascii="黑体" w:hAnsi="黑体" w:eastAsia="黑体" w:cs="宋体"/>
          <w:bCs/>
          <w:kern w:val="0"/>
          <w:sz w:val="32"/>
          <w:szCs w:val="32"/>
          <w:highlight w:val="none"/>
        </w:rPr>
        <w:t>七、《一般公共预算财政拨款“三公”经费支出决算表》</w:t>
      </w:r>
      <w:bookmarkEnd w:id="50"/>
      <w:bookmarkEnd w:id="5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52" w:name="_Toc7643"/>
      <w:bookmarkStart w:id="53" w:name="_Toc5453"/>
      <w:r>
        <w:rPr>
          <w:rFonts w:hint="eastAsia" w:ascii="黑体" w:hAnsi="黑体" w:eastAsia="黑体" w:cs="宋体"/>
          <w:bCs/>
          <w:kern w:val="0"/>
          <w:sz w:val="32"/>
          <w:szCs w:val="32"/>
          <w:highlight w:val="none"/>
        </w:rPr>
        <w:t>八、《政府性基金预算财政拨款收入支出决算表》</w:t>
      </w:r>
      <w:bookmarkEnd w:id="52"/>
      <w:bookmarkEnd w:id="5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kern w:val="0"/>
          <w:sz w:val="32"/>
          <w:szCs w:val="32"/>
          <w:highlight w:val="none"/>
          <w:lang w:eastAsia="zh-CN"/>
        </w:rPr>
        <w:t>九</w:t>
      </w:r>
      <w:r>
        <w:rPr>
          <w:rFonts w:hint="eastAsia" w:ascii="黑体" w:hAnsi="黑体" w:eastAsia="黑体" w:cs="宋体"/>
          <w:bCs/>
          <w:kern w:val="0"/>
          <w:sz w:val="32"/>
          <w:szCs w:val="32"/>
          <w:highlight w:val="none"/>
        </w:rPr>
        <w:t>、《</w:t>
      </w:r>
      <w:r>
        <w:rPr>
          <w:rFonts w:hint="eastAsia" w:ascii="黑体" w:hAnsi="黑体" w:eastAsia="黑体" w:cs="宋体"/>
          <w:bCs/>
          <w:kern w:val="0"/>
          <w:sz w:val="32"/>
          <w:szCs w:val="32"/>
          <w:highlight w:val="none"/>
          <w:lang w:eastAsia="zh-CN"/>
        </w:rPr>
        <w:t>国有资本经营</w:t>
      </w:r>
      <w:r>
        <w:rPr>
          <w:rFonts w:hint="eastAsia" w:ascii="黑体" w:hAnsi="黑体" w:eastAsia="黑体" w:cs="宋体"/>
          <w:bCs/>
          <w:kern w:val="0"/>
          <w:sz w:val="32"/>
          <w:szCs w:val="32"/>
          <w:highlight w:val="none"/>
        </w:rPr>
        <w:t>预算财政拨款收入支出决算表》</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zql5uc8AAAAFAQAADwAAAAAAAAABACAAAAAiAAAA&#10;ZHJzL2Rvd25yZXYueG1sUEsBAhQAFAAAAAgAh07iQDd/Ew/XAQAAsAMAAA4AAAAAAAAAAQAgAAAA&#10;HgEAAGRycy9lMm9Eb2MueG1sUEsFBgAAAAAGAAYAWQEAAGc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EF52C8"/>
    <w:rsid w:val="0131169A"/>
    <w:rsid w:val="01734C27"/>
    <w:rsid w:val="01DD6073"/>
    <w:rsid w:val="02014C29"/>
    <w:rsid w:val="02890C73"/>
    <w:rsid w:val="02FA3B40"/>
    <w:rsid w:val="04044ED1"/>
    <w:rsid w:val="041C5E18"/>
    <w:rsid w:val="04AA63C1"/>
    <w:rsid w:val="04EE377F"/>
    <w:rsid w:val="051C631E"/>
    <w:rsid w:val="0562142B"/>
    <w:rsid w:val="06792773"/>
    <w:rsid w:val="074F280E"/>
    <w:rsid w:val="075B1482"/>
    <w:rsid w:val="075F768F"/>
    <w:rsid w:val="07BA7C7F"/>
    <w:rsid w:val="07C3443C"/>
    <w:rsid w:val="081E341C"/>
    <w:rsid w:val="08476613"/>
    <w:rsid w:val="084876D1"/>
    <w:rsid w:val="09026D66"/>
    <w:rsid w:val="090B11F4"/>
    <w:rsid w:val="0A2E4EB6"/>
    <w:rsid w:val="0A611FB0"/>
    <w:rsid w:val="0A6D05E4"/>
    <w:rsid w:val="0AC520F0"/>
    <w:rsid w:val="0B21162A"/>
    <w:rsid w:val="0B557DD5"/>
    <w:rsid w:val="0BED1442"/>
    <w:rsid w:val="0C595DFB"/>
    <w:rsid w:val="0C7A5D15"/>
    <w:rsid w:val="0CD00AF9"/>
    <w:rsid w:val="0CFEBB4E"/>
    <w:rsid w:val="0D0A4F7E"/>
    <w:rsid w:val="0D0B27DC"/>
    <w:rsid w:val="0D7C3599"/>
    <w:rsid w:val="0E003458"/>
    <w:rsid w:val="0E1F036C"/>
    <w:rsid w:val="0EB33F18"/>
    <w:rsid w:val="0F1410FB"/>
    <w:rsid w:val="0F923480"/>
    <w:rsid w:val="1056158D"/>
    <w:rsid w:val="10B169F6"/>
    <w:rsid w:val="10F929CB"/>
    <w:rsid w:val="10FF31A4"/>
    <w:rsid w:val="1142269D"/>
    <w:rsid w:val="11450985"/>
    <w:rsid w:val="11CA45A9"/>
    <w:rsid w:val="11E8712A"/>
    <w:rsid w:val="11FE3AAA"/>
    <w:rsid w:val="122451E5"/>
    <w:rsid w:val="126B62A8"/>
    <w:rsid w:val="12951F13"/>
    <w:rsid w:val="12B1037D"/>
    <w:rsid w:val="12CC4CD9"/>
    <w:rsid w:val="13326CE6"/>
    <w:rsid w:val="14284AED"/>
    <w:rsid w:val="15CF1AC0"/>
    <w:rsid w:val="17083B88"/>
    <w:rsid w:val="1742163F"/>
    <w:rsid w:val="176E53C3"/>
    <w:rsid w:val="1805797E"/>
    <w:rsid w:val="18124080"/>
    <w:rsid w:val="182E453B"/>
    <w:rsid w:val="189A656F"/>
    <w:rsid w:val="198202DA"/>
    <w:rsid w:val="19AF7A44"/>
    <w:rsid w:val="1A6109EF"/>
    <w:rsid w:val="1B424E9E"/>
    <w:rsid w:val="1BB07761"/>
    <w:rsid w:val="1C2A54A9"/>
    <w:rsid w:val="1C3737FD"/>
    <w:rsid w:val="1C88403A"/>
    <w:rsid w:val="1CB729A5"/>
    <w:rsid w:val="1CC56B97"/>
    <w:rsid w:val="1D34682A"/>
    <w:rsid w:val="1D4A73D5"/>
    <w:rsid w:val="1D9C2D67"/>
    <w:rsid w:val="1DAF458D"/>
    <w:rsid w:val="1DE34574"/>
    <w:rsid w:val="1F77716A"/>
    <w:rsid w:val="1F825A11"/>
    <w:rsid w:val="206034DD"/>
    <w:rsid w:val="20DF6845"/>
    <w:rsid w:val="233B4784"/>
    <w:rsid w:val="233E5923"/>
    <w:rsid w:val="236A6149"/>
    <w:rsid w:val="23B146B9"/>
    <w:rsid w:val="240038BA"/>
    <w:rsid w:val="240A65B7"/>
    <w:rsid w:val="262120AC"/>
    <w:rsid w:val="263D5951"/>
    <w:rsid w:val="265E582C"/>
    <w:rsid w:val="26E147D1"/>
    <w:rsid w:val="26F363EA"/>
    <w:rsid w:val="27004B43"/>
    <w:rsid w:val="27722102"/>
    <w:rsid w:val="27B248A0"/>
    <w:rsid w:val="283F1644"/>
    <w:rsid w:val="287C6FB4"/>
    <w:rsid w:val="28B4796C"/>
    <w:rsid w:val="29770D57"/>
    <w:rsid w:val="29A000F0"/>
    <w:rsid w:val="29D21E13"/>
    <w:rsid w:val="2A053397"/>
    <w:rsid w:val="2AB554B8"/>
    <w:rsid w:val="2B0377CD"/>
    <w:rsid w:val="2B6B66AA"/>
    <w:rsid w:val="2BFE2EF0"/>
    <w:rsid w:val="2C1E18A5"/>
    <w:rsid w:val="2C604703"/>
    <w:rsid w:val="2D1136DF"/>
    <w:rsid w:val="2D2B5CBF"/>
    <w:rsid w:val="2D8C755C"/>
    <w:rsid w:val="2DA02D04"/>
    <w:rsid w:val="2DFD193C"/>
    <w:rsid w:val="2E9F6859"/>
    <w:rsid w:val="2EC544A9"/>
    <w:rsid w:val="2F0C26B1"/>
    <w:rsid w:val="2F116303"/>
    <w:rsid w:val="2FC614E6"/>
    <w:rsid w:val="30236790"/>
    <w:rsid w:val="30802486"/>
    <w:rsid w:val="31175173"/>
    <w:rsid w:val="314D12BC"/>
    <w:rsid w:val="316F250C"/>
    <w:rsid w:val="31BD13AC"/>
    <w:rsid w:val="31C63837"/>
    <w:rsid w:val="32082F98"/>
    <w:rsid w:val="32A6143E"/>
    <w:rsid w:val="336D09C0"/>
    <w:rsid w:val="354A37A9"/>
    <w:rsid w:val="36273CF4"/>
    <w:rsid w:val="36827C07"/>
    <w:rsid w:val="36AA5F52"/>
    <w:rsid w:val="36C058A7"/>
    <w:rsid w:val="36E000FD"/>
    <w:rsid w:val="374146AF"/>
    <w:rsid w:val="37D36EBD"/>
    <w:rsid w:val="37E00DE1"/>
    <w:rsid w:val="399731E4"/>
    <w:rsid w:val="3ADE39A4"/>
    <w:rsid w:val="3AFB1A4C"/>
    <w:rsid w:val="3B610B0E"/>
    <w:rsid w:val="3B7904E8"/>
    <w:rsid w:val="3BF672B3"/>
    <w:rsid w:val="3BF67B6E"/>
    <w:rsid w:val="3C530331"/>
    <w:rsid w:val="3CBB22B3"/>
    <w:rsid w:val="3CC7093B"/>
    <w:rsid w:val="3CC80DC0"/>
    <w:rsid w:val="3D1309DF"/>
    <w:rsid w:val="3D217D96"/>
    <w:rsid w:val="3D5275AC"/>
    <w:rsid w:val="3DED65A8"/>
    <w:rsid w:val="3DFE4E4B"/>
    <w:rsid w:val="3E160417"/>
    <w:rsid w:val="3E4F50AC"/>
    <w:rsid w:val="40161B73"/>
    <w:rsid w:val="4079165E"/>
    <w:rsid w:val="41AD1AA2"/>
    <w:rsid w:val="41B20E4F"/>
    <w:rsid w:val="41D31F00"/>
    <w:rsid w:val="42B76840"/>
    <w:rsid w:val="43316970"/>
    <w:rsid w:val="4421165A"/>
    <w:rsid w:val="44467526"/>
    <w:rsid w:val="44CF4655"/>
    <w:rsid w:val="45A87853"/>
    <w:rsid w:val="45AD0B65"/>
    <w:rsid w:val="46901EEE"/>
    <w:rsid w:val="469C74D2"/>
    <w:rsid w:val="46DC1114"/>
    <w:rsid w:val="46FA6D28"/>
    <w:rsid w:val="473F39FE"/>
    <w:rsid w:val="476D2E32"/>
    <w:rsid w:val="47801D21"/>
    <w:rsid w:val="47FF5A3B"/>
    <w:rsid w:val="48F9688C"/>
    <w:rsid w:val="490B0284"/>
    <w:rsid w:val="492D17D3"/>
    <w:rsid w:val="493A3870"/>
    <w:rsid w:val="4A1207ED"/>
    <w:rsid w:val="4A9D77CC"/>
    <w:rsid w:val="4AF5079B"/>
    <w:rsid w:val="4B345CA5"/>
    <w:rsid w:val="4B701753"/>
    <w:rsid w:val="4BEB2AE8"/>
    <w:rsid w:val="4C181618"/>
    <w:rsid w:val="4C6D3066"/>
    <w:rsid w:val="4CB3745D"/>
    <w:rsid w:val="4D391693"/>
    <w:rsid w:val="4DA93660"/>
    <w:rsid w:val="4DD406E5"/>
    <w:rsid w:val="4DF31F55"/>
    <w:rsid w:val="4E535897"/>
    <w:rsid w:val="4F195BC9"/>
    <w:rsid w:val="4F714843"/>
    <w:rsid w:val="4FCE528B"/>
    <w:rsid w:val="5004002B"/>
    <w:rsid w:val="500A528D"/>
    <w:rsid w:val="50D87915"/>
    <w:rsid w:val="50DB5F45"/>
    <w:rsid w:val="510B4945"/>
    <w:rsid w:val="511D7E14"/>
    <w:rsid w:val="51554269"/>
    <w:rsid w:val="516A2E8A"/>
    <w:rsid w:val="517134A1"/>
    <w:rsid w:val="51BB37A4"/>
    <w:rsid w:val="52163B23"/>
    <w:rsid w:val="523D322D"/>
    <w:rsid w:val="52C01CAC"/>
    <w:rsid w:val="530335BC"/>
    <w:rsid w:val="535F2703"/>
    <w:rsid w:val="549741F3"/>
    <w:rsid w:val="56146D24"/>
    <w:rsid w:val="56547F9B"/>
    <w:rsid w:val="568D63A8"/>
    <w:rsid w:val="569D71D3"/>
    <w:rsid w:val="570E289D"/>
    <w:rsid w:val="57211AEC"/>
    <w:rsid w:val="57AF4592"/>
    <w:rsid w:val="5813797A"/>
    <w:rsid w:val="58344842"/>
    <w:rsid w:val="588E1D40"/>
    <w:rsid w:val="58E4063C"/>
    <w:rsid w:val="58F356A0"/>
    <w:rsid w:val="58FB4926"/>
    <w:rsid w:val="5A8C5C64"/>
    <w:rsid w:val="5B0A3C7C"/>
    <w:rsid w:val="5C145D5F"/>
    <w:rsid w:val="5C8850C2"/>
    <w:rsid w:val="5DE43C4B"/>
    <w:rsid w:val="5E256662"/>
    <w:rsid w:val="5E8D0FF0"/>
    <w:rsid w:val="5EA92E5B"/>
    <w:rsid w:val="5EF56A20"/>
    <w:rsid w:val="5F312B5A"/>
    <w:rsid w:val="5F3A544C"/>
    <w:rsid w:val="5F421F4F"/>
    <w:rsid w:val="5F932967"/>
    <w:rsid w:val="600C4334"/>
    <w:rsid w:val="607C007C"/>
    <w:rsid w:val="60EE637C"/>
    <w:rsid w:val="610F4386"/>
    <w:rsid w:val="610F76A0"/>
    <w:rsid w:val="613B2291"/>
    <w:rsid w:val="616F6C82"/>
    <w:rsid w:val="61C23CA5"/>
    <w:rsid w:val="625B5AF2"/>
    <w:rsid w:val="62A91F52"/>
    <w:rsid w:val="62B07C56"/>
    <w:rsid w:val="64350E40"/>
    <w:rsid w:val="64766BFD"/>
    <w:rsid w:val="647D0508"/>
    <w:rsid w:val="6537230D"/>
    <w:rsid w:val="656325C7"/>
    <w:rsid w:val="65BF2B26"/>
    <w:rsid w:val="65CF3090"/>
    <w:rsid w:val="65D57A52"/>
    <w:rsid w:val="668019BE"/>
    <w:rsid w:val="668147BE"/>
    <w:rsid w:val="66A71241"/>
    <w:rsid w:val="67CB7D39"/>
    <w:rsid w:val="69316E1A"/>
    <w:rsid w:val="69554902"/>
    <w:rsid w:val="69A94B4A"/>
    <w:rsid w:val="69AD798C"/>
    <w:rsid w:val="69C70FA3"/>
    <w:rsid w:val="69E5430E"/>
    <w:rsid w:val="6A197EE3"/>
    <w:rsid w:val="6A4F6540"/>
    <w:rsid w:val="6A733F65"/>
    <w:rsid w:val="6AAD748A"/>
    <w:rsid w:val="6B4F02DD"/>
    <w:rsid w:val="6B68175F"/>
    <w:rsid w:val="6B8E27EF"/>
    <w:rsid w:val="6C360AF8"/>
    <w:rsid w:val="6C6B3009"/>
    <w:rsid w:val="6C6B3214"/>
    <w:rsid w:val="6C747BB9"/>
    <w:rsid w:val="6D3D14C4"/>
    <w:rsid w:val="6DF26FFC"/>
    <w:rsid w:val="6E094282"/>
    <w:rsid w:val="6ED34999"/>
    <w:rsid w:val="6F29157B"/>
    <w:rsid w:val="6F531BF4"/>
    <w:rsid w:val="700F486D"/>
    <w:rsid w:val="701074C0"/>
    <w:rsid w:val="707F51EF"/>
    <w:rsid w:val="71833EC6"/>
    <w:rsid w:val="718D4E0D"/>
    <w:rsid w:val="71AE7AA3"/>
    <w:rsid w:val="71CA2249"/>
    <w:rsid w:val="721E4A5D"/>
    <w:rsid w:val="72EE56CB"/>
    <w:rsid w:val="73406D5B"/>
    <w:rsid w:val="738E33C3"/>
    <w:rsid w:val="73FB6630"/>
    <w:rsid w:val="750B5BF1"/>
    <w:rsid w:val="75B51FC0"/>
    <w:rsid w:val="75B60031"/>
    <w:rsid w:val="76DD091D"/>
    <w:rsid w:val="77466E92"/>
    <w:rsid w:val="774B26E2"/>
    <w:rsid w:val="77720CA8"/>
    <w:rsid w:val="77ED6F44"/>
    <w:rsid w:val="78224413"/>
    <w:rsid w:val="78FD1F20"/>
    <w:rsid w:val="79870A12"/>
    <w:rsid w:val="7A1C6325"/>
    <w:rsid w:val="7A7632AD"/>
    <w:rsid w:val="7AC8434A"/>
    <w:rsid w:val="7B3910B5"/>
    <w:rsid w:val="7B4C7884"/>
    <w:rsid w:val="7B902D83"/>
    <w:rsid w:val="7BAB7A6D"/>
    <w:rsid w:val="7D5B7B53"/>
    <w:rsid w:val="7D710817"/>
    <w:rsid w:val="7F8F3BEC"/>
    <w:rsid w:val="7FD64AD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Chars="400"/>
    </w:pPr>
    <w:rPr>
      <w:rFonts w:ascii="Times New Roman" w:hAnsi="Times New Roman" w:eastAsia="宋体" w:cs="Times New Roman"/>
      <w:sz w:val="20"/>
      <w:szCs w:val="20"/>
    </w:rPr>
  </w:style>
  <w:style w:type="paragraph" w:customStyle="1" w:styleId="11">
    <w:name w:val="WPSOffice手动目录 2"/>
    <w:qFormat/>
    <w:uiPriority w:val="0"/>
    <w:pPr>
      <w:ind w:leftChars="200"/>
    </w:pPr>
    <w:rPr>
      <w:rFonts w:ascii="Times New Roman" w:hAnsi="Times New Roman" w:eastAsia="宋体" w:cs="Times New Roman"/>
      <w:sz w:val="20"/>
      <w:szCs w:val="20"/>
    </w:rPr>
  </w:style>
  <w:style w:type="paragraph" w:customStyle="1" w:styleId="12">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GXR</dc:creator>
  <cp:lastModifiedBy>zfg</cp:lastModifiedBy>
  <dcterms:modified xsi:type="dcterms:W3CDTF">2021-09-22T09:31:36Z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BA62869D16DE4546B6855DC9223D6CAA</vt:lpwstr>
  </property>
</Properties>
</file>