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482" w:lineRule="auto"/>
      </w:pPr>
      <w:r>
        <w:t>关于塔什库尔干塔吉克自治县举借债务的情况说明</w:t>
      </w:r>
    </w:p>
    <w:p>
      <w:pPr>
        <w:pStyle w:val="3"/>
        <w:spacing w:before="76"/>
        <w:ind w:left="860"/>
        <w:rPr>
          <w:rFonts w:hint="eastAsia" w:ascii="黑体" w:eastAsia="黑体"/>
        </w:rPr>
      </w:pPr>
      <w:r>
        <w:rPr>
          <w:rFonts w:hint="eastAsia" w:ascii="黑体" w:eastAsia="黑体"/>
        </w:rPr>
        <w:t>一、塔什库尔干塔吉克自治县地方政府债务限额情况</w:t>
      </w:r>
    </w:p>
    <w:p>
      <w:pPr>
        <w:pStyle w:val="3"/>
        <w:ind w:left="740"/>
      </w:pPr>
      <w:r>
        <w:t>2020 年经人大批复的塔什库尔干塔吉克自治县政府债务</w:t>
      </w:r>
    </w:p>
    <w:p>
      <w:pPr>
        <w:pStyle w:val="3"/>
        <w:ind w:left="100"/>
      </w:pPr>
      <w:r>
        <w:rPr>
          <w:spacing w:val="-27"/>
        </w:rPr>
        <w:t xml:space="preserve">限额 </w:t>
      </w:r>
      <w:r>
        <w:t>119000</w:t>
      </w:r>
      <w:r>
        <w:rPr>
          <w:spacing w:val="-13"/>
        </w:rPr>
        <w:t xml:space="preserve"> 万元，其中：</w:t>
      </w:r>
      <w:r>
        <w:t>2018</w:t>
      </w:r>
      <w:r>
        <w:rPr>
          <w:spacing w:val="-20"/>
        </w:rPr>
        <w:t xml:space="preserve"> 年政府债务限额 </w:t>
      </w:r>
      <w:r>
        <w:t>88729</w:t>
      </w:r>
      <w:r>
        <w:rPr>
          <w:spacing w:val="-21"/>
        </w:rPr>
        <w:t xml:space="preserve"> 万元，</w:t>
      </w:r>
    </w:p>
    <w:p>
      <w:pPr>
        <w:pStyle w:val="3"/>
        <w:ind w:left="100"/>
      </w:pPr>
      <w:r>
        <w:t>2019 年自治区下达新增债务限额 18130 万元，2020 年自治区</w:t>
      </w:r>
    </w:p>
    <w:p>
      <w:pPr>
        <w:pStyle w:val="3"/>
        <w:ind w:left="100"/>
      </w:pPr>
      <w:r>
        <w:t>下达新增债务限额 15100 万元。</w:t>
      </w:r>
    </w:p>
    <w:p>
      <w:pPr>
        <w:pStyle w:val="3"/>
        <w:ind w:left="860"/>
        <w:rPr>
          <w:rFonts w:hint="eastAsia" w:ascii="黑体" w:eastAsia="黑体"/>
        </w:rPr>
      </w:pPr>
      <w:r>
        <w:rPr>
          <w:rFonts w:hint="eastAsia" w:ascii="黑体" w:eastAsia="黑体"/>
        </w:rPr>
        <w:t>二、塔什库尔干塔吉克自治县2020地方政府债券申请情</w:t>
      </w:r>
    </w:p>
    <w:p>
      <w:pPr>
        <w:pStyle w:val="3"/>
        <w:rPr>
          <w:rFonts w:hint="eastAsia" w:ascii="黑体" w:eastAsia="黑体"/>
        </w:rPr>
      </w:pPr>
      <w:r>
        <w:rPr>
          <w:rFonts w:hint="eastAsia" w:ascii="黑体" w:eastAsia="黑体"/>
          <w:w w:val="97"/>
        </w:rPr>
        <w:t>况</w:t>
      </w:r>
    </w:p>
    <w:p>
      <w:pPr>
        <w:pStyle w:val="3"/>
        <w:ind w:left="860"/>
      </w:pPr>
      <w:r>
        <w:t>根据塔什库尔干塔吉克自治县脱贫攻坚建设需求情况，</w:t>
      </w:r>
    </w:p>
    <w:p>
      <w:pPr>
        <w:pStyle w:val="3"/>
        <w:spacing w:line="316" w:lineRule="auto"/>
        <w:ind w:right="451"/>
      </w:pPr>
      <w:r>
        <w:t>塔什库尔干塔吉克自治县申请2020年地方政府债券15100万</w:t>
      </w:r>
      <w:r>
        <w:rPr>
          <w:w w:val="95"/>
        </w:rPr>
        <w:t>元，其中：新增地方政府一般债券5100万元,新增地方政府专</w:t>
      </w:r>
      <w:r>
        <w:t>项债券10000万元。塔什库尔干塔吉克自治县申请2020年新</w:t>
      </w:r>
      <w:r>
        <w:rPr>
          <w:w w:val="95"/>
        </w:rPr>
        <w:t>增地方政府债券项目8</w:t>
      </w:r>
      <w:r>
        <w:rPr>
          <w:spacing w:val="-4"/>
          <w:w w:val="95"/>
        </w:rPr>
        <w:t>个，申请新增地方政府债券资金</w:t>
      </w:r>
      <w:r>
        <w:rPr>
          <w:w w:val="95"/>
        </w:rPr>
        <w:t xml:space="preserve">15100 </w:t>
      </w:r>
      <w:r>
        <w:rPr>
          <w:spacing w:val="-3"/>
          <w:w w:val="95"/>
        </w:rPr>
        <w:t>万元，新增地方政府专项债券</w:t>
      </w:r>
      <w:r>
        <w:rPr>
          <w:w w:val="95"/>
        </w:rPr>
        <w:t>10000</w:t>
      </w:r>
      <w:r>
        <w:rPr>
          <w:spacing w:val="-3"/>
          <w:w w:val="95"/>
        </w:rPr>
        <w:t xml:space="preserve">万元,用于支持塔什库尔 </w:t>
      </w:r>
      <w:r>
        <w:rPr>
          <w:spacing w:val="-3"/>
        </w:rPr>
        <w:t>干塔吉克自治县经济建设发展。</w:t>
      </w:r>
    </w:p>
    <w:p>
      <w:pPr>
        <w:pStyle w:val="3"/>
        <w:spacing w:before="0" w:line="403" w:lineRule="exact"/>
        <w:ind w:left="860"/>
        <w:rPr>
          <w:rFonts w:hint="eastAsia" w:ascii="黑体" w:eastAsia="黑体"/>
        </w:rPr>
      </w:pPr>
      <w:r>
        <w:rPr>
          <w:rFonts w:hint="eastAsia" w:ascii="黑体" w:eastAsia="黑体"/>
        </w:rPr>
        <w:t>三、塔什库尔干塔吉克自治县2019年地方政府债券到位</w:t>
      </w:r>
    </w:p>
    <w:p>
      <w:pPr>
        <w:pStyle w:val="3"/>
        <w:ind w:left="100"/>
        <w:rPr>
          <w:rFonts w:hint="eastAsia" w:ascii="黑体" w:eastAsia="黑体"/>
        </w:rPr>
      </w:pPr>
      <w:r>
        <w:rPr>
          <w:rFonts w:hint="eastAsia" w:ascii="黑体" w:eastAsia="黑体"/>
        </w:rPr>
        <w:t>情况</w:t>
      </w:r>
    </w:p>
    <w:p>
      <w:pPr>
        <w:pStyle w:val="3"/>
        <w:ind w:left="860"/>
      </w:pPr>
      <w:r>
        <w:t>2020年塔什库尔干塔吉克自治县申请地方政府债券</w:t>
      </w:r>
    </w:p>
    <w:p>
      <w:pPr>
        <w:pStyle w:val="3"/>
        <w:spacing w:line="316" w:lineRule="auto"/>
        <w:ind w:right="437"/>
      </w:pPr>
      <w:r>
        <w:rPr>
          <w:w w:val="90"/>
        </w:rPr>
        <w:t>15100</w:t>
      </w:r>
      <w:r>
        <w:rPr>
          <w:spacing w:val="-2"/>
          <w:w w:val="90"/>
        </w:rPr>
        <w:t>万元，其中：新增地方政府一般债券</w:t>
      </w:r>
      <w:r>
        <w:rPr>
          <w:w w:val="90"/>
        </w:rPr>
        <w:t xml:space="preserve">5100万元，新增地方 </w:t>
      </w:r>
      <w:r>
        <w:rPr>
          <w:spacing w:val="-1"/>
        </w:rPr>
        <w:t>政府专项债券</w:t>
      </w:r>
      <w:r>
        <w:t>10000</w:t>
      </w:r>
      <w:r>
        <w:rPr>
          <w:spacing w:val="-1"/>
        </w:rPr>
        <w:t>万元。塔什库尔干塔吉克自治县</w:t>
      </w:r>
      <w:r>
        <w:t>2020年</w:t>
      </w:r>
      <w:r>
        <w:rPr>
          <w:spacing w:val="-1"/>
        </w:rPr>
        <w:t>实际到位新增地方政府债券资金</w:t>
      </w:r>
      <w:r>
        <w:t>15100</w:t>
      </w:r>
      <w:r>
        <w:rPr>
          <w:spacing w:val="-1"/>
        </w:rPr>
        <w:t>万元，其中：新增地</w:t>
      </w:r>
      <w:r>
        <w:rPr>
          <w:spacing w:val="-1"/>
          <w:w w:val="90"/>
        </w:rPr>
        <w:t>方政府一般债券5100</w:t>
      </w:r>
      <w:r>
        <w:rPr>
          <w:spacing w:val="-2"/>
          <w:w w:val="90"/>
        </w:rPr>
        <w:t>万元、专项债券</w:t>
      </w:r>
      <w:r>
        <w:rPr>
          <w:w w:val="90"/>
        </w:rPr>
        <w:t xml:space="preserve">10000万元，用于支持塔什 </w:t>
      </w:r>
      <w:r>
        <w:rPr>
          <w:spacing w:val="-3"/>
        </w:rPr>
        <w:t>库尔干塔吉克自治县经济建设发展。</w:t>
      </w:r>
    </w:p>
    <w:p>
      <w:pPr>
        <w:spacing w:after="0" w:line="316" w:lineRule="auto"/>
        <w:sectPr>
          <w:footerReference r:id="rId3" w:type="default"/>
          <w:pgSz w:w="11910" w:h="16840"/>
          <w:pgMar w:top="1540" w:right="1360" w:bottom="1000" w:left="1580" w:header="720" w:footer="816" w:gutter="0"/>
          <w:pgNumType w:start="1"/>
        </w:sectPr>
      </w:pPr>
    </w:p>
    <w:p>
      <w:pPr>
        <w:pStyle w:val="3"/>
        <w:spacing w:before="33"/>
        <w:ind w:left="860"/>
        <w:rPr>
          <w:rFonts w:hint="eastAsia" w:ascii="黑体" w:eastAsia="黑体"/>
        </w:rPr>
      </w:pPr>
      <w:r>
        <w:rPr>
          <w:rFonts w:hint="eastAsia" w:ascii="黑体" w:eastAsia="黑体"/>
        </w:rPr>
        <w:t>四、塔什库尔干塔吉克自治县2020年地方政府债务余额</w:t>
      </w:r>
    </w:p>
    <w:p>
      <w:pPr>
        <w:pStyle w:val="3"/>
        <w:rPr>
          <w:rFonts w:hint="eastAsia" w:ascii="黑体" w:eastAsia="黑体"/>
        </w:rPr>
      </w:pPr>
      <w:r>
        <w:rPr>
          <w:rFonts w:hint="eastAsia" w:ascii="黑体" w:eastAsia="黑体"/>
        </w:rPr>
        <w:t>情况</w:t>
      </w:r>
    </w:p>
    <w:p>
      <w:pPr>
        <w:pStyle w:val="3"/>
        <w:ind w:left="860"/>
      </w:pPr>
      <w:r>
        <w:t>经喀什地区批准转贷塔什库尔干塔吉克自治县2020新</w:t>
      </w:r>
    </w:p>
    <w:p>
      <w:pPr>
        <w:pStyle w:val="3"/>
        <w:spacing w:line="316" w:lineRule="auto"/>
        <w:ind w:right="429"/>
        <w:jc w:val="both"/>
      </w:pPr>
      <w:r>
        <w:rPr>
          <w:w w:val="95"/>
        </w:rPr>
        <w:t xml:space="preserve">增政府债券后，塔什库尔干塔吉克自治县政府债务余额为117900万元，在塔什库尔干塔吉克自治县人大常委会批准和 喀什地区确定的政府债务限额119000万元内，符合政府债务 </w:t>
      </w:r>
      <w:r>
        <w:t>限额管理规定。</w:t>
      </w:r>
    </w:p>
    <w:p>
      <w:pPr>
        <w:pStyle w:val="3"/>
        <w:spacing w:before="0" w:line="405" w:lineRule="exact"/>
        <w:ind w:left="860"/>
        <w:rPr>
          <w:rFonts w:hint="eastAsia" w:ascii="黑体" w:eastAsia="黑体"/>
        </w:rPr>
      </w:pPr>
      <w:r>
        <w:rPr>
          <w:rFonts w:hint="eastAsia" w:ascii="黑体" w:eastAsia="黑体"/>
        </w:rPr>
        <w:t>五、地方政府债务管理情况</w:t>
      </w:r>
    </w:p>
    <w:p>
      <w:pPr>
        <w:pStyle w:val="3"/>
        <w:spacing w:line="316" w:lineRule="auto"/>
        <w:ind w:right="427" w:firstLine="640"/>
      </w:pPr>
      <w:r>
        <w:rPr>
          <w:w w:val="95"/>
        </w:rPr>
        <w:t xml:space="preserve">为确保地方政府债券资金运行安全、有效，依照《中华 人民共和国预算法》和国家有关地方政府债务管理的规定，塔什库尔干塔吉克自治县进一步完善地方政府债券资金项目申报、审批、绩效评价、监督各个环节管理要求，按照喀什 </w:t>
      </w:r>
      <w:r>
        <w:t>地区制定的《规范新增地方政府债券申请使用流程实施细</w:t>
      </w:r>
      <w:r>
        <w:rPr>
          <w:w w:val="95"/>
        </w:rPr>
        <w:t>则》，加大对政府债务管理工作的管理力度，提高债券资金使用效益，强化地方政府债务的风险监控，主动防范、控制、</w:t>
      </w:r>
      <w:r>
        <w:t>化解政府债务风险。一是全额纳入预算管理。2020年塔什库 尔干塔吉克自治县地方政府债务收支经塔什库尔干塔吉克自 治县人大常委会审查批准后，全额纳入预算管理，严格预算 约束和执行。二是严格履行偿债责任。按照“谁举借、谁使 用、谁偿还”的原则，喀什地区转贷的政府债券资金117900 万元由塔什库尔干塔吉克自治县人民政府承担债券资金的还本付息，按照约定还款计划，按规定及时归还地方政府债券本息，严格履行偿还责任。三是全面实施预算绩效管理。建立健全“举债必问效、无效必问责”的政府债务资金绩效管理机制，推进实施地方政府债务项目滚动管理和绩效管理，加强债务资金使用的监控，提高债务资金使用绩效。塔什库尔干塔吉克自治县地方政府债券</w:t>
      </w:r>
      <w:bookmarkStart w:id="0" w:name="_GoBack"/>
      <w:bookmarkEnd w:id="0"/>
      <w:r>
        <w:t>管理遵循经济规律，举债同偿债能力相匹配开好合法合规举债的“前门”，严格执行地</w:t>
      </w:r>
      <w:r>
        <w:rPr>
          <w:w w:val="95"/>
        </w:rPr>
        <w:t>方政府债务限额管理，合理合规提出新增地方政府债券申请，</w:t>
      </w:r>
      <w:r>
        <w:t>规范推进政府债券管理，严堵违法违规举债的“后门”，坚决杜绝在法定限额外违法违规或变相举债。</w:t>
      </w:r>
    </w:p>
    <w:p>
      <w:pPr>
        <w:pStyle w:val="3"/>
        <w:spacing w:before="0"/>
        <w:ind w:left="0"/>
      </w:pPr>
    </w:p>
    <w:p>
      <w:pPr>
        <w:pStyle w:val="3"/>
        <w:spacing w:before="0"/>
        <w:ind w:left="0"/>
      </w:pPr>
    </w:p>
    <w:p>
      <w:pPr>
        <w:pStyle w:val="3"/>
        <w:spacing w:before="254"/>
        <w:ind w:left="3404"/>
      </w:pPr>
      <w:r>
        <w:t>塔什库尔干塔吉克自治县财政局</w:t>
      </w:r>
    </w:p>
    <w:p>
      <w:pPr>
        <w:pStyle w:val="3"/>
        <w:spacing w:before="140"/>
        <w:ind w:left="4844"/>
      </w:pPr>
      <w:r>
        <w:t>2021年2月1日</w:t>
      </w:r>
    </w:p>
    <w:p>
      <w:pPr>
        <w:pStyle w:val="3"/>
        <w:ind w:left="4844"/>
      </w:pPr>
    </w:p>
    <w:sectPr>
      <w:footerReference r:id="rId4" w:type="default"/>
      <w:pgSz w:w="11910" w:h="16840"/>
      <w:pgMar w:top="1580" w:right="1360" w:bottom="1000" w:left="1580" w:header="0" w:footer="816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line="14" w:lineRule="auto"/>
      <w:ind w:left="0"/>
      <w:rPr>
        <w:sz w:val="20"/>
      </w:rPr>
    </w:pPr>
    <w:r>
      <w:pict>
        <v:shape id="_x0000_s4098" o:spid="_x0000_s4098" o:spt="202" type="#_x0000_t202" style="position:absolute;left:0pt;margin-left:289.6pt;margin-top:790.15pt;height:13.75pt;width:15.95pt;mso-position-horizontal-relative:page;mso-position-vertical-relative:page;z-index:-1576038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72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>-</w:t>
                </w:r>
                <w:r>
                  <w:fldChar w:fldCharType="begin"/>
                </w:r>
                <w:r>
                  <w:rPr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>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line="14" w:lineRule="auto"/>
      <w:ind w:left="0"/>
      <w:rPr>
        <w:sz w:val="20"/>
      </w:rPr>
    </w:pPr>
    <w:r>
      <w:pict>
        <v:shape id="_x0000_s4097" o:spid="_x0000_s4097" o:spt="202" type="#_x0000_t202" style="position:absolute;left:0pt;margin-left:289.6pt;margin-top:790.15pt;height:13.75pt;width:12.95pt;mso-position-horizontal-relative:page;mso-position-vertical-relative:page;z-index:-2517258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72" w:lineRule="exact"/>
                  <w:ind w:left="20" w:right="0" w:firstLine="0"/>
                  <w:jc w:val="lef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>-</w:t>
                </w:r>
                <w:r>
                  <w:fldChar w:fldCharType="begin"/>
                </w:r>
                <w:r>
                  <w:rPr>
                    <w:rFonts w:ascii="宋体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sz w:val="18"/>
                  </w:rPr>
                  <w:t>-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compat>
    <w:ulTrailSpace/>
    <w:shapeLayoutLikeWW8/>
    <w:useFELayout/>
    <w:compatSetting w:name="compatibilityMode" w:uri="http://schemas.microsoft.com/office/word" w:val="12"/>
  </w:compat>
  <w:rsids>
    <w:rsidRoot w:val="00000000"/>
    <w:rsid w:val="016A7A32"/>
    <w:rsid w:val="04694ACD"/>
    <w:rsid w:val="10B578F7"/>
    <w:rsid w:val="11257349"/>
    <w:rsid w:val="20383BEE"/>
    <w:rsid w:val="22D77BCE"/>
    <w:rsid w:val="26026508"/>
    <w:rsid w:val="2D6C4B05"/>
    <w:rsid w:val="320A4020"/>
    <w:rsid w:val="37CA7A41"/>
    <w:rsid w:val="3FB6762D"/>
    <w:rsid w:val="40BB01CE"/>
    <w:rsid w:val="48433B7B"/>
    <w:rsid w:val="4E880C58"/>
    <w:rsid w:val="511F4380"/>
    <w:rsid w:val="52030CEB"/>
    <w:rsid w:val="548615A0"/>
    <w:rsid w:val="5EEE460D"/>
    <w:rsid w:val="7C594F77"/>
    <w:rsid w:val="7DAC37D1"/>
    <w:rsid w:val="7F25007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393" w:right="614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30"/>
      <w:ind w:left="220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4">
    <w:name w:val="Title"/>
    <w:basedOn w:val="1"/>
    <w:qFormat/>
    <w:uiPriority w:val="0"/>
    <w:pPr>
      <w:spacing w:before="37"/>
      <w:ind w:left="3493" w:right="636" w:hanging="3082"/>
    </w:pPr>
    <w:rPr>
      <w:rFonts w:ascii="宋体" w:hAnsi="宋体" w:eastAsia="宋体" w:cs="宋体"/>
      <w:sz w:val="44"/>
      <w:szCs w:val="44"/>
      <w:lang w:val="en-US" w:eastAsia="zh-CN" w:bidi="ar-SA"/>
    </w:rPr>
  </w:style>
  <w:style w:type="table" w:customStyle="1" w:styleId="7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2021-08-24T05:06:00Z</dcterms:created>
  <dc:creator>Administrator</dc:creator>
  <cp:lastModifiedBy>国库股-苟红兵</cp:lastModifiedBy>
  <dcterms:modified xsi:type="dcterms:W3CDTF">2021-09-14T10:45:08Z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2021-02-08T00:00:00Z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2021-08-24T00:00:00Z</vt:filetime>
  </property>
  <property fmtid="{D5CDD505-2E9C-101B-9397-08002B2CF9AE}" pid="5" name="KSOProductBuildVer">
    <vt:lpwstr>2052-10.1.0.6207</vt:lpwstr>
  </property>
</Properties>
</file>