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rPr>
          <w:rFonts w:ascii="Times New Roman"/>
          <w:sz w:val="20"/>
        </w:rPr>
      </w:pPr>
      <w:bookmarkStart w:id="0" w:name="_GoBack"/>
      <w:bookmarkEnd w:id="0"/>
    </w:p>
    <w:p>
      <w:pPr>
        <w:pStyle w:val="4"/>
        <w:rPr>
          <w:rFonts w:ascii="Times New Roman"/>
          <w:sz w:val="2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5" w:line="600" w:lineRule="exact"/>
        <w:ind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塔什库尔干塔吉克自治县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年政府性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 xml:space="preserve">      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基金决算情况的说明</w:t>
      </w:r>
    </w:p>
    <w:p>
      <w:pPr>
        <w:pStyle w:val="4"/>
        <w:rPr>
          <w:rFonts w:ascii="黑体"/>
          <w:b/>
          <w:sz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按照《中华人民共和国预算法》等规定要求，现将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塔什库尔干塔吉克自治县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年政府性基金决算情况说明如下：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年政府性基金预算收入情况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塔什库尔干塔吉克自治县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年本级政府性基金收入完成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450.00</w:t>
      </w:r>
      <w:r>
        <w:rPr>
          <w:rFonts w:hint="eastAsia" w:ascii="仿宋_GB2312" w:hAnsi="仿宋_GB2312" w:eastAsia="仿宋_GB2312" w:cs="仿宋_GB2312"/>
          <w:sz w:val="32"/>
          <w:szCs w:val="32"/>
        </w:rPr>
        <w:t>%，比上年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增收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686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增长320.56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国有土地使用权出让收入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724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,专项债券对应项目专项收入176万元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塔什库尔干塔吉克自治县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上级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政府性基金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补助</w:t>
      </w:r>
      <w:r>
        <w:rPr>
          <w:rFonts w:hint="eastAsia" w:ascii="仿宋_GB2312" w:hAnsi="仿宋_GB2312" w:eastAsia="仿宋_GB2312" w:cs="仿宋_GB2312"/>
          <w:sz w:val="32"/>
          <w:szCs w:val="32"/>
        </w:rPr>
        <w:t>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3498万元。其中：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旅游发展基金26万元；大中型水库移民后期扶持基金542万元；可再生能源电价附加收入92万元；彩票公益金838万元；抗疫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特别国债转移支付收入2000万元。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塔什库尔干塔吉克自治县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新增地方政府专项债务转贷收入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年政府性基金预算支出情况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塔什库尔干塔吉克自治县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年政府性基金支出完成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万元，完成年初预算的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7126</w:t>
      </w:r>
      <w:r>
        <w:rPr>
          <w:rFonts w:hint="eastAsia" w:ascii="仿宋_GB2312" w:hAnsi="仿宋_GB2312" w:eastAsia="仿宋_GB2312" w:cs="仿宋_GB2312"/>
          <w:sz w:val="32"/>
          <w:szCs w:val="32"/>
        </w:rPr>
        <w:t>%，比上年增支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13047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万元，增长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1082.74</w:t>
      </w:r>
      <w:r>
        <w:rPr>
          <w:rFonts w:hint="eastAsia" w:ascii="仿宋_GB2312" w:hAnsi="仿宋_GB2312" w:eastAsia="仿宋_GB2312" w:cs="仿宋_GB2312"/>
          <w:sz w:val="32"/>
          <w:szCs w:val="32"/>
        </w:rPr>
        <w:t>%。其中：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旅游发展基金支出26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万元；大中型水库移民后期扶持基金支出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542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可再生能源电价附加收入安排的支出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92万元；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国有土地使用权出让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579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万元；彩票公益金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支出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837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其他政府性基金及对应专项债务收入安排的支出10000万元；专项债务付息支出165万元；专项债务发行费用支出11万元；抗疫特别国债安排的支出2000万元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塔什库尔干塔吉克自治县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年政府性基金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调出145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2020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年政府性基金预算收支结余情况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政府性基金总收入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14398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万元，其中：政府性基金收入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万元，上级补助收入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3498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2020年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新增地方政府专项债务转贷收入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10000万元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。政府性基金总支出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14397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万元，其中：政府性基金支出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14252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万元，政府性基金预算调出资金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万元。收支相抵，政府性基金年终结余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结转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10" w:h="16840"/>
      <w:pgMar w:top="1580" w:right="1680" w:bottom="280" w:left="168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D7CDA"/>
    <w:rsid w:val="072A2C1D"/>
    <w:rsid w:val="086C39B2"/>
    <w:rsid w:val="08961924"/>
    <w:rsid w:val="0AFF74B0"/>
    <w:rsid w:val="0D163AE2"/>
    <w:rsid w:val="0E271B99"/>
    <w:rsid w:val="10E12DBB"/>
    <w:rsid w:val="11984A62"/>
    <w:rsid w:val="127A79F1"/>
    <w:rsid w:val="130F7C52"/>
    <w:rsid w:val="132138E2"/>
    <w:rsid w:val="135124E7"/>
    <w:rsid w:val="165C34E8"/>
    <w:rsid w:val="1A532C98"/>
    <w:rsid w:val="1D43374F"/>
    <w:rsid w:val="1DAA1394"/>
    <w:rsid w:val="1E2260C0"/>
    <w:rsid w:val="218211C2"/>
    <w:rsid w:val="22AA3182"/>
    <w:rsid w:val="23EA2DE4"/>
    <w:rsid w:val="249462D3"/>
    <w:rsid w:val="2A0142DC"/>
    <w:rsid w:val="2C0C6F72"/>
    <w:rsid w:val="36427828"/>
    <w:rsid w:val="38131CB1"/>
    <w:rsid w:val="3ADE5DC1"/>
    <w:rsid w:val="3D8665A9"/>
    <w:rsid w:val="3F7B04FC"/>
    <w:rsid w:val="451D27A2"/>
    <w:rsid w:val="45EC5D2B"/>
    <w:rsid w:val="4A417A80"/>
    <w:rsid w:val="4C8E51D3"/>
    <w:rsid w:val="508D3C9F"/>
    <w:rsid w:val="511E4E69"/>
    <w:rsid w:val="53B66C8F"/>
    <w:rsid w:val="53B845E3"/>
    <w:rsid w:val="5B295AB7"/>
    <w:rsid w:val="5B7B4AAA"/>
    <w:rsid w:val="5E780193"/>
    <w:rsid w:val="66466F49"/>
    <w:rsid w:val="70A4151D"/>
    <w:rsid w:val="740B2462"/>
    <w:rsid w:val="74A81D6A"/>
    <w:rsid w:val="752A5FF2"/>
    <w:rsid w:val="79200AD7"/>
    <w:rsid w:val="7C56527D"/>
    <w:rsid w:val="7F564045"/>
    <w:rsid w:val="7FEB1703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" w:cs="仿宋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68"/>
      <w:ind w:left="760"/>
      <w:jc w:val="both"/>
      <w:outlineLvl w:val="1"/>
    </w:pPr>
    <w:rPr>
      <w:rFonts w:ascii="仿宋" w:hAnsi="仿宋" w:eastAsia="仿宋" w:cs="仿宋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231"/>
      <w:ind w:left="120"/>
      <w:outlineLvl w:val="2"/>
    </w:pPr>
    <w:rPr>
      <w:rFonts w:ascii="仿宋" w:hAnsi="仿宋" w:eastAsia="仿宋" w:cs="仿宋"/>
      <w:sz w:val="32"/>
      <w:szCs w:val="32"/>
      <w:lang w:val="zh-CN" w:eastAsia="zh-CN" w:bidi="zh-CN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0"/>
      <w:szCs w:val="30"/>
      <w:lang w:val="zh-CN" w:eastAsia="zh-CN" w:bidi="zh-CN"/>
    </w:rPr>
  </w:style>
  <w:style w:type="table" w:customStyle="1" w:styleId="7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List Paragraph"/>
    <w:basedOn w:val="1"/>
    <w:qFormat/>
    <w:uiPriority w:val="1"/>
    <w:rPr>
      <w:lang w:val="zh-CN" w:eastAsia="zh-CN" w:bidi="zh-CN"/>
    </w:rPr>
  </w:style>
  <w:style w:type="paragraph" w:customStyle="1" w:styleId="9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2020-04-05T02:34:00Z</dcterms:created>
  <dc:creator>微软用户</dc:creator>
  <cp:lastModifiedBy>国库股-苟红兵</cp:lastModifiedBy>
  <dcterms:modified xsi:type="dcterms:W3CDTF">2021-09-13T10:23:15Z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2019-10-27T00:00:00Z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2020-04-05T00:00:00Z</vt:filetime>
  </property>
  <property fmtid="{D5CDD505-2E9C-101B-9397-08002B2CF9AE}" pid="5" name="KSOProductBuildVer">
    <vt:lpwstr>2052-10.1.0.6207</vt:lpwstr>
  </property>
</Properties>
</file>