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塔什库尔干县国土空间规划编制项目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塔什库尔干塔吉克自治县自然资源局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塔什库尔干塔吉克自治县自然资源局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肉孜巴依</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2023年03月10日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项目实施有效提高对管护区森林资源进行巡护，掌握辖区的林地、林木数量、位置等情况，对重点地块、珍稀树种要重点管护，发现问题及时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计划资金82.43万元，用于完成塔什库尔干县本级和十二县（市）国土空间规划编制工作，同步建立县国土空间规划监测评估预警管理系统，初步形成塔什库尔干县国土空间开发保护“一张图”。逐步建立“三级三类”国土空间规划体系，“三级”指县级、县（市）级、乡镇级国土空间规划，“三类”指总体规划、专项规划、详细规划（含村庄规划），项目计划投入资金305.58万元，用于完成塔什库尔干县国土空间规划编制面积23683.26平方公里，涉及乡镇场12个，编制说明书正式纸质版成果8套，编制说明书正式纸质版成果WORD\PDF\PPT\JPG\GIS一套，建立国土空间规划编制数据库1套，有效推进项目建设，减少恶性竞争，有效改善全县人民群众生产生活条件，公众对自然资源生态保护认知关注度，通过对现状总体规划，土地利用总体规划等的深入分析论证。发县级展国土规划发展潜力合理布局县级空间，显著提高国土综合整治与生态修复，持续提高自然生态资源保护，耕地保护意识，使得服务对象满意度、上级部门满意度达到95%以上。本轮规划基期为2019年，近期目标年为2025年，规划目标年为2035年，展望至2050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本项目由县自然资源局成立实施领导小组，主要负责协调、以及项目进度和完成质量的监督指导工作，下设项目管理执行办公室，设专人负责，统一协调项目的管理工作，组织对项目执行情况进行检查。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编制人数34，其中行政人员编制4人，工勤1人，参公14人，事业编制15人。实有在职人数32人，其中：行政在职4人、工勤1人、参公14人、事业在职13人。离退休人员10人，其中：行政退休人员9人、事业退休1人。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根据自治区财政厅《关于提前下达2021年中央林业草原生态保护恢复资金预算的通知》（新财资环〔2021〕99号）要求，塔什库尔干县国土空间规划编制项目。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截至2022年12月31日，实际支出82.43万元，预算执行率100%。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深入分析研究本区域在</w:t>
      </w:r>
      <w:r>
        <w:rPr>
          <w:rStyle w:val="18"/>
          <w:rFonts w:hint="eastAsia" w:ascii="仿宋" w:hAnsi="仿宋" w:eastAsia="仿宋" w:cs="仿宋"/>
          <w:b w:val="0"/>
          <w:bCs w:val="0"/>
          <w:spacing w:val="-4"/>
          <w:sz w:val="32"/>
          <w:szCs w:val="32"/>
          <w:lang w:eastAsia="zh-CN"/>
        </w:rPr>
        <w:t>“一带一路”倡议</w:t>
      </w:r>
      <w:bookmarkStart w:id="0" w:name="_GoBack"/>
      <w:bookmarkEnd w:id="0"/>
      <w:r>
        <w:rPr>
          <w:rStyle w:val="18"/>
          <w:rFonts w:hint="eastAsia" w:ascii="仿宋" w:hAnsi="仿宋" w:eastAsia="仿宋" w:cs="仿宋"/>
          <w:b w:val="0"/>
          <w:bCs w:val="0"/>
          <w:spacing w:val="-4"/>
          <w:sz w:val="32"/>
          <w:szCs w:val="32"/>
        </w:rPr>
        <w:t xml:space="preserve">中的重心地位，围绕社会稳定和长治久安总目标，突出丝绸之路经济带核心区建设、国土安全、兵地融合等塔什库尔干特色；明确全域城镇体系结构，合理配置区域基础设施和公共服务设施。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领导小组办公室设塔什库尔干县自然资源局，自然资源局主要负责项目手续办理，协调，资金拨付、项目验收等工作。通过实施该项目，各乡镇区域农村经济结构的调整，促进草原良性发展，增加农牧民收入。通过实施该项目提高绿化面积，改善群众生活质量，极大满足人民群众的需求，促进社会主义新农村建设和贫困户如期脱贫。</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卡达巴依任评价组组长，绩效评价工作职责为负责全盘工作。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萨迪克任评价组副组长，绩效评价工作职责为为对项目实施情况进行实地调查。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塔什库尔干县国土空间规划编制项目得分情况表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塔什库尔干塔吉克自治县自然资源局已完成塔什库尔干县国土空间规划编制项目，推动了经济的发展和可持续发展，产生良好的社会效益。该项目最终评分100分，绩效评级为“优”。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（1）立项依据充分性：结合塔什库尔干塔吉克自治县自然资源局职责，并组织实施。围绕2022年度工作重点和工作计划制定经费预算，根据评分标准，该指标不扣分，得3分。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塔什库尔干县国土空间规划编制项目覆盖面积23683.26平方公里，与预期目标一致，根据评分标准，该指标不扣分，得5分。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建立国土空间规划编制数据库1套，与预期目标一致，根据评分标准，该指标不扣分，得5分。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国土空间规划编制项目数据库数字正确率100%，与预期目标一致，根据评分标准，该指标不扣分，得5分。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项目开工及时率100%，与预期目标一致，根据评分标准，该指标不扣分，得5分。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国土空间规划总投入成本82.43万元，项目经费都能控制绩效目标范围内，，根据评分标准，该指标不扣分，得10分。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计得分10分。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项目效益类指标包括项目效益1个方面的内容，由7个三级指标构成，权重分为20分，实际得分20分，得分率为100%。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通过规划编制，引导未来项目建设，减少恶性竞争，有效推进，与预期指标一致，根据评分标准，该指标不扣分，得2分。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有效改善全县人民群众生产生活条件，有效改善与预期指标一致，根据评分标准，该指标不扣分，得2分。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该项目可持续影响年限1年，与预期指标一致，根据评分标准，该指标不扣分，得2分。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国土综合整治与生态修复，效果显著，与预期指标一致，根据评分标准，该指标不扣分，得2分。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持续提高自然生态资源保护，耕地保护意识，持续提高，与预期指标一致，根据评分标准，该指标不扣分，得2分。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对于“满意度指标：受益服务对象满意度95%，与预期目标一致，根据评分标准，该指标不扣分,得5分。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上级部门满意度95%，与预期目标一致，根据评分标准，该指标不扣分,得5分。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满意度指标合计得10分。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塔什库尔干县国土空间规划编制项目预算82.43万元，到位82.43万元，实际支出82.43万元，预算执行率为100%，项目绩效指标总体完成率为100%，偏差率为0%,无偏差。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5F72D63"/>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autoRedefine/>
    <w:semiHidden/>
    <w:qFormat/>
    <w:uiPriority w:val="9"/>
    <w:rPr>
      <w:rFonts w:asciiTheme="majorHAnsi" w:hAnsiTheme="majorHAnsi" w:eastAsiaTheme="majorEastAsia"/>
      <w:b/>
      <w:bCs/>
      <w:i/>
      <w:iCs/>
      <w:sz w:val="28"/>
      <w:szCs w:val="28"/>
    </w:rPr>
  </w:style>
  <w:style w:type="character" w:customStyle="1" w:styleId="22">
    <w:name w:val="标题 3 字符"/>
    <w:basedOn w:val="17"/>
    <w:link w:val="4"/>
    <w:autoRedefine/>
    <w:semiHidden/>
    <w:qFormat/>
    <w:uiPriority w:val="9"/>
    <w:rPr>
      <w:rFonts w:asciiTheme="majorHAnsi" w:hAnsiTheme="majorHAnsi" w:eastAsiaTheme="majorEastAsia"/>
      <w:b/>
      <w:bCs/>
      <w:sz w:val="26"/>
      <w:szCs w:val="26"/>
    </w:rPr>
  </w:style>
  <w:style w:type="character" w:customStyle="1" w:styleId="23">
    <w:name w:val="标题 4 字符"/>
    <w:basedOn w:val="17"/>
    <w:link w:val="5"/>
    <w:autoRedefine/>
    <w:qFormat/>
    <w:uiPriority w:val="9"/>
    <w:rPr>
      <w:b/>
      <w:bCs/>
      <w:sz w:val="28"/>
      <w:szCs w:val="28"/>
    </w:rPr>
  </w:style>
  <w:style w:type="character" w:customStyle="1" w:styleId="24">
    <w:name w:val="标题 5 字符"/>
    <w:basedOn w:val="17"/>
    <w:link w:val="6"/>
    <w:autoRedefine/>
    <w:semiHidden/>
    <w:qFormat/>
    <w:uiPriority w:val="9"/>
    <w:rPr>
      <w:b/>
      <w:bCs/>
      <w:i/>
      <w:iCs/>
      <w:sz w:val="26"/>
      <w:szCs w:val="26"/>
    </w:rPr>
  </w:style>
  <w:style w:type="character" w:customStyle="1" w:styleId="25">
    <w:name w:val="标题 6 字符"/>
    <w:basedOn w:val="17"/>
    <w:link w:val="7"/>
    <w:autoRedefine/>
    <w:semiHidden/>
    <w:qFormat/>
    <w:uiPriority w:val="9"/>
    <w:rPr>
      <w:b/>
      <w:bCs/>
    </w:rPr>
  </w:style>
  <w:style w:type="character" w:customStyle="1" w:styleId="26">
    <w:name w:val="标题 7 字符"/>
    <w:basedOn w:val="17"/>
    <w:link w:val="8"/>
    <w:autoRedefine/>
    <w:semiHidden/>
    <w:qFormat/>
    <w:uiPriority w:val="9"/>
    <w:rPr>
      <w:sz w:val="24"/>
      <w:szCs w:val="24"/>
    </w:rPr>
  </w:style>
  <w:style w:type="character" w:customStyle="1" w:styleId="27">
    <w:name w:val="标题 8 字符"/>
    <w:basedOn w:val="17"/>
    <w:link w:val="9"/>
    <w:autoRedefine/>
    <w:semiHidden/>
    <w:qFormat/>
    <w:uiPriority w:val="9"/>
    <w:rPr>
      <w:i/>
      <w:iCs/>
      <w:sz w:val="24"/>
      <w:szCs w:val="24"/>
    </w:rPr>
  </w:style>
  <w:style w:type="character" w:customStyle="1" w:styleId="28">
    <w:name w:val="标题 9 字符"/>
    <w:basedOn w:val="17"/>
    <w:link w:val="10"/>
    <w:autoRedefine/>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2024-05-21T12:07:44Z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