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5F9FF" w14:textId="77777777" w:rsidR="001D59F7" w:rsidRDefault="001D59F7">
      <w:pPr>
        <w:spacing w:line="570" w:lineRule="exact"/>
        <w:jc w:val="center"/>
        <w:rPr>
          <w:rFonts w:ascii="华文中宋" w:eastAsia="华文中宋" w:hAnsi="华文中宋" w:cs="宋体"/>
          <w:b/>
          <w:kern w:val="0"/>
          <w:sz w:val="52"/>
          <w:szCs w:val="52"/>
        </w:rPr>
      </w:pPr>
    </w:p>
    <w:p w14:paraId="46549FB3" w14:textId="77777777" w:rsidR="001D59F7" w:rsidRDefault="001D59F7">
      <w:pPr>
        <w:spacing w:line="570" w:lineRule="exact"/>
        <w:jc w:val="center"/>
        <w:rPr>
          <w:rFonts w:ascii="华文中宋" w:eastAsia="华文中宋" w:hAnsi="华文中宋" w:cs="宋体"/>
          <w:b/>
          <w:kern w:val="0"/>
          <w:sz w:val="52"/>
          <w:szCs w:val="52"/>
        </w:rPr>
      </w:pPr>
    </w:p>
    <w:p w14:paraId="377F7DCE" w14:textId="77777777" w:rsidR="001D59F7" w:rsidRDefault="001D59F7">
      <w:pPr>
        <w:spacing w:line="570" w:lineRule="exact"/>
        <w:jc w:val="center"/>
        <w:rPr>
          <w:rFonts w:ascii="华文中宋" w:eastAsia="华文中宋" w:hAnsi="华文中宋" w:cs="宋体"/>
          <w:b/>
          <w:kern w:val="0"/>
          <w:sz w:val="52"/>
          <w:szCs w:val="52"/>
        </w:rPr>
      </w:pPr>
    </w:p>
    <w:p w14:paraId="310A1144" w14:textId="77777777" w:rsidR="001D59F7" w:rsidRDefault="001D59F7">
      <w:pPr>
        <w:spacing w:line="570" w:lineRule="exact"/>
        <w:jc w:val="center"/>
        <w:rPr>
          <w:rFonts w:ascii="华文中宋" w:eastAsia="华文中宋" w:hAnsi="华文中宋" w:cs="宋体"/>
          <w:b/>
          <w:kern w:val="0"/>
          <w:sz w:val="52"/>
          <w:szCs w:val="52"/>
        </w:rPr>
      </w:pPr>
    </w:p>
    <w:p w14:paraId="6A4537D7" w14:textId="77777777" w:rsidR="001D59F7" w:rsidRDefault="001D59F7">
      <w:pPr>
        <w:spacing w:line="570" w:lineRule="exact"/>
        <w:rPr>
          <w:rFonts w:ascii="华文中宋" w:eastAsia="华文中宋" w:hAnsi="华文中宋" w:cs="宋体"/>
          <w:b/>
          <w:kern w:val="0"/>
          <w:sz w:val="52"/>
          <w:szCs w:val="52"/>
        </w:rPr>
      </w:pPr>
    </w:p>
    <w:p w14:paraId="7C7C20A6" w14:textId="77777777" w:rsidR="001D59F7" w:rsidRDefault="001D59F7">
      <w:pPr>
        <w:spacing w:line="570" w:lineRule="exact"/>
        <w:jc w:val="center"/>
        <w:rPr>
          <w:rFonts w:ascii="华文中宋" w:eastAsia="华文中宋" w:hAnsi="华文中宋" w:cs="宋体"/>
          <w:b/>
          <w:kern w:val="0"/>
          <w:sz w:val="52"/>
          <w:szCs w:val="52"/>
        </w:rPr>
      </w:pPr>
    </w:p>
    <w:p w14:paraId="40FD6F93" w14:textId="20C65D18" w:rsidR="001D59F7" w:rsidRDefault="00000000">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w:t>
      </w:r>
      <w:r w:rsidR="00D74CBE">
        <w:rPr>
          <w:rFonts w:ascii="方正小标宋_GBK" w:eastAsia="方正小标宋_GBK" w:hAnsi="华文中宋" w:cs="宋体" w:hint="eastAsia"/>
          <w:b/>
          <w:kern w:val="0"/>
          <w:sz w:val="44"/>
          <w:szCs w:val="44"/>
        </w:rPr>
        <w:t>部门单位项目支出绩效评价报告</w:t>
      </w:r>
    </w:p>
    <w:p w14:paraId="55AE2A33" w14:textId="77777777" w:rsidR="001D59F7" w:rsidRDefault="001D59F7">
      <w:pPr>
        <w:spacing w:line="570" w:lineRule="exact"/>
        <w:jc w:val="center"/>
        <w:rPr>
          <w:rFonts w:ascii="华文中宋" w:eastAsia="华文中宋" w:hAnsi="华文中宋" w:cs="宋体"/>
          <w:b/>
          <w:kern w:val="0"/>
          <w:sz w:val="52"/>
          <w:szCs w:val="52"/>
        </w:rPr>
      </w:pPr>
    </w:p>
    <w:p w14:paraId="1595D187" w14:textId="77777777" w:rsidR="001D59F7" w:rsidRDefault="00000000">
      <w:pPr>
        <w:spacing w:line="57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仿宋_GB2312" w:eastAsia="仿宋_GB2312" w:hAnsi="楷体" w:hint="eastAsia"/>
          <w:spacing w:val="-4"/>
          <w:sz w:val="32"/>
          <w:szCs w:val="32"/>
        </w:rPr>
        <w:t>2022</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F93EA35" w14:textId="77777777" w:rsidR="001D59F7" w:rsidRDefault="001D59F7">
      <w:pPr>
        <w:spacing w:line="570" w:lineRule="exact"/>
        <w:jc w:val="center"/>
        <w:rPr>
          <w:rFonts w:eastAsia="仿宋_GB2312" w:hAnsi="宋体" w:cs="宋体"/>
          <w:kern w:val="0"/>
          <w:sz w:val="30"/>
          <w:szCs w:val="30"/>
        </w:rPr>
      </w:pPr>
    </w:p>
    <w:p w14:paraId="588CB5A4" w14:textId="77777777" w:rsidR="001D59F7" w:rsidRDefault="001D59F7">
      <w:pPr>
        <w:spacing w:line="570" w:lineRule="exact"/>
        <w:jc w:val="center"/>
        <w:rPr>
          <w:rFonts w:eastAsia="仿宋_GB2312" w:hAnsi="宋体" w:cs="宋体"/>
          <w:kern w:val="0"/>
          <w:sz w:val="30"/>
          <w:szCs w:val="30"/>
        </w:rPr>
      </w:pPr>
    </w:p>
    <w:p w14:paraId="29212BDF" w14:textId="77777777" w:rsidR="001D59F7" w:rsidRDefault="001D59F7">
      <w:pPr>
        <w:spacing w:line="570" w:lineRule="exact"/>
        <w:jc w:val="center"/>
        <w:rPr>
          <w:rFonts w:eastAsia="仿宋_GB2312" w:hAnsi="宋体" w:cs="宋体"/>
          <w:kern w:val="0"/>
          <w:sz w:val="30"/>
          <w:szCs w:val="30"/>
        </w:rPr>
      </w:pPr>
    </w:p>
    <w:p w14:paraId="789CD4F0" w14:textId="77777777" w:rsidR="001D59F7" w:rsidRDefault="001D59F7">
      <w:pPr>
        <w:spacing w:line="570" w:lineRule="exact"/>
        <w:jc w:val="center"/>
        <w:rPr>
          <w:rFonts w:eastAsia="仿宋_GB2312" w:hAnsi="宋体" w:cs="宋体"/>
          <w:kern w:val="0"/>
          <w:sz w:val="30"/>
          <w:szCs w:val="30"/>
        </w:rPr>
      </w:pPr>
    </w:p>
    <w:p w14:paraId="33A1ED9B" w14:textId="77777777" w:rsidR="001D59F7" w:rsidRDefault="001D59F7">
      <w:pPr>
        <w:spacing w:line="570" w:lineRule="exact"/>
        <w:jc w:val="center"/>
        <w:rPr>
          <w:rFonts w:eastAsia="仿宋_GB2312" w:hAnsi="宋体" w:cs="宋体"/>
          <w:kern w:val="0"/>
          <w:sz w:val="30"/>
          <w:szCs w:val="30"/>
        </w:rPr>
      </w:pPr>
    </w:p>
    <w:p w14:paraId="662514DE" w14:textId="77777777" w:rsidR="001D59F7" w:rsidRDefault="001D59F7">
      <w:pPr>
        <w:spacing w:line="570" w:lineRule="exact"/>
        <w:jc w:val="center"/>
        <w:rPr>
          <w:rFonts w:eastAsia="仿宋_GB2312" w:hAnsi="宋体" w:cs="宋体"/>
          <w:kern w:val="0"/>
          <w:sz w:val="30"/>
          <w:szCs w:val="30"/>
        </w:rPr>
      </w:pPr>
    </w:p>
    <w:p w14:paraId="379E8661" w14:textId="77777777" w:rsidR="001D59F7" w:rsidRDefault="00000000">
      <w:pPr>
        <w:spacing w:line="700" w:lineRule="exact"/>
        <w:ind w:firstLineChars="100" w:firstLine="360"/>
        <w:jc w:val="left"/>
        <w:rPr>
          <w:rFonts w:ascii="仿宋" w:eastAsia="仿宋" w:hAnsi="仿宋" w:cs="仿宋"/>
          <w:kern w:val="0"/>
          <w:sz w:val="32"/>
          <w:szCs w:val="32"/>
        </w:rPr>
      </w:pPr>
      <w:r>
        <w:rPr>
          <w:rFonts w:ascii="仿宋" w:eastAsia="仿宋" w:hAnsi="仿宋" w:cs="仿宋" w:hint="eastAsia"/>
          <w:kern w:val="0"/>
          <w:sz w:val="36"/>
          <w:szCs w:val="36"/>
        </w:rPr>
        <w:t>项目名称：</w:t>
      </w:r>
      <w:r>
        <w:rPr>
          <w:rStyle w:val="ad"/>
          <w:rFonts w:ascii="仿宋" w:eastAsia="仿宋" w:hAnsi="仿宋" w:cs="仿宋" w:hint="eastAsia"/>
          <w:b w:val="0"/>
          <w:bCs w:val="0"/>
          <w:spacing w:val="-4"/>
          <w:sz w:val="32"/>
          <w:szCs w:val="32"/>
        </w:rPr>
        <w:t>新疆塔什库尔干县马尔洋乡政府崩塌防治工程项目</w:t>
      </w:r>
    </w:p>
    <w:p w14:paraId="57960922" w14:textId="77777777" w:rsidR="001D59F7" w:rsidRDefault="00000000">
      <w:pPr>
        <w:spacing w:line="570" w:lineRule="exact"/>
        <w:ind w:firstLineChars="100" w:firstLine="360"/>
        <w:jc w:val="left"/>
        <w:rPr>
          <w:rFonts w:ascii="仿宋" w:eastAsia="仿宋" w:hAnsi="仿宋" w:cs="仿宋"/>
          <w:kern w:val="0"/>
          <w:sz w:val="32"/>
          <w:szCs w:val="32"/>
        </w:rPr>
      </w:pPr>
      <w:r>
        <w:rPr>
          <w:rFonts w:ascii="仿宋" w:eastAsia="仿宋" w:hAnsi="仿宋" w:cs="仿宋" w:hint="eastAsia"/>
          <w:kern w:val="0"/>
          <w:sz w:val="36"/>
          <w:szCs w:val="36"/>
        </w:rPr>
        <w:t>实施单位（公章）：</w:t>
      </w:r>
      <w:r>
        <w:rPr>
          <w:rStyle w:val="ad"/>
          <w:rFonts w:ascii="仿宋" w:eastAsia="仿宋" w:hAnsi="仿宋" w:cs="仿宋" w:hint="eastAsia"/>
          <w:b w:val="0"/>
          <w:bCs w:val="0"/>
          <w:spacing w:val="-4"/>
          <w:sz w:val="32"/>
          <w:szCs w:val="32"/>
        </w:rPr>
        <w:t>塔什库尔干塔吉克自治县自然资源局</w:t>
      </w:r>
    </w:p>
    <w:p w14:paraId="31E94BA6" w14:textId="77777777" w:rsidR="001D59F7" w:rsidRDefault="00000000">
      <w:pPr>
        <w:spacing w:line="540" w:lineRule="exact"/>
        <w:ind w:firstLineChars="100" w:firstLine="360"/>
        <w:rPr>
          <w:rFonts w:ascii="仿宋" w:eastAsia="仿宋" w:hAnsi="仿宋" w:cs="仿宋"/>
          <w:spacing w:val="-4"/>
          <w:sz w:val="32"/>
          <w:szCs w:val="32"/>
        </w:rPr>
      </w:pPr>
      <w:r>
        <w:rPr>
          <w:rFonts w:ascii="仿宋" w:eastAsia="仿宋" w:hAnsi="仿宋" w:cs="仿宋" w:hint="eastAsia"/>
          <w:kern w:val="0"/>
          <w:sz w:val="36"/>
          <w:szCs w:val="36"/>
        </w:rPr>
        <w:t>主管部门（公章）：</w:t>
      </w:r>
      <w:r>
        <w:rPr>
          <w:rStyle w:val="ad"/>
          <w:rFonts w:ascii="仿宋" w:eastAsia="仿宋" w:hAnsi="仿宋" w:cs="仿宋" w:hint="eastAsia"/>
          <w:b w:val="0"/>
          <w:bCs w:val="0"/>
          <w:spacing w:val="-4"/>
          <w:sz w:val="32"/>
          <w:szCs w:val="32"/>
        </w:rPr>
        <w:t>塔什库尔干塔吉克自治县自然资源局</w:t>
      </w:r>
    </w:p>
    <w:p w14:paraId="5E07E12A" w14:textId="77777777" w:rsidR="001D59F7" w:rsidRDefault="00000000">
      <w:pPr>
        <w:spacing w:line="570" w:lineRule="exact"/>
        <w:ind w:firstLineChars="100" w:firstLine="360"/>
        <w:rPr>
          <w:rFonts w:ascii="仿宋" w:eastAsia="仿宋" w:hAnsi="仿宋" w:cs="仿宋"/>
          <w:spacing w:val="-4"/>
          <w:sz w:val="32"/>
          <w:szCs w:val="32"/>
        </w:rPr>
      </w:pPr>
      <w:r>
        <w:rPr>
          <w:rFonts w:ascii="仿宋" w:eastAsia="仿宋" w:hAnsi="仿宋" w:cs="仿宋" w:hint="eastAsia"/>
          <w:kern w:val="0"/>
          <w:sz w:val="36"/>
          <w:szCs w:val="36"/>
        </w:rPr>
        <w:t>项目负责人（签章）：</w:t>
      </w:r>
      <w:r>
        <w:rPr>
          <w:rStyle w:val="ad"/>
          <w:rFonts w:ascii="仿宋" w:eastAsia="仿宋" w:hAnsi="仿宋" w:cs="仿宋" w:hint="eastAsia"/>
          <w:b w:val="0"/>
          <w:bCs w:val="0"/>
          <w:spacing w:val="-4"/>
          <w:sz w:val="32"/>
          <w:szCs w:val="32"/>
        </w:rPr>
        <w:t>肉孜巴依</w:t>
      </w:r>
    </w:p>
    <w:p w14:paraId="6F55FB7F" w14:textId="77777777" w:rsidR="001D59F7" w:rsidRDefault="00000000">
      <w:pPr>
        <w:spacing w:line="540" w:lineRule="exact"/>
        <w:ind w:firstLineChars="100" w:firstLine="360"/>
        <w:rPr>
          <w:rStyle w:val="ad"/>
          <w:rFonts w:ascii="仿宋" w:eastAsia="仿宋" w:hAnsi="仿宋" w:cs="仿宋"/>
          <w:b w:val="0"/>
          <w:bCs w:val="0"/>
          <w:spacing w:val="-4"/>
          <w:sz w:val="32"/>
          <w:szCs w:val="32"/>
        </w:rPr>
      </w:pPr>
      <w:r>
        <w:rPr>
          <w:rFonts w:ascii="仿宋" w:eastAsia="仿宋" w:hAnsi="仿宋" w:cs="仿宋" w:hint="eastAsia"/>
          <w:kern w:val="0"/>
          <w:sz w:val="36"/>
          <w:szCs w:val="36"/>
        </w:rPr>
        <w:t>填报时间：</w:t>
      </w:r>
      <w:r>
        <w:rPr>
          <w:rStyle w:val="ad"/>
          <w:rFonts w:ascii="仿宋" w:eastAsia="仿宋" w:hAnsi="仿宋" w:cs="仿宋" w:hint="eastAsia"/>
          <w:b w:val="0"/>
          <w:bCs w:val="0"/>
          <w:spacing w:val="-4"/>
          <w:sz w:val="32"/>
          <w:szCs w:val="32"/>
        </w:rPr>
        <w:t>2023年03月10日</w:t>
      </w:r>
    </w:p>
    <w:p w14:paraId="509E1EE9" w14:textId="77777777" w:rsidR="001D59F7" w:rsidRDefault="00000000">
      <w:pPr>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br w:type="page"/>
      </w:r>
    </w:p>
    <w:p w14:paraId="5D14C083"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lastRenderedPageBreak/>
        <w:t>一、基本情况</w:t>
      </w:r>
    </w:p>
    <w:p w14:paraId="002A42B3" w14:textId="77777777" w:rsidR="001D59F7" w:rsidRDefault="00000000">
      <w:pPr>
        <w:spacing w:line="570" w:lineRule="exact"/>
        <w:ind w:firstLineChars="200" w:firstLine="627"/>
        <w:rPr>
          <w:rStyle w:val="ad"/>
          <w:rFonts w:ascii="方正楷体_GBK" w:eastAsia="方正楷体_GBK" w:hAnsi="方正楷体_GBK" w:cs="方正楷体_GBK"/>
          <w:bCs w:val="0"/>
          <w:spacing w:val="-4"/>
          <w:sz w:val="32"/>
          <w:szCs w:val="32"/>
        </w:rPr>
      </w:pPr>
      <w:r>
        <w:rPr>
          <w:rStyle w:val="ad"/>
          <w:rFonts w:ascii="楷体" w:eastAsia="楷体" w:hAnsi="楷体" w:cs="楷体" w:hint="eastAsia"/>
          <w:bCs w:val="0"/>
          <w:spacing w:val="-4"/>
          <w:sz w:val="32"/>
          <w:szCs w:val="32"/>
        </w:rPr>
        <w:t>（一）项目概况。包括项目背景、主要内容及实施情况、资金投入和使用情况等。</w:t>
      </w:r>
    </w:p>
    <w:p w14:paraId="704D9016"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（一）项目概况</w:t>
        <w:br/>
        <w:t>1. 项目背景</w:t>
        <w:br/>
        <w:t>本项目遵循财政部《项目支出绩效评价管理办法》（财预〔2020〕10号）和自治区财政厅《自治区财政支出绩效评价管理暂行办法》（新财预〔2018〕189号）等相关政策文件与规定，项目实施有效提高对管护区森林资源进行巡护，掌握辖区的林地、林木数量、位置等情况，对重点地块、珍稀树种要重点管护，发现问题及时报告。</w:t>
        <w:br/>
        <w:t></w:t>
        <w:br/>
        <w:t>2. 主要内容及实施情况</w:t>
        <w:br/>
        <w:t>该项目计划资金300万元，项目计划投入资金300万元，用于马尔洋乡政府崩塌防治工程（二期）项目费用289.5万元，监理费10.5万元；项目内容：1.块石清理范围为崩塌堆积物分布范围，清理对象为解小后的碎石和坡面危石。在1#、2#、5#危岩及BT3、 BT4 、BT5、 BT6 周围需人工解小的总体积约为15立方米（块石体积），坡面上小体积危石体积约占总体积的20%，清理坡面上小体积危石的体积为75立方米，人工清理总体积为90立方米，平均人工搬运距离200米。</w:t>
        <w:br/>
        <w:t xml:space="preserve"> 3.项目实施主体</w:t>
        <w:br/>
        <w:t>本项目由县自然资源局成立实施领导小组，主要负责协调、以及项目进度和完成质量的监督指导工作，下设项目管理执行办公室，设专人负责，统一协调项目的管理工作，组织对项目执行情况进行检查。</w:t>
        <w:br/>
        <w:t>编制人数34，其中行政人员编制4人，工勤1人，参公14人，事业编制15人。实有在职人数32人，其中：行政在职4人、工勤1人、参公14人、事业在职13人。离退休人员10人，其中：行政退休人员9人、事业退休1人。</w:t>
        <w:br/>
        <w:t>4. 资金投入和使用情况</w:t>
        <w:br/>
        <w:t>喀什地区2022年自治区出资地质灾害防治项目公开招标文件（第二册），新疆塔什库尔干县马尔洋乡政府崩塌防治工程（二期）项目需求（招标编号：KS-DZFZZB-2022-02）。</w:t>
        <w:br/>
        <w:t>截至2022年12月31日，实际支出300万元，预算执行率100%。</w:t>
      </w:r>
    </w:p>
    <w:p w14:paraId="6A9D8BA2"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（二）项目绩效目标。包括总体目标和阶段性目标。</w:t>
      </w:r>
    </w:p>
    <w:p w14:paraId="3902C6CE"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（一）项目概况</w:t>
        <w:br/>
        <w:t>1. 项目背景</w:t>
        <w:br/>
        <w:t>本项目遵循财政部《项目支出绩效评价管理办法》（财预〔2020〕10号）和自治区财政厅《自治区财政支出绩效评价管理暂行办法》（新财预〔2018〕189号）等相关政策文件与规定，项目实施有效提高对管护区森林资源进行巡护，掌握辖区的林地、林木数量、位置等情况，对重点地块、珍稀树种要重点管护，发现问题及时报告。</w:t>
        <w:br/>
        <w:t></w:t>
        <w:br/>
        <w:t>2. 主要内容及实施情况</w:t>
        <w:br/>
        <w:t>该项目计划资金300万元，项目计划投入资金300万元，用于马尔洋乡政府崩塌防治工程（二期）项目费用289.5万元，监理费10.5万元；项目内容：1.块石清理范围为崩塌堆积物分布范围，清理对象为解小后的碎石和坡面危石。在1#、2#、5#危岩及BT3、 BT4 、BT5、 BT6 周围需人工解小的总体积约为15立方米（块石体积），坡面上小体积危石体积约占总体积的20%，清理坡面上小体积危石的体积为75立方米，人工清理总体积为90立方米，平均人工搬运距离200米。</w:t>
        <w:br/>
        <w:t xml:space="preserve"> 3.项目实施主体</w:t>
        <w:br/>
        <w:t>本项目由县自然资源局成立实施领导小组，主要负责协调、以及项目进度和完成质量的监督指导工作，下设项目管理执行办公室，设专人负责，统一协调项目的管理工作，组织对项目执行情况进行检查。</w:t>
        <w:br/>
        <w:t>编制人数34，其中行政人员编制4人，工勤1人，参公14人，事业编制15人。实有在职人数32人，其中：行政在职4人、工勤1人、参公14人、事业在职13人。离退休人员10人，其中：行政退休人员9人、事业退休1人。</w:t>
        <w:br/>
        <w:t>4. 资金投入和使用情况</w:t>
        <w:br/>
        <w:t>喀什地区2022年自治区出资地质灾害防治项目公开招标文件（第二册），新疆塔什库尔干县马尔洋乡政府崩塌防治工程（二期）项目需求（招标编号：KS-DZFZZB-2022-02）。</w:t>
        <w:br/>
        <w:t>截至2022年12月31日，实际支出300万元，预算执行率100%。</w:t>
      </w:r>
    </w:p>
    <w:p w14:paraId="3A919777"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二、绩效评价工作开展情况</w:t>
      </w:r>
    </w:p>
    <w:p w14:paraId="7E6C86C5"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（一）绩效评价目的、对象和范围。</w:t>
      </w:r>
    </w:p>
    <w:p w14:paraId="247B2BE7"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（一）绩效评价目的、对象和范围</w:t>
        <w:b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14:paraId="24500BF8"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（二）绩效评价原则、评价指标体系（附表说明）、评价方法、评价标准等。</w:t>
      </w:r>
    </w:p>
    <w:p w14:paraId="2DE7F4C6"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2个二级指标。项目绩效评价体系详见附件1。</w:t>
        <w:br/>
        <w:t>3. 绩效评价方法</w:t>
        <w:br/>
        <w:t>本次评价采用定量与定性评价相结合的比较法，公众评判法，总分由各项指标得分汇总形成。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 绩效评价标准</w:t>
        <w:br/>
        <w:t>绩效评价标准通常包括计划标准、行业标准、历史标准等，用于对绩效指标完成情况进行比较、分析、评价。本次评价主要采用了计划标准。</w:t>
        <w:br/>
        <w:t>计划标准：指以预先制定的目标、计划、预算、定额等</w:t>
        <w:br/>
        <w:t>作为评价标准。</w:t>
        <w:br/>
        <w:t>行业标准：指参照国家公布的行业指标数据制定的评价</w:t>
        <w:br/>
        <w:t>标准。</w:t>
        <w:br/>
        <w:t>历史标准：指参照历史数据制定的评价标准，为体现绩</w:t>
        <w:br/>
        <w:t>效改进的原则，在可实现的条件下应当确定相对较高的评价标准。</w:t>
      </w:r>
    </w:p>
    <w:p w14:paraId="36A614F1"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（三）绩效评价工作过程。</w:t>
      </w:r>
    </w:p>
    <w:p w14:paraId="1C7E2031"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卡达巴依任评价组组长，绩效评价工作职责为负责全盘工作。</w:t>
        <w:br/>
        <w:t>萨迪克任评价组副组长，绩效评价工作职责为为对项目实施情况进行实地调查。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14:paraId="2DA5CBF2"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三、综合评价情况及评价结论</w:t>
      </w:r>
    </w:p>
    <w:p w14:paraId="4C8DDC14"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（一）综合评价情况</w:t>
        <w:br/>
        <w:t>经评价组通过实地调研、综合分析法、问卷调查法等方式，主要采用综合分析法对项目的决策、实施、产出、效益进行综合评价分析，最终评分100分。</w:t>
        <w:br/>
        <w:t>新疆塔什库尔干县马尔洋乡政府崩塌防治工程项目</w:t>
        <w:br/>
        <w:t>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塔什库尔干塔吉克自治县自然资源局已完成新疆塔什库尔干县马尔洋乡政府崩塌防治工程项目，推动了经济的发展和可持续发展，产生良好的社会效益。该项目最终评分100分，绩效评级为“优”。</w:t>
      </w:r>
    </w:p>
    <w:p w14:paraId="7940CAF2" w14:textId="77777777" w:rsidR="001D59F7" w:rsidRDefault="00000000">
      <w:pPr>
        <w:spacing w:line="570" w:lineRule="exact"/>
        <w:ind w:firstLineChars="200" w:firstLine="624"/>
        <w:rPr>
          <w:rStyle w:val="ad"/>
          <w:rFonts w:ascii="黑体" w:eastAsia="黑体" w:hAnsi="黑体" w:cs="黑体"/>
          <w:b w:val="0"/>
          <w:sz w:val="32"/>
          <w:szCs w:val="32"/>
        </w:rPr>
      </w:pPr>
      <w:r>
        <w:rPr>
          <w:rStyle w:val="ad"/>
          <w:rFonts w:ascii="黑体" w:eastAsia="黑体" w:hAnsi="黑体" w:cs="黑体" w:hint="eastAsia"/>
          <w:b w:val="0"/>
          <w:spacing w:val="-4"/>
          <w:sz w:val="32"/>
          <w:szCs w:val="32"/>
        </w:rPr>
        <w:t xml:space="preserve">四、绩效评价指标分析 </w:t>
      </w:r>
    </w:p>
    <w:p w14:paraId="45B6A465"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（一）项目决策情况。</w:t>
      </w:r>
    </w:p>
    <w:p w14:paraId="0ACD818C"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（一）项目决策情况</w:t>
        <w:b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（1）立项依据充分性：结合塔什库尔干塔吉克自治县自然资源局职责，并组织实施。围绕2022年度工作重点和工作计划制定经费预算，根据评分标准，该指标不扣分，得3分。</w:t>
        <w:br/>
        <w:t>（2）立项程序规范性：根据决策依据编制工作计划和经费预算，经过与分管领导进行沟通、筛选确定经费预算计划，上党委会研究确定最终预算方案，根据评分标准，该指标不扣分，得2分。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 将项目绩效目标细化分解为具体的绩效指标，根据评分标准，该指标不扣分，得2分。</w:t>
        <w:br/>
        <w:t>（5）预算编制科学性： 预算编制经过科学论证，内容与项目内容匹配，项目投资额与工作任务相匹配，根据评分标准，该指标不扣分，得5分。</w:t>
        <w:br/>
        <w:t>（6）资金分配合理性：资金分配与实际相适应，根据评分标准，该指标不扣分，得5分。</w:t>
      </w:r>
    </w:p>
    <w:p w14:paraId="08EF9CF2"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（二）项目过程情况。</w:t>
      </w:r>
    </w:p>
    <w:p w14:paraId="6B64B585"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项目过程类指标包括资金管理和组织实施两方面的内容，由 5个三级指标构成，权重分为20分，实际得分20分，得分率为100%。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（1）资金到位率：财政资金足额拨付到位，牵头单位能够及时足额按照合同约定将专项资金拨付给联合体单位，根据评分标准，该指标不扣分，得5分。   </w:t>
        <w:br/>
        <w:t>（2）预算执行率：预算编制较为详细，项目资金支出总体能够按照预算执行，根据评分标准，该指标不扣分，得5分。</w:t>
        <w:br/>
        <w:t>（3）资金使用合规性：制定了相关的制度和管理规定对经费使用进行规范管理，财务制度健全、执行严格，根据评分标准，该指标不扣分，得5分。</w:t>
        <w:br/>
        <w:t>（4）管理制度健全性：制定了党校相关管理办法，对财政专项资金进行严格管理，基本做到了专款专用，根据评分标准，该指标不扣分，得2分。</w:t>
        <w:b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14:paraId="1194A5B5"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（三）项目产出情况。</w:t>
      </w:r>
    </w:p>
    <w:p w14:paraId="0EA5C3EF"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项目产出类指标包括产出数量、产出质量、产出时效、产出成本四方面的内容，由8个三级指标构成，权重分为40分，实际得分40分，得分率为100%。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地质灾害隐患点治理1处，与预期目标一致，根据评分标准，该指标不扣分，得5分。</w:t>
        <w:br/>
        <w:t>崩塌堆积区面积3270米，与预期目标一致，根据评分标准，该指标不扣分，得5分。</w:t>
        <w:br/>
        <w:t></w:t>
        <w:br/>
        <w:t>合计得10分。</w:t>
        <w:br/>
        <w:t>（2）对于“产出质量”：</w:t>
        <w:br/>
        <w:t>项目完成及时率95%，与预期目标一致，根据评分标准，该指标不扣分，得5分。</w:t>
        <w:br/>
        <w:t>项目野外检查验收通过合格率95%，与预期目标一致，根据评分标准，该指标不扣分，得5分。</w:t>
        <w:br/>
        <w:t>合计得10分。</w:t>
        <w:br/>
        <w:t>（3）对于“产出时效”：</w:t>
        <w:br/>
        <w:t>当年工程按时开工率95%，与预期目标一致，根据评分标准，该指标不扣分，得5分。</w:t>
        <w:br/>
        <w:t>项目资金拨付及时率95%，与预期目标一致，根据评分标准，该指标不扣分，得5分。</w:t>
        <w:br/>
        <w:t>合计得10分。</w:t>
        <w:br/>
        <w:t>（4）对于“产出成本”：</w:t>
        <w:br/>
        <w:t>项目监理费10.50万元，项目经费都能控制绩效目标范围内，根据评分标准，该指标不扣分，得5分。</w:t>
        <w:br/>
        <w:t>项目工程投入资金289.50万元，项目经费都能控制绩效目标范围内，，根据评分标准，该指标不扣分，得5分。</w:t>
        <w:br/>
        <w:t>计得分10分。</w:t>
      </w:r>
    </w:p>
    <w:p w14:paraId="085A5DA0"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（四）项目效益情况。</w:t>
      </w:r>
    </w:p>
    <w:p w14:paraId="0DC686A4"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项目效益类指标包括项目效益1个方面的内容，由4个三级指标构成，权重分为20分，实际得分20分，得分率为100%。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人民生命和财产安全，得到保障，与预期指标一致，根据评分标准，该指标不扣分，得3分。</w:t>
        <w:br/>
        <w:t>有效核销地质灾害隐患数量，有效核销，与预期指标一致，根据评分标准，该指标不扣分，得3分。</w:t>
        <w:br/>
        <w:t></w:t>
        <w:br/>
        <w:t>（2）对于“可持续影响指标”：</w:t>
        <w:br/>
        <w:t>该项目可持续影响年限1年，与预期指标一致，根据评分标准，该指标不扣分，得4分。</w:t>
        <w:br/>
        <w:t>（3）对于“经济效益指标”：</w:t>
        <w:br/>
        <w:t>无。</w:t>
        <w:br/>
        <w:t>（4）对于“生态效益指标”：</w:t>
        <w:br/>
        <w:t>无。</w:t>
        <w:br/>
        <w:t>实施效益指标合计得10分。</w:t>
        <w:br/>
        <w:t>2.满意度指标:</w:t>
        <w:br/>
        <w:t>对于“满意度指标：实施区域收益人群满意度95%，与预期目标一致，根据评分标准，该指标不扣分,得10分。</w:t>
        <w:br/>
        <w:t>满意度指标合计得10分。</w:t>
      </w:r>
    </w:p>
    <w:p w14:paraId="1427E7F2"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lastRenderedPageBreak/>
        <w:t>五、预算执行进度与绩效指标偏差</w:t>
      </w:r>
    </w:p>
    <w:p w14:paraId="59F9E263" w14:textId="77777777" w:rsidR="001D59F7" w:rsidRDefault="00000000">
      <w:pPr>
        <w:spacing w:line="540" w:lineRule="exact"/>
        <w:ind w:firstLine="567"/>
        <w:rPr>
          <w:rFonts w:ascii="仿宋" w:eastAsia="仿宋" w:hAnsi="仿宋" w:cs="仿宋"/>
          <w:spacing w:val="-4"/>
          <w:sz w:val="32"/>
          <w:szCs w:val="32"/>
        </w:rPr>
      </w:pPr>
      <w:r>
        <w:rPr>
          <w:rStyle w:val="ad"/>
          <w:rFonts w:ascii="仿宋" w:eastAsia="仿宋" w:hAnsi="仿宋" w:cs="仿宋" w:hint="eastAsia"/>
          <w:b w:val="0"/>
          <w:bCs w:val="0"/>
          <w:spacing w:val="-4"/>
          <w:sz w:val="32"/>
          <w:szCs w:val="32"/>
        </w:rPr>
        <w:t>新疆塔什库尔干县马尔洋乡政府崩塌防治工程项目预算300万元，到位300万元，实际支出300万元，预算执行率为100%，项目绩效指标总体完成率为100%，偏差率为0%,无偏差。</w:t>
      </w:r>
    </w:p>
    <w:p w14:paraId="626EE800"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六、主要经验及做法、存在的问题及原因分析</w:t>
      </w:r>
    </w:p>
    <w:p w14:paraId="53C72163"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（一）主要经验及做法</w:t>
        <w:br/>
        <w:t>一是本项目能够严格按照《项目实施方案》执行，项目执行情况较好。二是加强组织领导，本项目绩效评价工作，有县政府主要领导亲自挂帅，分管县领导具体负责，从项目到资金，均能后很好的执行。三是加强沟通协调，我单位及时向县领导汇报项目建设进度，加强与施工单位的沟通，确保项目按期完工。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14:paraId="1958C78E"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七、有关建议</w:t>
      </w:r>
    </w:p>
    <w:p w14:paraId="7DEC5E56"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</w:t>
        <w:br/>
        <w:t>2.项目评价资料有待进一步完善。项目启动时同步做好档案的归纳与整理，及时整理、收集、汇总，健全档案资料。项目后续管理有待进一步加强和跟踪。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w:t>
      </w:r>
    </w:p>
    <w:p w14:paraId="6FEBFB95"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八、其他需要说明的问题</w:t>
      </w:r>
    </w:p>
    <w:p w14:paraId="4B1F6429"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我单位对上述项目支出绩效评价报告内反映内容的真实性、完整性负责，接受上级部门及社会公众监督。</w:t>
      </w:r>
    </w:p>
    <w:p w14:paraId="0E525B6E" w14:textId="77777777" w:rsidR="001D59F7" w:rsidRDefault="001D59F7">
      <w:pPr>
        <w:spacing w:line="540" w:lineRule="exact"/>
        <w:ind w:firstLine="567"/>
        <w:rPr>
          <w:rStyle w:val="ad"/>
          <w:rFonts w:ascii="黑体" w:eastAsia="黑体" w:hAnsi="黑体" w:cs="黑体"/>
          <w:b w:val="0"/>
          <w:bCs w:val="0"/>
          <w:spacing w:val="-4"/>
          <w:sz w:val="32"/>
          <w:szCs w:val="32"/>
        </w:rPr>
      </w:pPr>
    </w:p>
    <w:p w14:paraId="088A38F8" w14:textId="77777777" w:rsidR="001D59F7" w:rsidRDefault="001D59F7">
      <w:pPr>
        <w:spacing w:line="540" w:lineRule="exact"/>
        <w:ind w:firstLine="567"/>
        <w:rPr>
          <w:rStyle w:val="ad"/>
          <w:rFonts w:ascii="黑体" w:eastAsia="黑体" w:hAnsi="黑体" w:cs="黑体"/>
          <w:b w:val="0"/>
          <w:bCs w:val="0"/>
          <w:spacing w:val="-4"/>
          <w:sz w:val="32"/>
          <w:szCs w:val="32"/>
        </w:rPr>
      </w:pPr>
    </w:p>
    <w:sectPr w:rsidR="001D59F7">
      <w:footerReference w:type="default" r:id="rId6"/>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B848C" w14:textId="77777777" w:rsidR="00164EEB" w:rsidRDefault="00164EEB">
      <w:r>
        <w:separator/>
      </w:r>
    </w:p>
  </w:endnote>
  <w:endnote w:type="continuationSeparator" w:id="0">
    <w:p w14:paraId="6523E723" w14:textId="77777777" w:rsidR="00164EEB" w:rsidRDefault="00164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方正仿宋_GBK">
    <w:altName w:val="微软雅黑"/>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楷体_GBK">
    <w:altName w:val="微软雅黑"/>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703A45A3" w14:textId="77777777" w:rsidR="001D59F7" w:rsidRDefault="00000000">
        <w:pPr>
          <w:pStyle w:val="a5"/>
          <w:jc w:val="center"/>
        </w:pPr>
        <w:r>
          <w:fldChar w:fldCharType="begin"/>
        </w:r>
        <w:r>
          <w:instrText>PAGE   \* MERGEFORMAT</w:instrText>
        </w:r>
        <w:r>
          <w:fldChar w:fldCharType="separate"/>
        </w:r>
        <w:r>
          <w:rPr>
            <w:lang w:val="zh-CN"/>
          </w:rPr>
          <w:t>1</w:t>
        </w:r>
        <w:r>
          <w:fldChar w:fldCharType="end"/>
        </w:r>
      </w:p>
    </w:sdtContent>
  </w:sdt>
  <w:p w14:paraId="068E755B" w14:textId="77777777" w:rsidR="001D59F7" w:rsidRDefault="001D59F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971B1" w14:textId="77777777" w:rsidR="00164EEB" w:rsidRDefault="00164EEB">
      <w:r>
        <w:separator/>
      </w:r>
    </w:p>
  </w:footnote>
  <w:footnote w:type="continuationSeparator" w:id="0">
    <w:p w14:paraId="180509BF" w14:textId="77777777" w:rsidR="00164EEB" w:rsidRDefault="00164E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64EEB"/>
    <w:rsid w:val="00187874"/>
    <w:rsid w:val="001B3A40"/>
    <w:rsid w:val="001D59F7"/>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74CBE"/>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42E4B35"/>
    <w:rsid w:val="17C32CDD"/>
    <w:rsid w:val="2A880B33"/>
    <w:rsid w:val="2AE11386"/>
    <w:rsid w:val="2D4C6AD2"/>
    <w:rsid w:val="2D5A6638"/>
    <w:rsid w:val="340D5924"/>
    <w:rsid w:val="41EC1CB5"/>
    <w:rsid w:val="43B04001"/>
    <w:rsid w:val="4609551D"/>
    <w:rsid w:val="4D2606A1"/>
    <w:rsid w:val="4DD42C22"/>
    <w:rsid w:val="50796DE0"/>
    <w:rsid w:val="5DA521F6"/>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965E3"/>
  <w15:docId w15:val="{5E203BB2-B778-493E-B8E8-15A84A71F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otnotes.xml" Type="http://schemas.openxmlformats.org/officeDocument/2006/relationships/footnotes"/>
<Relationship Id="rId5" Target="endnotes.xml" Type="http://schemas.openxmlformats.org/officeDocument/2006/relationships/endnotes"/>
<Relationship Id="rId6" Target="footer1.xml" Type="http://schemas.openxmlformats.org/officeDocument/2006/relationships/footer"/>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103</Words>
  <Characters>593</Characters>
  <Application>Microsoft Office Word</Application>
  <DocSecurity>0</DocSecurity>
  <Lines>4</Lines>
  <Paragraphs>1</Paragraphs>
  <ScaleCrop>false</ScaleCrop>
  <Company>Microsoft</Company>
  <LinksUpToDate>false</LinksUpToDate>
  <CharactersWithSpaces>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易仁多</cp:lastModifiedBy>
  <cp:lastPrinted>2018-12-31T10:56:00Z</cp:lastPrinted>
  <dcterms:modified xsi:type="dcterms:W3CDTF">2023-03-14T11:09:00Z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2052-11.1.0.11405</vt:lpwstr>
  </property>
  <property fmtid="{D5CDD505-2E9C-101B-9397-08002B2CF9AE}" pid="3" name="ICV">
    <vt:lpwstr>B2EA7016946742F29F6179AB652E0BB8</vt:lpwstr>
  </property>
</Properties>
</file>