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42CCA">
      <w:pPr>
        <w:spacing w:line="570" w:lineRule="exact"/>
        <w:jc w:val="center"/>
        <w:rPr>
          <w:rFonts w:ascii="华文中宋" w:hAnsi="华文中宋" w:eastAsia="华文中宋" w:cs="宋体"/>
          <w:b/>
          <w:kern w:val="0"/>
          <w:sz w:val="52"/>
          <w:szCs w:val="52"/>
        </w:rPr>
      </w:pPr>
    </w:p>
    <w:p w14:paraId="3C0C79DD">
      <w:pPr>
        <w:spacing w:line="570" w:lineRule="exact"/>
        <w:jc w:val="center"/>
        <w:rPr>
          <w:rFonts w:ascii="华文中宋" w:hAnsi="华文中宋" w:eastAsia="华文中宋" w:cs="宋体"/>
          <w:b/>
          <w:kern w:val="0"/>
          <w:sz w:val="52"/>
          <w:szCs w:val="52"/>
        </w:rPr>
      </w:pPr>
    </w:p>
    <w:p w14:paraId="14FB8574">
      <w:pPr>
        <w:spacing w:line="570" w:lineRule="exact"/>
        <w:jc w:val="center"/>
        <w:rPr>
          <w:rFonts w:ascii="华文中宋" w:hAnsi="华文中宋" w:eastAsia="华文中宋" w:cs="宋体"/>
          <w:b/>
          <w:kern w:val="0"/>
          <w:sz w:val="52"/>
          <w:szCs w:val="52"/>
        </w:rPr>
      </w:pPr>
    </w:p>
    <w:p w14:paraId="46E024D9">
      <w:pPr>
        <w:spacing w:line="570" w:lineRule="exact"/>
        <w:jc w:val="center"/>
        <w:rPr>
          <w:rFonts w:ascii="华文中宋" w:hAnsi="华文中宋" w:eastAsia="华文中宋" w:cs="宋体"/>
          <w:b/>
          <w:kern w:val="0"/>
          <w:sz w:val="52"/>
          <w:szCs w:val="52"/>
        </w:rPr>
      </w:pPr>
    </w:p>
    <w:p w14:paraId="1BFE9139">
      <w:pPr>
        <w:spacing w:line="570" w:lineRule="exact"/>
        <w:jc w:val="both"/>
        <w:rPr>
          <w:rFonts w:ascii="华文中宋" w:hAnsi="华文中宋" w:eastAsia="华文中宋" w:cs="宋体"/>
          <w:b/>
          <w:kern w:val="0"/>
          <w:sz w:val="52"/>
          <w:szCs w:val="52"/>
        </w:rPr>
      </w:pPr>
    </w:p>
    <w:p w14:paraId="4CA3A960">
      <w:pPr>
        <w:spacing w:line="570" w:lineRule="exact"/>
        <w:jc w:val="center"/>
        <w:rPr>
          <w:rFonts w:ascii="华文中宋" w:hAnsi="华文中宋" w:eastAsia="华文中宋" w:cs="宋体"/>
          <w:b/>
          <w:kern w:val="0"/>
          <w:sz w:val="52"/>
          <w:szCs w:val="52"/>
        </w:rPr>
      </w:pPr>
    </w:p>
    <w:p w14:paraId="655D7493">
      <w:pPr>
        <w:spacing w:line="570" w:lineRule="exact"/>
        <w:jc w:val="center"/>
        <w:rPr>
          <w:rFonts w:ascii="方正小标宋_GBK" w:hAnsi="华文中宋" w:eastAsia="方正小标宋_GBK" w:cs="宋体"/>
          <w:b/>
          <w:kern w:val="0"/>
          <w:sz w:val="44"/>
          <w:szCs w:val="44"/>
        </w:rPr>
      </w:pPr>
      <w:bookmarkStart w:id="0" w:name="_GoBack"/>
      <w:bookmarkEnd w:id="0"/>
      <w:r>
        <w:rPr>
          <w:rFonts w:hint="eastAsia" w:ascii="方正小标宋_GBK" w:hAnsi="华文中宋" w:eastAsia="方正小标宋_GBK" w:cs="宋体"/>
          <w:b/>
          <w:kern w:val="0"/>
          <w:sz w:val="44"/>
          <w:szCs w:val="44"/>
        </w:rPr>
        <w:t xml:space="preserve"> 部门单位项目支出绩效评价报告</w:t>
      </w:r>
    </w:p>
    <w:p w14:paraId="1A52EC69">
      <w:pPr>
        <w:spacing w:line="570" w:lineRule="exact"/>
        <w:jc w:val="center"/>
        <w:rPr>
          <w:rFonts w:ascii="华文中宋" w:hAnsi="华文中宋" w:eastAsia="华文中宋" w:cs="宋体"/>
          <w:b/>
          <w:kern w:val="0"/>
          <w:sz w:val="52"/>
          <w:szCs w:val="52"/>
        </w:rPr>
      </w:pPr>
    </w:p>
    <w:p w14:paraId="0BAEC96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3E20416">
      <w:pPr>
        <w:spacing w:line="570" w:lineRule="exact"/>
        <w:jc w:val="center"/>
        <w:rPr>
          <w:rFonts w:hAnsi="宋体" w:eastAsia="仿宋_GB2312" w:cs="宋体"/>
          <w:kern w:val="0"/>
          <w:sz w:val="30"/>
          <w:szCs w:val="30"/>
        </w:rPr>
      </w:pPr>
    </w:p>
    <w:p w14:paraId="7FD2D7BE">
      <w:pPr>
        <w:spacing w:line="570" w:lineRule="exact"/>
        <w:jc w:val="center"/>
        <w:rPr>
          <w:rFonts w:hAnsi="宋体" w:eastAsia="仿宋_GB2312" w:cs="宋体"/>
          <w:kern w:val="0"/>
          <w:sz w:val="30"/>
          <w:szCs w:val="30"/>
        </w:rPr>
      </w:pPr>
    </w:p>
    <w:p w14:paraId="60CB34DA">
      <w:pPr>
        <w:spacing w:line="570" w:lineRule="exact"/>
        <w:jc w:val="center"/>
        <w:rPr>
          <w:rFonts w:hAnsi="宋体" w:eastAsia="仿宋_GB2312" w:cs="宋体"/>
          <w:kern w:val="0"/>
          <w:sz w:val="30"/>
          <w:szCs w:val="30"/>
        </w:rPr>
      </w:pPr>
    </w:p>
    <w:p w14:paraId="75074EC7">
      <w:pPr>
        <w:spacing w:line="570" w:lineRule="exact"/>
        <w:jc w:val="center"/>
        <w:rPr>
          <w:rFonts w:hAnsi="宋体" w:eastAsia="仿宋_GB2312" w:cs="宋体"/>
          <w:kern w:val="0"/>
          <w:sz w:val="30"/>
          <w:szCs w:val="30"/>
        </w:rPr>
      </w:pPr>
    </w:p>
    <w:p w14:paraId="6C49790A">
      <w:pPr>
        <w:spacing w:line="570" w:lineRule="exact"/>
        <w:jc w:val="center"/>
        <w:rPr>
          <w:rFonts w:hAnsi="宋体" w:eastAsia="仿宋_GB2312" w:cs="宋体"/>
          <w:kern w:val="0"/>
          <w:sz w:val="30"/>
          <w:szCs w:val="30"/>
        </w:rPr>
      </w:pPr>
    </w:p>
    <w:p w14:paraId="2156D55C">
      <w:pPr>
        <w:spacing w:line="570" w:lineRule="exact"/>
        <w:jc w:val="center"/>
        <w:rPr>
          <w:rFonts w:hAnsi="宋体" w:eastAsia="仿宋_GB2312" w:cs="宋体"/>
          <w:kern w:val="0"/>
          <w:sz w:val="30"/>
          <w:szCs w:val="30"/>
        </w:rPr>
      </w:pPr>
    </w:p>
    <w:p w14:paraId="16C195B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住建局2024年各类道路改造项目经费</w:t>
      </w:r>
    </w:p>
    <w:p w14:paraId="2F31B05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塔什库尔干塔吉克自治县住房和城乡建设局</w:t>
      </w:r>
    </w:p>
    <w:p w14:paraId="73EEF91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塔什库尔干塔吉克自治县住房和城乡建设局</w:t>
      </w:r>
    </w:p>
    <w:p w14:paraId="34A798BB">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郜飞川</w:t>
      </w:r>
    </w:p>
    <w:p w14:paraId="5D8176C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14:paraId="182D191B">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1F7BE7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76489A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86CE7E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住建局2024年各类道路改造项目经费项目实施前期、过程及效果，评价财政预算资金使用的效率及效益。通过该项目的实施，有效改善城市基础建设，为群众提供便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城市建设与旅游服务业的发展。用于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住房和城乡建设局为政府单位，编制人数72人，其中：行政人员编制3人、工勤1人、参公68人、事业编制0人。实有在职人数72人，其中：行政在职3人、工勤1人、参公68人、事业在职0人。离退休人员22人，其中：行政退休人员22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根据《关于预拨2024年各类道路改造项目款项通知》（喀地财预〔2024〕101号）、塔发改投资【2022】（175号）共安排下达资金1380.41万元，最终确定项目资金总数为1380.41万元。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截至2024年12月31日，实际支出1380.41万元，预算执行率100%。</w:t>
      </w:r>
    </w:p>
    <w:p w14:paraId="2C08971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18DF05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1380.41万元，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 塔什库尔干塔吉克自治县住房和城乡建设局积极对接相关企业，认真开展土地勘测，联系设计院进行符合实际的设计，通过招标手续，选择切实符合该项目的建筑公司，与企业认真对接，签订详实合同。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 塔什库尔干塔吉克自治县住房和城乡建设局在项目实施过程中，严格监督施工企业，在保质保量的前提下，督促企业按计划完成工程进度，确保项目按时完工。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验收阶段的具体工作：邀请相关单位，组成联合验收小组，严格按照验收内容及验收标准，逐一核对，从而确保工程质量。</w:t>
      </w:r>
    </w:p>
    <w:p w14:paraId="00904FC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5312DC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14581E6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A6AF64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2BF872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住建局2024年各类道路改造项目经费项目综合评分表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046E048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1B27A2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张士俊任评价组组长，绩效评价工作职责为负责全盘工作。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陈晓燕任评价组副组长，绩效评价工作职责为为对项目实施情况进行实地调查。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霍礼万任评价组成员，绩效评价工作职责为负责资料审核等工作。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7824240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C7080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通过实施住建局2024年各类道路改造项目经费项目有效改善城市基础建设，为群众提供便利。项目实施主要通过项目决策、项目过程、项目产出以及项目效益等方面进行评价，其中：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预拨2024年各类道路改造项目款项通知》（喀地财预〔2024〕101号）、塔发改投资【2022】（175号）文件立项，项目实施符合《关于预拨2024年各类道路改造项目款项通知》（喀地财预〔2024〕101号）、塔发改投资【2022】（175号）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住建局2024年各类道路改造项目经费项目预算安排1380.41万元，实际支出1380.41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项目产出：截止评价日，已支付提升改造道路费用1380.41万元，用于提升改造道路，工程验收合格率100%、工程完工及时率/工程资金拨付及时率达到100%。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项目效益：通过实施此项目有效改善城市基础建设，为群众提供便利。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住建局2024年各类道路改造项目经费项目进行客观评价，最终评分结果：评价总分100分，绩效等级为“优”。</w:t>
      </w:r>
    </w:p>
    <w:p w14:paraId="27DEE28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0096FD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62C900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关于预拨2024年各类道路改造项目款项通知》（喀地财预〔2024〕101号）、塔发改投资【2022】（175号）文件的要求；经检查我单位财政管理一体化信息系统，本项目不存在重复。结合塔什库尔干塔吉克自治县住房和城乡建设局职责，并组织实施该项目。围绕塔什库尔干塔吉克自治县住房和城乡建设局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根据《关于预拨2024年各类道路改造项目款项通知》（喀地财预〔2024〕101号）、塔发改投资【2022】（175号）以及《住建局2024年各类道路改造项目经费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1380.41万元，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执行资金1380.41万元，已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已支付提升改造道路7条费用1380.41万元，已用于提升改造道路，工程验收合格率100%、工程完工及时率/工程资金拨付及时率达到100%，有效改善城市基础建设，为群众提供便利。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④该项目批复的预算金额为1380.41万元，《项目支出绩效目标表》中预算金额为1380.41万元，预算确定的项目资金与预算确定的项目投资额相匹配。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⑤本单位制定了《住建局2024年各类道路改造项目经费项目实施方案》，明确了总体思路及目标、并对任务进行了详细分解，对目标进行了细化。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14个，定量指标12个，定性指标2个，指标量化率为85.7%，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道路提升改造工程数7个，三级指标的年度指标值与年度绩效目标中任务数一致，已设置时效指标“工程完工及时率100%、工程资金拨付及时率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道路提升改造工程支出1380.41万元，项目实际内容为总投资1380.41万元，主要用于道路提升改造工程支出，预算申请与《住建局2024年各类道路改造项目经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1380.41万元，我单位在预算申请中严格按照项目实施内容及测算标准进行核算，其中：喀什地区塔什库尔干县喀拉苏路、思瞳路提升改造工程成本2455851.79元，喀什地区塔什库尔干县赛日库依路提升改造工程成本2480453.23元，喀什地区塔什库尔干县草滩大道提升改造工程成本3000000元，塔什库尔干县如意路建设项目工程成本942731.38元，喀什地区塔什库尔干县雄鹰大道提升改造工程成本1381805.23元，喀什地区塔什库尔干县中巴友谊路提升改造工程成本3431350.26元，乔戈里路提升改造项目成本111938.00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住建局2024年各类道路改造项目经费实施方案》为依据进行资金分配，预算资金分配依据充分。根据《关于预拨2024年各类道路改造项目款项通知》（喀地财预〔2024〕101号）、塔发改投资【2022】（175号），本项目实际到位资金1380.41万元，资金分配额度合理，与我单位实际需求相适应。资金分配与实际相适应，根据评分标准，该指标不扣分，得2分。</w:t>
      </w:r>
    </w:p>
    <w:p w14:paraId="4AA9E9B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EC0D7F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1380.41万元，其中：财政安排资金1380.41万元，实际到位资金1380.41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（2）预算执行率：本项目实际支出资金1380.41万元，预算执行率=（1380.41/ 1380.41）×100%=100%；通过分析可知，该项目预算编制较为详细，项目资金支出总体能够按照预算执行，根据评分标准，该指标不扣分，得3分。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住房和城乡建设局资金管理办法》《塔什库尔干塔吉克自治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住房和城乡建设局资金管理办法》《塔什库尔干塔吉克自治县住房和城乡建设局收支业务管理制度》《塔什库尔干塔吉克自治县住房和城乡建设局政府采购业务管理制度》《塔什库尔干塔吉克自治县住房和城乡建设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住房和城乡建设局资金管理办法》《塔什库尔干塔吉克自治县住房和城乡建设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住建局2024年各类道路改造项目经费项目工作领导小组，由张士俊任组长，负责项目的组织工作；陈晓燕任副组长，负责项目的实施工作；组员包括：霍礼万，主要负责项目监督管理、验收以及资金核拨等工作。根据评分标准，该指标不扣分，得5分。</w:t>
      </w:r>
    </w:p>
    <w:p w14:paraId="332F581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F57BB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道路提升改造工程数指标，预期指标值为大于等于7个，实际完成值为等于7个，指标完成率为100%，与预期目标一致，根据评分标准，该指标不扣分，得10分。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工程验收合格率指标，预期指标值为等于100%，实际完成值为等于100%，指标完成率为100%，与预期目标一致，根据评分标准，该指标不扣分，得10分。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工程完工及时率指标，预期指标值为等于100%，实际完成值为等于100%，指标完成率为100%，与预期目标一致，根据评分标准，该指标不扣分，得5分。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工程资金拨付及时率指标，预期指标值为等于100%，实际完成值为等于100%，指标完成率为100%，与预期目标一致，根据评分标准，该指标不扣分，得5分。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塔什库尔干县喀拉苏路、思瞳路提升改造工程指标，预期指标值为小于等于2455851.79元，实际完成值为等于2455851.79元，指标完成率为100%，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喀什地区塔什库尔干县赛日库依路提升改造工程指标，预期指标值为小于等于2480453.23元，实际完成值为等于2480453.23元，指标完成率为100%，与预期目标一致，根据评分标准，该指标不扣分，得2分。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喀什地区塔什库尔干县草滩大道提升改造工程指标，预期指标值为小于等于3000000元，实际完成值为等于3000000元，指标完成率为100%，与预期目标一致，根据评分标准，该指标不扣分，得2分。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塔什库尔干县如意路建设项目工程指标，预期指标值为小于等于942731.38元，实际完成值为等于942731.38元，指标完成率为100%，与预期目标一致，根据评分标准，该指标不扣分，得2分。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喀什地区塔什库尔干县雄鹰大道提升改造工程指标，预期指标值为小于等于1381805.23元，实际完成值为等于1381805.23元，指标完成率为100%，与预期目标一致，根据评分标准，该指标不扣分，得2分。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喀什地区塔什库尔干县中巴友谊路提升改造工程指标，预期指标值为小于等于3431350.26元，实际完成值为等于3431350.26元，指标完成率为100%，与预期目标一致，根据评分标准，该指标不扣分，得2分。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乔戈里路提升改造项目指标，预期指标值为小于等于111938.00元，实际完成值为等于111938.00元，指标完成率为100%，与预期目标一致，根据评分标准，该指标不扣分，得2分。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7DA51D7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57F7A7B">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提高居民满意度指标，该指标预期指标值为有效提高，实际完成值为有效提高，指标完成率为100%，与预期指标一致，根据评分标准，该指标不扣分，得5分。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改善城市基础建设指标，该指标预期指标值为有效改善，实际完成值为有效改善，指标完成率为100%，与预期指标一致，根据评分标准，该指标不扣分，得5分。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4FF56DE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47E390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对于“满意度指标：塔什库尔干县居民满意度，该指标预期指标值为大于等于98%，实际完成值为等于98%，指标完成率为100%，与预期目标一致，根据评分标准，该指标不扣分,得10分。</w:t>
      </w:r>
    </w:p>
    <w:p w14:paraId="3FC6168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D05D79E">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住建局2024年各类道路改造项目经费项目预算1380.41万元，到位1380.41万元，实际支出1380.41万元，预算执行率为100%，项目绩效指标总体完成率为100%，无偏差。</w:t>
      </w:r>
    </w:p>
    <w:p w14:paraId="506B05FC">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8A43AE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住建局2024年各类道路改造项目经费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736B9EA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0048EF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6C9DBAF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E7C5CA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8CBFD7F">
        <w:pPr>
          <w:pStyle w:val="12"/>
          <w:jc w:val="center"/>
        </w:pPr>
        <w:r>
          <w:fldChar w:fldCharType="begin"/>
        </w:r>
        <w:r>
          <w:instrText xml:space="preserve">PAGE   \* MERGEFORMAT</w:instrText>
        </w:r>
        <w:r>
          <w:fldChar w:fldCharType="separate"/>
        </w:r>
        <w:r>
          <w:rPr>
            <w:lang w:val="zh-CN"/>
          </w:rPr>
          <w:t>1</w:t>
        </w:r>
        <w:r>
          <w:fldChar w:fldCharType="end"/>
        </w:r>
      </w:p>
    </w:sdtContent>
  </w:sdt>
  <w:p w14:paraId="36B7BC9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63E418D"/>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9372</Words>
  <Characters>10302</Characters>
  <Lines>5</Lines>
  <Paragraphs>1</Paragraphs>
  <TotalTime>0</TotalTime>
  <ScaleCrop>false</ScaleCrop>
  <LinksUpToDate>false</LinksUpToDate>
  <CharactersWithSpaces>11594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2025-09-04T08:45:51Z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