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17B9E9">
      <w:pPr>
        <w:spacing w:line="570" w:lineRule="exact"/>
        <w:jc w:val="center"/>
        <w:rPr>
          <w:rFonts w:ascii="华文中宋" w:hAnsi="华文中宋" w:eastAsia="华文中宋" w:cs="宋体"/>
          <w:b/>
          <w:kern w:val="0"/>
          <w:sz w:val="52"/>
          <w:szCs w:val="52"/>
        </w:rPr>
      </w:pPr>
    </w:p>
    <w:p w14:paraId="3C3C59C7">
      <w:pPr>
        <w:spacing w:line="570" w:lineRule="exact"/>
        <w:jc w:val="center"/>
        <w:rPr>
          <w:rFonts w:ascii="华文中宋" w:hAnsi="华文中宋" w:eastAsia="华文中宋" w:cs="宋体"/>
          <w:b/>
          <w:kern w:val="0"/>
          <w:sz w:val="52"/>
          <w:szCs w:val="52"/>
        </w:rPr>
      </w:pPr>
    </w:p>
    <w:p w14:paraId="7D45A144">
      <w:pPr>
        <w:spacing w:line="570" w:lineRule="exact"/>
        <w:jc w:val="center"/>
        <w:rPr>
          <w:rFonts w:ascii="华文中宋" w:hAnsi="华文中宋" w:eastAsia="华文中宋" w:cs="宋体"/>
          <w:b/>
          <w:kern w:val="0"/>
          <w:sz w:val="52"/>
          <w:szCs w:val="52"/>
        </w:rPr>
      </w:pPr>
    </w:p>
    <w:p w14:paraId="7A4B9ECC">
      <w:pPr>
        <w:spacing w:line="570" w:lineRule="exact"/>
        <w:jc w:val="center"/>
        <w:rPr>
          <w:rFonts w:ascii="华文中宋" w:hAnsi="华文中宋" w:eastAsia="华文中宋" w:cs="宋体"/>
          <w:b/>
          <w:kern w:val="0"/>
          <w:sz w:val="52"/>
          <w:szCs w:val="52"/>
        </w:rPr>
      </w:pPr>
    </w:p>
    <w:p w14:paraId="21776FA6">
      <w:pPr>
        <w:spacing w:line="570" w:lineRule="exact"/>
        <w:jc w:val="both"/>
        <w:rPr>
          <w:rFonts w:ascii="华文中宋" w:hAnsi="华文中宋" w:eastAsia="华文中宋" w:cs="宋体"/>
          <w:b/>
          <w:kern w:val="0"/>
          <w:sz w:val="52"/>
          <w:szCs w:val="52"/>
        </w:rPr>
      </w:pPr>
    </w:p>
    <w:p w14:paraId="2313B3AF">
      <w:pPr>
        <w:spacing w:line="570" w:lineRule="exact"/>
        <w:jc w:val="center"/>
        <w:rPr>
          <w:rFonts w:ascii="华文中宋" w:hAnsi="华文中宋" w:eastAsia="华文中宋" w:cs="宋体"/>
          <w:b/>
          <w:kern w:val="0"/>
          <w:sz w:val="52"/>
          <w:szCs w:val="52"/>
        </w:rPr>
      </w:pPr>
    </w:p>
    <w:p w14:paraId="28CF54B1">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3A0FC050">
      <w:pPr>
        <w:spacing w:line="570" w:lineRule="exact"/>
        <w:jc w:val="center"/>
        <w:rPr>
          <w:rFonts w:ascii="华文中宋" w:hAnsi="华文中宋" w:eastAsia="华文中宋" w:cs="宋体"/>
          <w:b/>
          <w:kern w:val="0"/>
          <w:sz w:val="52"/>
          <w:szCs w:val="52"/>
        </w:rPr>
      </w:pPr>
    </w:p>
    <w:p w14:paraId="433ED145">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78BF7858">
      <w:pPr>
        <w:spacing w:line="570" w:lineRule="exact"/>
        <w:jc w:val="center"/>
        <w:rPr>
          <w:rFonts w:hAnsi="宋体" w:eastAsia="仿宋_GB2312" w:cs="宋体"/>
          <w:kern w:val="0"/>
          <w:sz w:val="30"/>
          <w:szCs w:val="30"/>
        </w:rPr>
      </w:pPr>
    </w:p>
    <w:p w14:paraId="47AE4F98">
      <w:pPr>
        <w:spacing w:line="570" w:lineRule="exact"/>
        <w:jc w:val="center"/>
        <w:rPr>
          <w:rFonts w:hAnsi="宋体" w:eastAsia="仿宋_GB2312" w:cs="宋体"/>
          <w:kern w:val="0"/>
          <w:sz w:val="30"/>
          <w:szCs w:val="30"/>
        </w:rPr>
      </w:pPr>
    </w:p>
    <w:p w14:paraId="6EF57F0A">
      <w:pPr>
        <w:spacing w:line="570" w:lineRule="exact"/>
        <w:jc w:val="center"/>
        <w:rPr>
          <w:rFonts w:hAnsi="宋体" w:eastAsia="仿宋_GB2312" w:cs="宋体"/>
          <w:kern w:val="0"/>
          <w:sz w:val="30"/>
          <w:szCs w:val="30"/>
        </w:rPr>
      </w:pPr>
    </w:p>
    <w:p w14:paraId="1CBD8214">
      <w:pPr>
        <w:spacing w:line="570" w:lineRule="exact"/>
        <w:jc w:val="center"/>
        <w:rPr>
          <w:rFonts w:hAnsi="宋体" w:eastAsia="仿宋_GB2312" w:cs="宋体"/>
          <w:kern w:val="0"/>
          <w:sz w:val="30"/>
          <w:szCs w:val="30"/>
        </w:rPr>
      </w:pPr>
    </w:p>
    <w:p w14:paraId="56C28ACD">
      <w:pPr>
        <w:spacing w:line="570" w:lineRule="exact"/>
        <w:jc w:val="center"/>
        <w:rPr>
          <w:rFonts w:hAnsi="宋体" w:eastAsia="仿宋_GB2312" w:cs="宋体"/>
          <w:kern w:val="0"/>
          <w:sz w:val="30"/>
          <w:szCs w:val="30"/>
        </w:rPr>
      </w:pPr>
    </w:p>
    <w:p w14:paraId="4269C34E">
      <w:pPr>
        <w:spacing w:line="570" w:lineRule="exact"/>
        <w:jc w:val="center"/>
        <w:rPr>
          <w:rFonts w:hAnsi="宋体" w:eastAsia="仿宋_GB2312" w:cs="宋体"/>
          <w:kern w:val="0"/>
          <w:sz w:val="30"/>
          <w:szCs w:val="30"/>
        </w:rPr>
      </w:pPr>
    </w:p>
    <w:p w14:paraId="0BCAB098">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农村公路日常养护资金</w:t>
      </w:r>
    </w:p>
    <w:p w14:paraId="0FF598FB">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塔什库尔干塔吉克自治县交通运输局</w:t>
      </w:r>
    </w:p>
    <w:p w14:paraId="6980A90E">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塔什库尔干塔吉克自治县交通运输局</w:t>
      </w:r>
    </w:p>
    <w:p w14:paraId="04CA6095">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苏宏赟</w:t>
      </w:r>
    </w:p>
    <w:p w14:paraId="7A226F37">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2025年03月03日</w:t>
      </w:r>
    </w:p>
    <w:p w14:paraId="00B847DA">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789B5DF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7F08BDE1">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3F8C49C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农村公路日常养护资金项目实施前期、过程及效果，评价财政预算资金使用的效率及效益。通过该项目的实施，通过该项目实施将进一步把农村公路建好、管好、护好、运营好，逐步消除制约农村公路发展的交通瓶颈，为广大农民致富奔小康提供更好的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本项目建设主要服务于当地农村公路的发展。用于：1、对瓦罕走廊C167线路面翻浆、路基下沉段进行换填并铺设路面；2、盘龙古道停车场清理平整；3、热斯喀木村温泉沟道路建设；4、对大同乡、马尔洋乡等五座危桥进行加固；5、对X614线、Y962线（托格伦夏）坑槽进行修补和沉降处进行特殊路基处理；6、对全县680公里村道进行自动化检测，并对全县所有桥梁进行检测。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塔什库尔干县交通运输局为行政单位，纳入2024年部门决算编制范围的有4个办公室：项目办、财务室、办公室、执法大队。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编制人数19人，其中：行政人员编制4人、参公7人、事业编制8人。实有在职人数17人，其中：行政在职4人、参公6人、事业在职7人。离退休人员10人，其中：行政退休人员8人、事业退休2人。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根据《提前下达2024年成品油税费改革转移支付资金农村公路养护项目资金文件》的通知，项目预算安排下达资金230万元，共安排下达资金230万元，最终确定项目资金总数为230万元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截至2024年12月31日，实际支出资金192.03万元，预算执行率83.5%。</w:t>
      </w:r>
    </w:p>
    <w:p w14:paraId="474BD236">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4C311EE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投入资金230万。用于：1、对瓦罕走廊C167线路面翻浆、路基下沉段进行换填并铺设路面；2、盘龙古道停车场清理平整；3、热斯喀木村温泉沟道路建设；4、对大同乡、马尔洋乡等五座危桥进行加固；5、对X614线、Y962线（托格伦夏）坑槽进行修补和沉降处进行特殊路基处理；6、对全县680公里村道进行自动化检测，并对全县所有桥梁进行检测。通过该项目实施将进一步把农村公路建好、管好、护好、运营好，逐步消除制约农村公路发展的交通瓶颈，为广大农民致富奔小康提供更好的保障，确保通行群众满意度95%以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1）塔什库尔干县交通运输局积极对接相关企业，认真开展土地勘测，联系设计院进行符合实际的设计，通过招标手续，选择切实符合该项目的建筑公司，与企业认真对接，签订详实合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（2）塔什库尔干县交通运输局作为项目的实施单位，第一时间与相关主管部门单位沟通，制定项目实施方案，项目绩效目标表等，根据县人大工作年初目标，明确分工职责，并设定绩效监控实施计划。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1）动态调整县级财力保障水平。根据相关政策和因素变化，动态调整县级财力保障范围和标准。（2）强化管理，推动建立现代财政制度。引导各单位改进预算管理，合理安排预算，优化支出结构，按照规定范围和标准全面落实保障责任，切实履行基层政府职能。同时，依法实施收入征管，清理财税优惠政策，提高财政收入质量，提高自我保障能力。（3）加强资金监管。根据县级基本财力保障范围和保障标准，测算各单位保障需求和缺口额。（4）塔什库尔干县交通运输局在项目实施过程中，严格监督施工企业，在保质保量的前提下，督促企业按计划完成工程进度，确保项目按时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1）整理资料并存档。项目实施结束后，档案管理相关规定理项目相关资料，包括项目工作总结、相关凭证、工程前期手续、工程过程资料等，并按照规定进行存档备查。同时，对于存在的问题和不足，需及时总结经验教训，为后续工作提供参考。（2）邀请相关单位，组成联合验收小组，严格按照验收内容及验收标准，逐一核对，从而确保工程质量。（3）项目完工后及时进行竣工验收，抽样调查群众满意度，根据验收情况督促施工方完成问题整改直至验收合格，按要求完成项目工程审计及财务竣工决算。</w:t>
      </w:r>
    </w:p>
    <w:p w14:paraId="43EC483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504ACA84">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2A9A5C1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bookmarkStart w:id="0" w:name="_GoBack"/>
      <w:bookmarkEnd w:id="0"/>
      <w:r>
        <w:rPr>
          <w:rStyle w:val="18"/>
          <w:rFonts w:hint="eastAsia" w:ascii="仿宋" w:hAnsi="仿宋" w:eastAsia="仿宋" w:cs="仿宋"/>
          <w:b w:val="0"/>
          <w:bCs w:val="0"/>
          <w:spacing w:val="-4"/>
          <w:sz w:val="32"/>
          <w:szCs w:val="32"/>
        </w:rPr>
        <w:t>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193E2878">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1F908FF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农村公路日常养护资金项目综合评分表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2.5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9.89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8.25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12.52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85.26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p>
    <w:p w14:paraId="34F1DC36">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5525D22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赵溪苑任评价组组长，绩效评价工作职责为负责全盘工作。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石祥胜任评价组副组长，绩效评价工作职责为为对项目实施情况进行实地调查。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阿布都西库尔任评价组成员，绩效评价工作职责为负责资料审核等工作。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5AA0BC7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11D295F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农村公路日常养护资金项目进一步把农村公路建好、管好、护好、运营好，逐步消除制约农村公路发展的交通瓶颈，为广大农民致富奔小康提供更好的保障。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提前下达2024年成品油税费改革转移支付资金农村公路养护项目资金文件》立项，项目实施符合《提前下达2024年成品油税费改革转移支付资金农村公路养护项目资金文件》的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项目过程：农村公路日常养护资金项目预算安排 230万元，实际支出192.03万元，预算执行率83.5%。项目资金使用合规，项目财务管理制度健全，财务监控到位，所有资金支付均按照国库集中支付制度严格执行，现有项目管理制度执行情况良好。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截止评价日，已支付道路养护成本费用192.03万元，用于1、对瓦罕走廊C167线路面翻浆、路基下沉段进行换填并铺设路面；2、盘龙古道停车场清理平整；3、热斯喀木村温泉沟道路建设；4、对大同乡、马尔洋乡等五座危桥进行加固；5、对X614线、Y962线（托格伦夏）坑槽进行修补和沉降处进行特殊路基处理；工程验收合格率达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项目效益：通过实施此农村公路日常养护资金项目进一步把农村公路建好、管好、护好、运营好，逐步消除制约农村公路发展的交通瓶颈，为广大农民致富奔小康提供更好的保障。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农村公路日常养护资金项目进行客观评价，最终评分结果：评价总分85.26分，绩效等级为“良”。</w:t>
      </w:r>
    </w:p>
    <w:p w14:paraId="2CB9D70C">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6250251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922B76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立项依据充分性：根据《财政资金直接支付申请书》，本项目资金性质为“公共财政预算”功能分类为“其他支出”经济分类为“上下级政府间转移性支出”属于公共财政支持范围，符合中央、地方事权支出责任划分原则；经检查我单位财政管理一体化信息系统，本项目不存在重复。结合塔什库尔干县交通运输局职责，并组织实施该项目。围绕塔什库尔干县交通运输局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（2）立项程序规范性：根据编制工作计划和项目预算，经过与塔什库尔干县财政局预算股分管领导进行沟通、筛选确定经费预算计划，上党委会研究确定最终预算方案，根据评分标准，该指标不扣分，得2分。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该项目计划投入资金230万。用于：1、对瓦罕走廊C167线路面翻浆、路基下沉段进行换填并铺设路面；2、盘龙古道停车场清理平整；3、热斯喀木村温泉沟道路建设；4、对大同乡、马尔洋乡等五座危桥进行加固；5、对X614线、Y962线（托格伦夏）坑槽进行修补和沉降处进行特殊路基处理；6、对全县680公里村道进行自动化检测，并对全县所有桥梁进行检测。项目的实施进一步把农村公路建好、管好、护好、运营好，逐步消除制约农村公路发展的交通瓶颈，为广大农民致富奔小康提供更好的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w:t>
      </w:r>
      <w:r>
        <w:rPr>
          <w:rStyle w:val="18"/>
          <w:rFonts w:hint="eastAsia" w:ascii="仿宋" w:hAnsi="仿宋" w:eastAsia="仿宋" w:cs="仿宋"/>
          <w:b w:val="0"/>
          <w:bCs w:val="0"/>
          <w:spacing w:val="-4"/>
          <w:sz w:val="32"/>
          <w:szCs w:val="32"/>
          <w:lang w:eastAsia="zh-CN"/>
        </w:rPr>
        <w:t>截至目前</w:t>
      </w:r>
      <w:r>
        <w:rPr>
          <w:rStyle w:val="18"/>
          <w:rFonts w:hint="eastAsia" w:ascii="仿宋" w:hAnsi="仿宋" w:eastAsia="仿宋" w:cs="仿宋"/>
          <w:b w:val="0"/>
          <w:bCs w:val="0"/>
          <w:spacing w:val="-4"/>
          <w:sz w:val="32"/>
          <w:szCs w:val="32"/>
        </w:rPr>
        <w:t>，该项目已支出资金192.03，已用于：1、对瓦罕走廊C167线路面翻浆、路基下沉段进行换填并铺设路面；2、盘龙古道停车场清理平整；3、热斯喀木村温泉沟道路建设；4、对大同乡、马尔洋乡等五座危桥进行加固；5、对X614线、Y962线（托格伦夏）坑槽进行修补和沉降处进行特殊路基处理；6、对全县680公里村道进行自动化检测，并对全县所有桥梁进行检测，工程整体进度达90%。项目的实施进一步把农村公路建好、管好、护好、运营好，逐步消除制约农村公路发展的交通瓶颈，为广大农民致富奔小康提供更好的保障。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了1、对瓦罕走廊C167线路面翻浆、路基下沉段进行换填并铺设路面；2、盘龙古道停车场清理平整；3、热斯喀木村温泉沟道路建设；4、对大同乡、马尔洋乡等五座危桥进行加固；5、对X614线、Y962线（托格伦夏）坑槽进行修补和沉降处进行特殊路基处理；6、对全县680公里村道进行自动化检测，并对全县所有桥梁进行检测，工程总体进度达 90%。进一步把农村公路建好、管好、护好、运营好，逐步消除制约农村公路发展的交通瓶颈，为广大农民致富奔小康提供更好的保障。预期产出效益和效果符合正常的业绩水平。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④该项目批复的预算金额为230万元，《项目支出绩效目标表》中预算金额为230万元，预算确定的项目资金与预算确定的项目投资额相匹配。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⑤本单位制定了《农村公路日常养护资金项目实施方案》，明确了总体思路及目标、并对任务进行了详细分解，对目标进行了细化。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经检查我单位年初设置的《项目支出绩效目标表》，得出如下结论：本项目已将年度绩效目标进行细化为绩效指标体系，共设置一级指标4个，二级指标8个，三级指标12个，定量指标10个，定性指标2个，指标量化率为83.33%，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对瓦罕走廊C167线路面翻浆、路基下沉段进行换填并铺设路面大于等于100%、盘龙古道停车场清理平整大于等于95%、热斯喀木村温泉沟道路建设大于等于100%、对大同乡、马尔洋乡等五座危桥进行加固等于5座、对X614线、Y962线（托格伦夏）坑槽进行修补和沉降处进行特殊路基处理大于等于95%，三级指标的年度指标值与年度绩效目标中任务数一致，已设置时效指标“按期完成投资率等于100%”。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本项目预算编制通过前期调研论证，同类似项目对比分析，发现预算编制科学合理；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预算申请内容为用于道路养护支出230万元，项目实际内容为总投资230万元，主要用于道路养护支出，预算申请与《农村公路日常养护资金项目实施方案》中涉及的项目内容匹配；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230万元，我单位在预算申请中严格按照项目实施内容及测算标准进行核算，其中：道路养护成本230万元。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农村公路日常养护资金项目实施方案》为依据进行资金分配，预算资金分配依据充分。本项目实际到位资金230万元，其中中央直达资金为230万元，资金分配额度合理，与我单位实际需求相适应。资金分配与实际相适应，根据评分标准，该指标不扣分，得2分。</w:t>
      </w:r>
    </w:p>
    <w:p w14:paraId="4CFF800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1F748B2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5个三级指标构成，权重分为20分，实际得分19.5分，得分率为97.5%。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资金到位率：本项目预算资金为230万元，其中：财政安排资金230万元，实际到位资金230万元，资金到位率100%；通过分析可知，该项目财政资金足额拨付到位，能够及时足额支付给实施单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192.03万元，预算执行率=（实际支出资金/实际到位资金）×100%=83.5%；通过分析可知，该项目预算编制较为详细，项目资金支出总体能够按照预算执行，根据评分标准，该指标扣0.5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塔什库尔干县交通运输局资金管理办法》《塔什库尔干县交通运输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塔什库尔干县交通运输局资金管理办法》《塔什库尔干县交通运输局收支业务管理制度》《塔什库尔干县交通运输局政府采购业务管理制度》《塔什库尔干县交通运输局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塔什库尔干县交通运输局资金管理办法》《塔什库尔干县交通运输局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②经现场查证，项目合同书、验收评审表、财务支付凭证等资料齐全并及时进行了归档。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③该项目不存在调整。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农村公路日常养护资金项目工作领导小组，由赵溪苑任组长，负责项目的组织工作；石祥胜任副组长，负责项目的实施工作；组员包括：阿布都西库尔，主要负责项目监督管理、验收以及资金核拨等工作。根据评分标准，该指标不扣分，得5分。</w:t>
      </w:r>
    </w:p>
    <w:p w14:paraId="769A632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17A83D6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项目产出类指标包括产出数量、产出质量、产出时效、产出成本四方面的内容，由4个三级指标构成，权重分为45分，实际得分30.76分，得分率为68.36%。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对瓦罕走廊C167线路面翻浆、路基下沉段进行换填并铺设路面指标，预期指标值为等于100%，实际完成值为等于100%，指标完成率为100%，与预期目标一致，根据评分标准，该指标不扣分，得2分。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盘龙古道停车场清理平整指标，预期指标值为大于等于95%，实际完成值为等于100%，指标完成率为105.26，根据评分标准，该指标不扣分，得2分。偏差原因：项目实施情况较好，盘龙古道停车场清理平整进度超预期，导致出现正偏差，改进措施：基于当前良好表现，重新审视绩效目标，在以后绩效目标设置时设置更具挑战性的目标，以推动业务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热斯喀木村温泉沟道路建设指标，预期指标值为等于100%，实际完成值为等于100%，指标完成率为100%，与预期目标一致，根据评分标准，该指标不扣分，得2分。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对大同乡、马尔洋乡等五座危桥进行加固指标，预期指标值为等于5座，实际完成值为等于5座，指标完成率为100%，与预期目标一致，根据评分标准，该指标不扣分，得2分。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X614线、Y962线（托格伦夏）坑槽进行修补和沉降处进行特殊路基处理指标，预期指标值为大于等于95%，实际完成值为等于90%，指标完成率为94.74%，根据评分标准，该指标扣0.11，得1.89分。偏差原因：目前工程量已完成90%，施工方正在完成剩余工程，预计今年第二季度验收，改进措施加强项目监控和管理，定期评估项目进展情况，及时进行项目调度，督促施工方加快项目进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合计得9.89分。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验收合格率指标，预期指标值为等于100%，实际完成值为等于90%，指标完成率为90%，与预期目标一致，根据评分标准，该指标扣10分，得0分。偏差原因：目前工程量已完成90%，施工方正在完成剩余工程，预计今年第二季度验收，改进措施加强项目监控和管理，定期评估项目进展情况，及时进行项目调度，督促施工方加快项目进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按期完成投资率指标，预期指标值为等于100%，实际完成值为等于83.49%，指标完成率为100%，与预期目标一致，根据评分标准，该指标扣1.65分，得8.35分。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道路养护成本指标，预期指标值为小于等于230万元，实际完成值为192.03万元，指标完成率为83.49%，根据评分标准，该指扣2.48分，得12.52分。偏差原因：因工程量未完成，该资金指标剩余部分已结转至2025年进行支付。改进措施加强项目监控和管理，定期评估项目进展情况，及时进行项目调度，督促施工方加快项目进度，争取早日完工，完成工程结算审计，待达到合同约定的付款节点后立即支付相关款项。</w:t>
      </w:r>
    </w:p>
    <w:p w14:paraId="69FD4CF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185BEA4E">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项目适应未来一定时期交通需求指标，该指标预期指标值为明显，实际完成值为明显，指标完成率为100%，与预期指标一致，根据评分标准，该指标不扣分，得3分。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对经济发展促进作用指标，该指标预期指标值为明显提升，实际完成值为明显提升，指标完成率为100%，与预期指标一致，根据评分标准，该指标不扣分，得3分。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交通建设符合环评审批要求指标，该指标预期指标值为等于100%，实际完成值为等于100%，指标完成率为100%，与预期指标一致，根据评分标准，该指标不扣分，得4分。</w:t>
      </w:r>
    </w:p>
    <w:p w14:paraId="235BC7C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2F08BD9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对于“满意度指标：受益道路使用者满意度，该指标预期指标值为大于等于90%，实际完成值为等于100%，指标完成率为111.11%，根据评分标准，该指标不扣分,得10分。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偏差原因分析：项目实施情况较好，受益道路使用者满意度超预期，导致出现正偏差，改进措施：基于当前良好表现，重新审视绩效目标，在以后绩效目标设置时设置更具挑战性的目标，以推动业务持续发展。</w:t>
      </w:r>
    </w:p>
    <w:p w14:paraId="3682D9B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04288AB6">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农村公路日常养护资金项目预算230万元，到位230万元，实际支出192.03万元，预算执行率为83.5%，项目绩效指标总体完成率为97.3%，具体原因为：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盘龙古道停车场清理平整指标，预期指标值为大于等于95%，实际完成值为等于100%，指标完成率为105.26，偏差原因：项目实施情况较好，盘龙古道停车场清理平整进度超预期，导致出现正偏差，改进措施：基于当前良好表现，重新审视绩效目标，在以后绩效目标设置时设置更具挑战性的目标，以推动业务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X614线、Y962线（托格伦夏）坑槽进行修补和沉降处进行特殊路基处理指标，预期指标值为大于等于95%，实际完成值为等于90%，指标完成率为94.74%。偏差原因：目前工程量已完成90%，施工方正在完成剩余工程，预计今年第二季度验收，改进措施加强项目监控和管理，定期评估项目进展情况，及时进行项目调度，督促施工方加快项目进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验收合格率指标，预期指标值为等于100%，实际完成值为等于90%，指标完成率为90%。偏差原因：目前工程量已完成90%，施工方正在完成剩余工程，预计今年第二季度验收，改进措施加强项目监控和管理，定期评估项目进展情况，及时进行项目调度，督促施工方加快项目进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道路养护成本指标，预期指标值为小于等于230万元，实际完成值为192.03万元，指标完成率为83.5%，本年支付工程余款金额192.03万元，偏差原因：因工程量未完成，该资金指标剩余部分已结转至2025年进行支付。改进措施加强项目监控和管理，定期评估项目进展情况，及时进行项目调度，督促施工方加快项目进度，争取早日完工，完成工程结算审计，待达到合同约定的付款节点后立即支付相关款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受益道路使用者满意度，该指标预期指标值为大于等于90%，实际完成值为等于100%，指标完成率为111.11%，偏差原因分析：项目实施情况较好，受益道路使用者满意度超预期，导致出现正偏差，改进措施：基于当前良好表现，重新审视绩效目标，在以后绩效目标设置时设置更具挑战性的目标，以推动业务持续发展。</w:t>
      </w:r>
    </w:p>
    <w:p w14:paraId="7B5F533F">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058708A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1．加强日常养护工作，全面提升农村公路通行能力，全面贯彻“以人为本，以车为本”的服务理念，全面提升农村公路的路容路貌，消除安全隐患，改善公路服务通行能力，保障人民群众良好出行环境。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2.安全施工零事故，杜绝重大社会影响事件 “百年大计，安全第一”在养护工程实施过程中，始终 坚持“安全第一，预防为主，综合治理”的工作方针，制定 施工安全管理制度及安全教育体系，并以零质量缺陷实现零 质量事故，以零安全违章保证零安全事故，保证了工程安全事故发生次数为零，杜绝了重大社会影响事件的发生。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1、公路养护管理难度大，巡查力度低，由于农村公路线多、面广，路政管理困难。现有的路政 巡查人员和经费投入与农村公路执法巡查的需求不匹配，巡查力度和频度不够。少数基层乡镇责任心不强，管护责任落 实不到位，农村公路养护管理“缺位”现象仍普遍存在。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2、未建立相关机制，制度执行不到位 没有规矩不成方圆，没有制度管理就没有约束，制度管 理是项目管理工作中所必须具有的基础条件，但在目前的交 通局公路养护项目中，未建立考核制度、业务管理制度、档 案管理制度和后期养护管理制度等。</w:t>
      </w:r>
    </w:p>
    <w:p w14:paraId="0654F35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4592BAB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（一）依法治路，进一步管理好农村公路 按照依法治路总要求，明确农村公路管理的主体，逐步完善县、乡、村级农村公路管理机构、乡镇农村公路管理站和建制村村道管理议事机制。增加公路管理配套资金投入，加强巡查检查力度，加强沿线群众的交通安全意识和爱路护 路意识的教育培养，维护农村公路的安全畅通。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（二）完善各项管理制度，使养护工作更加科学化、规范化、 标准化、制度化 在项目管理过程中，建议交通局根据当地特点，制定符 合实际的各项管理养护制度，健全长效机制建设，提高养护 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（三）做好“勤查、勤治、勤督”工作 “勤查”是坚持做好日常路况巡查；“勤治”是对发生 的各类病害及时处理；“勤督”是要定期进行检查督促养护 中心检查的真实性及齐全性，同时督促病害处治的及时性， 是做好日常养护的保障。</w:t>
      </w:r>
    </w:p>
    <w:p w14:paraId="4E4C85D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1DC99566">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702473A">
        <w:pPr>
          <w:pStyle w:val="12"/>
          <w:jc w:val="center"/>
        </w:pPr>
        <w:r>
          <w:fldChar w:fldCharType="begin"/>
        </w:r>
        <w:r>
          <w:instrText xml:space="preserve">PAGE   \* MERGEFORMAT</w:instrText>
        </w:r>
        <w:r>
          <w:fldChar w:fldCharType="separate"/>
        </w:r>
        <w:r>
          <w:rPr>
            <w:lang w:val="zh-CN"/>
          </w:rPr>
          <w:t>1</w:t>
        </w:r>
        <w:r>
          <w:fldChar w:fldCharType="end"/>
        </w:r>
      </w:p>
    </w:sdtContent>
  </w:sdt>
  <w:p w14:paraId="4F42238D">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5271FF3"/>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27</Pages>
  <Words>10986</Words>
  <Characters>11557</Characters>
  <Lines>5</Lines>
  <Paragraphs>1</Paragraphs>
  <TotalTime>0</TotalTime>
  <ScaleCrop>false</ScaleCrop>
  <LinksUpToDate>false</LinksUpToDate>
  <CharactersWithSpaces>12876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2025-09-04T08:00:21Z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