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485610">
      <w:r>
        <w:br w:type="page"/>
      </w:r>
    </w:p>
    <w:p w14:paraId="6A11AE57">
      <w:pPr>
        <w:spacing w:line="640" w:lineRule="exact"/>
        <w:jc w:val="center"/>
        <w:outlineLvl w:val="1"/>
      </w:pPr>
      <w:r>
        <w:rPr>
          <w:rFonts w:ascii="黑体" w:hAnsi="黑体" w:eastAsia="黑体"/>
          <w:sz w:val="32"/>
        </w:rPr>
        <w:t>第一部分 单位概况</w:t>
      </w:r>
    </w:p>
    <w:p w14:paraId="7E4925E3">
      <w:pPr>
        <w:spacing w:line="640" w:lineRule="exact"/>
        <w:ind w:firstLine="640"/>
        <w:jc w:val="both"/>
        <w:outlineLvl w:val="2"/>
      </w:pPr>
      <w:r>
        <w:rPr>
          <w:rFonts w:ascii="黑体" w:hAnsi="黑体" w:eastAsia="黑体"/>
          <w:sz w:val="32"/>
        </w:rPr>
        <w:t>一、主要职能</w:t>
      </w:r>
    </w:p>
    <w:p w14:paraId="7503CC2B">
      <w:pPr>
        <w:spacing w:line="580" w:lineRule="exact"/>
        <w:ind w:firstLine="640"/>
        <w:jc w:val="both"/>
      </w:pPr>
      <w:r>
        <w:rPr>
          <w:rFonts w:ascii="仿宋_GB2312" w:hAnsi="仿宋_GB2312" w:eastAsia="仿宋_GB2312"/>
          <w:sz w:val="32"/>
        </w:rPr>
        <w:t>1.负责</w:t>
      </w:r>
      <w:r>
        <w:rPr>
          <w:rFonts w:hint="eastAsia" w:ascii="仿宋_GB2312" w:hAnsi="仿宋_GB2312" w:eastAsia="仿宋_GB2312"/>
          <w:sz w:val="32"/>
          <w:lang w:eastAsia="zh-CN"/>
        </w:rPr>
        <w:t>巩固拓展脱贫攻坚成果</w:t>
      </w:r>
      <w:r>
        <w:rPr>
          <w:rFonts w:ascii="仿宋_GB2312" w:hAnsi="仿宋_GB2312" w:eastAsia="仿宋_GB2312"/>
          <w:sz w:val="32"/>
        </w:rPr>
        <w:t>、统筹推进实施乡村振兴战略有关具体工作，防止返贫的长效机制，对处于贫困边缘的弱势群体和弱质乡村，通过长效方式保障不返贫;长效稳固的提升机制，保证脱贫成效持续稳定发展，包括防止“新入贫”的情况，突发疾病等意外情况时落入贫困</w:t>
      </w:r>
      <w:r>
        <w:rPr>
          <w:rFonts w:hint="eastAsia" w:ascii="仿宋_GB2312" w:hAnsi="仿宋_GB2312" w:eastAsia="仿宋_GB2312"/>
          <w:sz w:val="32"/>
          <w:lang w:eastAsia="zh-CN"/>
        </w:rPr>
        <w:t>陷阱</w:t>
      </w:r>
      <w:r>
        <w:rPr>
          <w:rFonts w:ascii="仿宋_GB2312" w:hAnsi="仿宋_GB2312" w:eastAsia="仿宋_GB2312"/>
          <w:sz w:val="32"/>
        </w:rPr>
        <w:t>。</w:t>
      </w:r>
    </w:p>
    <w:p w14:paraId="2E16AFF6">
      <w:pPr>
        <w:spacing w:line="580" w:lineRule="exact"/>
        <w:ind w:firstLine="640"/>
        <w:jc w:val="both"/>
      </w:pPr>
      <w:r>
        <w:rPr>
          <w:rFonts w:ascii="仿宋_GB2312" w:hAnsi="仿宋_GB2312" w:eastAsia="仿宋_GB2312"/>
          <w:sz w:val="32"/>
        </w:rPr>
        <w:t>2.加强农村低收入人口常态化帮扶，对有劳动能力的，坚持开发式帮扶方针;对没有劳动能力的，及时纳入现有社会保障体系。</w:t>
      </w:r>
    </w:p>
    <w:p w14:paraId="28359476">
      <w:pPr>
        <w:spacing w:line="580" w:lineRule="exact"/>
        <w:ind w:firstLine="640"/>
        <w:jc w:val="both"/>
      </w:pPr>
      <w:r>
        <w:rPr>
          <w:rFonts w:ascii="仿宋_GB2312" w:hAnsi="仿宋_GB2312" w:eastAsia="仿宋_GB2312"/>
          <w:sz w:val="32"/>
        </w:rPr>
        <w:t>3.继续重点强化产业和就业帮扶。</w:t>
      </w:r>
    </w:p>
    <w:p w14:paraId="12CA5C01">
      <w:pPr>
        <w:spacing w:line="580" w:lineRule="exact"/>
        <w:ind w:firstLine="640"/>
        <w:jc w:val="both"/>
      </w:pPr>
      <w:r>
        <w:rPr>
          <w:rFonts w:ascii="仿宋_GB2312" w:hAnsi="仿宋_GB2312" w:eastAsia="仿宋_GB2312"/>
          <w:sz w:val="32"/>
        </w:rPr>
        <w:t>4.做好异地搬迁后续帮扶。</w:t>
      </w:r>
    </w:p>
    <w:p w14:paraId="57D0D2FC">
      <w:pPr>
        <w:spacing w:line="640" w:lineRule="exact"/>
        <w:ind w:firstLine="640"/>
        <w:jc w:val="both"/>
        <w:outlineLvl w:val="2"/>
      </w:pPr>
      <w:r>
        <w:rPr>
          <w:rFonts w:ascii="黑体" w:hAnsi="黑体" w:eastAsia="黑体"/>
          <w:sz w:val="32"/>
        </w:rPr>
        <w:t>二、机构设置及人员情况</w:t>
      </w:r>
    </w:p>
    <w:p w14:paraId="24F9914C">
      <w:pPr>
        <w:spacing w:line="580" w:lineRule="exact"/>
        <w:ind w:firstLine="640"/>
        <w:jc w:val="both"/>
      </w:pPr>
      <w:r>
        <w:rPr>
          <w:rFonts w:ascii="仿宋_GB2312" w:hAnsi="仿宋_GB2312" w:eastAsia="仿宋_GB2312"/>
          <w:sz w:val="32"/>
        </w:rPr>
        <w:t>塔什库尔干塔吉克自治县乡村振兴局2024年度，实有人数25人，其中：在职人员20人，减少3人；离休人员0人，增加0人；退休人员5人,增加0人。</w:t>
      </w:r>
    </w:p>
    <w:p w14:paraId="67C0AEDB">
      <w:pPr>
        <w:spacing w:line="580" w:lineRule="exact"/>
        <w:ind w:firstLine="640"/>
        <w:jc w:val="both"/>
      </w:pPr>
      <w:r>
        <w:rPr>
          <w:rFonts w:ascii="仿宋_GB2312" w:hAnsi="仿宋_GB2312" w:eastAsia="仿宋_GB2312"/>
          <w:sz w:val="32"/>
        </w:rPr>
        <w:t>单位无下属预算单位，下设5个科室，分别是：综合办公室、项目规划中心、考核评估中心、信息监测中心、产业发展中心。</w:t>
      </w:r>
    </w:p>
    <w:p w14:paraId="0DB12C13">
      <w:r>
        <w:br w:type="page"/>
      </w:r>
    </w:p>
    <w:p w14:paraId="7380BADB">
      <w:pPr>
        <w:spacing w:line="240" w:lineRule="auto"/>
        <w:jc w:val="center"/>
        <w:outlineLvl w:val="1"/>
      </w:pPr>
      <w:r>
        <w:rPr>
          <w:rFonts w:ascii="黑体" w:hAnsi="黑体" w:eastAsia="黑体"/>
          <w:sz w:val="32"/>
        </w:rPr>
        <w:t>第二部分 部门决算情况说明</w:t>
      </w:r>
    </w:p>
    <w:p w14:paraId="51A4F4F6">
      <w:pPr>
        <w:spacing w:line="640" w:lineRule="exact"/>
        <w:ind w:firstLine="640"/>
        <w:jc w:val="both"/>
        <w:outlineLvl w:val="2"/>
      </w:pPr>
      <w:r>
        <w:rPr>
          <w:rFonts w:ascii="黑体" w:hAnsi="黑体" w:eastAsia="黑体"/>
          <w:sz w:val="32"/>
        </w:rPr>
        <w:t>一、收入支出决算总体情况说明</w:t>
      </w:r>
    </w:p>
    <w:p w14:paraId="6B886172">
      <w:pPr>
        <w:spacing w:line="580" w:lineRule="exact"/>
        <w:ind w:firstLine="640"/>
        <w:jc w:val="both"/>
      </w:pPr>
      <w:r>
        <w:rPr>
          <w:rFonts w:ascii="仿宋_GB2312" w:hAnsi="仿宋_GB2312" w:eastAsia="仿宋_GB2312"/>
          <w:b/>
          <w:sz w:val="32"/>
        </w:rPr>
        <w:t>2024年度收入总计751.39万元，</w:t>
      </w:r>
      <w:r>
        <w:rPr>
          <w:rFonts w:ascii="仿宋_GB2312" w:hAnsi="仿宋_GB2312" w:eastAsia="仿宋_GB2312"/>
          <w:b w:val="0"/>
          <w:sz w:val="32"/>
        </w:rPr>
        <w:t>其中：本年收入合计751.39万元，使用非财政拨款结余（含专用结余）0.00万元，年初结转和结余0.00万元。</w:t>
      </w:r>
    </w:p>
    <w:p w14:paraId="75A804ED">
      <w:pPr>
        <w:spacing w:line="580" w:lineRule="exact"/>
        <w:ind w:firstLine="640"/>
        <w:jc w:val="both"/>
      </w:pPr>
      <w:r>
        <w:rPr>
          <w:rFonts w:ascii="仿宋_GB2312" w:hAnsi="仿宋_GB2312" w:eastAsia="仿宋_GB2312"/>
          <w:b/>
          <w:sz w:val="32"/>
        </w:rPr>
        <w:t>2024年度支出总计751.39万元，</w:t>
      </w:r>
      <w:r>
        <w:rPr>
          <w:rFonts w:ascii="仿宋_GB2312" w:hAnsi="仿宋_GB2312" w:eastAsia="仿宋_GB2312"/>
          <w:b w:val="0"/>
          <w:sz w:val="32"/>
        </w:rPr>
        <w:t>其中：本年支出合计751.39万元，结余分配0.00万元，年末结转和结余0.00万元。</w:t>
      </w:r>
    </w:p>
    <w:p w14:paraId="3FED0FD2">
      <w:pPr>
        <w:spacing w:line="580" w:lineRule="exact"/>
        <w:ind w:firstLine="640"/>
        <w:jc w:val="both"/>
      </w:pPr>
      <w:r>
        <w:rPr>
          <w:rFonts w:ascii="仿宋_GB2312" w:hAnsi="仿宋_GB2312" w:eastAsia="仿宋_GB2312"/>
          <w:b w:val="0"/>
          <w:sz w:val="32"/>
        </w:rPr>
        <w:t>收入支出总体与上年相比，减少74.20万元，下降8.99%，主要原因是：1.本年在职人员减少，相关人员经费较上年减少；2.本年暖心锅炉项目费较上年减少。</w:t>
      </w:r>
    </w:p>
    <w:p w14:paraId="1CFE7778">
      <w:pPr>
        <w:spacing w:line="640" w:lineRule="exact"/>
        <w:ind w:firstLine="640"/>
        <w:jc w:val="both"/>
        <w:outlineLvl w:val="2"/>
      </w:pPr>
      <w:r>
        <w:rPr>
          <w:rFonts w:ascii="黑体" w:hAnsi="黑体" w:eastAsia="黑体"/>
          <w:sz w:val="32"/>
        </w:rPr>
        <w:t>二、收入决算情况说明</w:t>
      </w:r>
    </w:p>
    <w:p w14:paraId="5E5C0392">
      <w:pPr>
        <w:spacing w:line="580" w:lineRule="exact"/>
        <w:ind w:firstLine="640"/>
        <w:jc w:val="both"/>
      </w:pPr>
      <w:r>
        <w:rPr>
          <w:rFonts w:ascii="仿宋_GB2312" w:hAnsi="仿宋_GB2312" w:eastAsia="仿宋_GB2312"/>
          <w:b/>
          <w:sz w:val="32"/>
        </w:rPr>
        <w:t>本年收入751.39万元，</w:t>
      </w:r>
      <w:r>
        <w:rPr>
          <w:rFonts w:ascii="仿宋_GB2312" w:hAnsi="仿宋_GB2312" w:eastAsia="仿宋_GB2312"/>
          <w:b w:val="0"/>
          <w:sz w:val="32"/>
        </w:rPr>
        <w:t>其中：财政拨款收入751.39万元，占100.00%；上级补助收入0.00万元，占0.00%；事业收入0.00万元，占0.00%；经营收入0.00万元，占0.00%；附属单位上缴收入0.00万元，占0.00%；其他收入0.00万元，占0.00%。</w:t>
      </w:r>
    </w:p>
    <w:p w14:paraId="312BCA99">
      <w:pPr>
        <w:spacing w:line="640" w:lineRule="exact"/>
        <w:ind w:firstLine="640"/>
        <w:jc w:val="both"/>
        <w:outlineLvl w:val="2"/>
      </w:pPr>
      <w:r>
        <w:rPr>
          <w:rFonts w:ascii="黑体" w:hAnsi="黑体" w:eastAsia="黑体"/>
          <w:sz w:val="32"/>
        </w:rPr>
        <w:t>三、支出决算情况说明</w:t>
      </w:r>
    </w:p>
    <w:p w14:paraId="4C536EE8">
      <w:pPr>
        <w:spacing w:line="580" w:lineRule="exact"/>
        <w:ind w:firstLine="640"/>
        <w:jc w:val="both"/>
      </w:pPr>
      <w:r>
        <w:rPr>
          <w:rFonts w:ascii="仿宋_GB2312" w:hAnsi="仿宋_GB2312" w:eastAsia="仿宋_GB2312"/>
          <w:b/>
          <w:sz w:val="32"/>
        </w:rPr>
        <w:t>本年支出751.39万元，</w:t>
      </w:r>
      <w:r>
        <w:rPr>
          <w:rFonts w:ascii="仿宋_GB2312" w:hAnsi="仿宋_GB2312" w:eastAsia="仿宋_GB2312"/>
          <w:b w:val="0"/>
          <w:sz w:val="32"/>
        </w:rPr>
        <w:t>其中：基本支出451.89万元，占60.14%；项目支出299.51万元，占39.86%；上缴上级支出0.00万元，占0.00%；经营支出0.00万元，占0.00%；对附属单位补助支出0.00万元，占0.00%。</w:t>
      </w:r>
    </w:p>
    <w:p w14:paraId="27727A39">
      <w:pPr>
        <w:spacing w:line="640" w:lineRule="exact"/>
        <w:ind w:firstLine="640"/>
        <w:jc w:val="both"/>
        <w:outlineLvl w:val="2"/>
      </w:pPr>
      <w:r>
        <w:rPr>
          <w:rFonts w:ascii="黑体" w:hAnsi="黑体" w:eastAsia="黑体"/>
          <w:sz w:val="32"/>
        </w:rPr>
        <w:t>四、财政拨款收入支出决算总体情况说明</w:t>
      </w:r>
    </w:p>
    <w:p w14:paraId="17CC44D3">
      <w:pPr>
        <w:spacing w:line="580" w:lineRule="exact"/>
        <w:ind w:firstLine="640"/>
        <w:jc w:val="both"/>
      </w:pPr>
      <w:r>
        <w:rPr>
          <w:rFonts w:ascii="仿宋_GB2312" w:hAnsi="仿宋_GB2312" w:eastAsia="仿宋_GB2312"/>
          <w:b/>
          <w:sz w:val="32"/>
        </w:rPr>
        <w:t>2024年度财政拨款收入总计751.39万元，</w:t>
      </w:r>
      <w:r>
        <w:rPr>
          <w:rFonts w:ascii="仿宋_GB2312" w:hAnsi="仿宋_GB2312" w:eastAsia="仿宋_GB2312"/>
          <w:b w:val="0"/>
          <w:sz w:val="32"/>
        </w:rPr>
        <w:t>其中：年初财政拨款结转和结余0.00万元，本年财政拨款收入751.39万元。</w:t>
      </w:r>
      <w:r>
        <w:rPr>
          <w:rFonts w:ascii="仿宋_GB2312" w:hAnsi="仿宋_GB2312" w:eastAsia="仿宋_GB2312"/>
          <w:b/>
          <w:sz w:val="32"/>
        </w:rPr>
        <w:t>财政拨款支出总计751.39万元，</w:t>
      </w:r>
      <w:r>
        <w:rPr>
          <w:rFonts w:ascii="仿宋_GB2312" w:hAnsi="仿宋_GB2312" w:eastAsia="仿宋_GB2312"/>
          <w:b w:val="0"/>
          <w:sz w:val="32"/>
        </w:rPr>
        <w:t>其中：年末财政拨款结转和结余0.00万元，本年财政拨款支出751.39万元。</w:t>
      </w:r>
    </w:p>
    <w:p w14:paraId="5DB393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减少74.20万元，下降8.99%，主要原因是：1.本年在职人员减少，相关人员经费较上年减少；2.本年暖心锅炉项目费较上年减少。</w:t>
      </w:r>
      <w:r>
        <w:rPr>
          <w:rFonts w:ascii="仿宋_GB2312" w:hAnsi="仿宋_GB2312" w:eastAsia="仿宋_GB2312"/>
          <w:b/>
          <w:sz w:val="32"/>
        </w:rPr>
        <w:t>与年初预算相比，</w:t>
      </w:r>
      <w:r>
        <w:rPr>
          <w:rFonts w:ascii="仿宋_GB2312" w:hAnsi="仿宋_GB2312" w:eastAsia="仿宋_GB2312"/>
          <w:b w:val="0"/>
          <w:sz w:val="32"/>
        </w:rPr>
        <w:t>年初预算数512.60万元，决算数751.39万元，预决算差异率46.58%，主要原因是：年中追加人员工资、社保、公积金基数调增部分资金及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农牧民暖心锅炉维保项目，2024年项目管理费等，导致预决算存在差异。</w:t>
      </w:r>
    </w:p>
    <w:p w14:paraId="58AAFF98">
      <w:pPr>
        <w:spacing w:line="640" w:lineRule="exact"/>
        <w:ind w:firstLine="640"/>
        <w:jc w:val="both"/>
        <w:outlineLvl w:val="2"/>
      </w:pPr>
      <w:r>
        <w:rPr>
          <w:rFonts w:ascii="黑体" w:hAnsi="黑体" w:eastAsia="黑体"/>
          <w:sz w:val="32"/>
        </w:rPr>
        <w:t>五、一般公共预算财政拨款支出决算情况说明</w:t>
      </w:r>
    </w:p>
    <w:p w14:paraId="5CEEB14C">
      <w:pPr>
        <w:spacing w:line="640" w:lineRule="exact"/>
        <w:ind w:firstLine="640"/>
        <w:jc w:val="both"/>
        <w:outlineLvl w:val="3"/>
      </w:pPr>
      <w:r>
        <w:rPr>
          <w:rFonts w:ascii="楷体_GB2312" w:hAnsi="楷体_GB2312" w:eastAsia="楷体_GB2312"/>
          <w:b/>
          <w:sz w:val="32"/>
        </w:rPr>
        <w:t>（一）一般公共预算财政拨款支出决算总体情况</w:t>
      </w:r>
    </w:p>
    <w:p w14:paraId="6142D06C">
      <w:pPr>
        <w:spacing w:line="580" w:lineRule="exact"/>
        <w:ind w:firstLine="640"/>
        <w:jc w:val="both"/>
      </w:pPr>
      <w:r>
        <w:rPr>
          <w:rFonts w:ascii="仿宋_GB2312" w:hAnsi="仿宋_GB2312" w:eastAsia="仿宋_GB2312"/>
          <w:b/>
          <w:sz w:val="32"/>
        </w:rPr>
        <w:t>2024年度一般公共预算财政拨款支出751.39万元，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减少74.20万元，下降8.99%，主要原因是：1.本年在职人员减少，相关人员经费较上年减少；2.本年暖心锅炉项目费较上年减少。</w:t>
      </w:r>
      <w:r>
        <w:rPr>
          <w:rFonts w:ascii="仿宋_GB2312" w:hAnsi="仿宋_GB2312" w:eastAsia="仿宋_GB2312"/>
          <w:b/>
          <w:sz w:val="32"/>
        </w:rPr>
        <w:t>与年初预算相比,</w:t>
      </w:r>
      <w:r>
        <w:rPr>
          <w:rFonts w:ascii="仿宋_GB2312" w:hAnsi="仿宋_GB2312" w:eastAsia="仿宋_GB2312"/>
          <w:b w:val="0"/>
          <w:sz w:val="32"/>
        </w:rPr>
        <w:t>年初预算数512.60万元，决算数751.39万元，预决算差异率46.58%，主要原因是：年中追加人员工资、社保、公积金基数调增部分资金及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农牧民暖心锅炉维保项目，2024年项目管理费等，导致预决算存在差异。</w:t>
      </w:r>
    </w:p>
    <w:p w14:paraId="02B6D33C">
      <w:pPr>
        <w:spacing w:line="640" w:lineRule="exact"/>
        <w:ind w:firstLine="640"/>
        <w:jc w:val="both"/>
        <w:outlineLvl w:val="3"/>
      </w:pPr>
      <w:r>
        <w:rPr>
          <w:rFonts w:ascii="楷体_GB2312" w:hAnsi="楷体_GB2312" w:eastAsia="楷体_GB2312"/>
          <w:b/>
          <w:sz w:val="32"/>
        </w:rPr>
        <w:t>（二）一般公共预算财政拨款支出决算结构情况</w:t>
      </w:r>
    </w:p>
    <w:p w14:paraId="06FE95ED">
      <w:pPr>
        <w:spacing w:line="580" w:lineRule="exact"/>
        <w:ind w:firstLine="640"/>
        <w:jc w:val="both"/>
      </w:pPr>
      <w:r>
        <w:rPr>
          <w:rFonts w:ascii="仿宋_GB2312" w:hAnsi="仿宋_GB2312" w:eastAsia="仿宋_GB2312"/>
          <w:b w:val="0"/>
          <w:sz w:val="32"/>
        </w:rPr>
        <w:t>1.一般公共服务支出(类)123.82万元,占16.48%。</w:t>
      </w:r>
    </w:p>
    <w:p w14:paraId="4962D531">
      <w:pPr>
        <w:spacing w:line="580" w:lineRule="exact"/>
        <w:ind w:firstLine="640"/>
        <w:jc w:val="both"/>
      </w:pPr>
      <w:r>
        <w:rPr>
          <w:rFonts w:ascii="仿宋_GB2312" w:hAnsi="仿宋_GB2312" w:eastAsia="仿宋_GB2312"/>
          <w:b w:val="0"/>
          <w:sz w:val="32"/>
        </w:rPr>
        <w:t>2.社会保障和就业支出(类)51.77万元,占6.89%。</w:t>
      </w:r>
    </w:p>
    <w:p w14:paraId="1983968C">
      <w:pPr>
        <w:spacing w:line="580" w:lineRule="exact"/>
        <w:ind w:firstLine="640"/>
        <w:jc w:val="both"/>
      </w:pPr>
      <w:r>
        <w:rPr>
          <w:rFonts w:ascii="仿宋_GB2312" w:hAnsi="仿宋_GB2312" w:eastAsia="仿宋_GB2312"/>
          <w:b w:val="0"/>
          <w:sz w:val="32"/>
        </w:rPr>
        <w:t>3.卫生健康支出(类)20.16万元,占2.68%。</w:t>
      </w:r>
    </w:p>
    <w:p w14:paraId="2A4E71F5">
      <w:pPr>
        <w:spacing w:line="580" w:lineRule="exact"/>
        <w:ind w:firstLine="640"/>
        <w:jc w:val="both"/>
      </w:pPr>
      <w:r>
        <w:rPr>
          <w:rFonts w:ascii="仿宋_GB2312" w:hAnsi="仿宋_GB2312" w:eastAsia="仿宋_GB2312"/>
          <w:b w:val="0"/>
          <w:sz w:val="32"/>
        </w:rPr>
        <w:t>4.农林水支出(类)510.23万元,占67.90%。</w:t>
      </w:r>
    </w:p>
    <w:p w14:paraId="26750AD4">
      <w:pPr>
        <w:spacing w:line="580" w:lineRule="exact"/>
        <w:ind w:firstLine="640"/>
        <w:jc w:val="both"/>
      </w:pPr>
      <w:r>
        <w:rPr>
          <w:rFonts w:ascii="仿宋_GB2312" w:hAnsi="仿宋_GB2312" w:eastAsia="仿宋_GB2312"/>
          <w:b w:val="0"/>
          <w:sz w:val="32"/>
        </w:rPr>
        <w:t>5.住房保障支出(类)38.41万元,占5.11%。</w:t>
      </w:r>
    </w:p>
    <w:p w14:paraId="027C6A87">
      <w:pPr>
        <w:spacing w:line="580" w:lineRule="exact"/>
        <w:ind w:firstLine="640"/>
        <w:jc w:val="both"/>
      </w:pPr>
      <w:r>
        <w:rPr>
          <w:rFonts w:ascii="仿宋_GB2312" w:hAnsi="仿宋_GB2312" w:eastAsia="仿宋_GB2312"/>
          <w:b w:val="0"/>
          <w:sz w:val="32"/>
        </w:rPr>
        <w:t>6.其他支出(类)7.00万元,占0.93%。</w:t>
      </w:r>
    </w:p>
    <w:p w14:paraId="3EF44F0F">
      <w:pPr>
        <w:spacing w:line="640" w:lineRule="exact"/>
        <w:ind w:firstLine="640"/>
        <w:jc w:val="both"/>
        <w:outlineLvl w:val="3"/>
      </w:pPr>
      <w:r>
        <w:rPr>
          <w:rFonts w:ascii="楷体_GB2312" w:hAnsi="楷体_GB2312" w:eastAsia="楷体_GB2312"/>
          <w:b/>
          <w:sz w:val="32"/>
        </w:rPr>
        <w:t>（三）一般公共预算财政拨款支出决算具体情况</w:t>
      </w:r>
    </w:p>
    <w:p w14:paraId="6E4908F2">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1.一般公共服务支出(类)其他一般公共服务支出(款)其他一般公共服务支出(项):支出决算数为123.82万元，比上年决算增加110.32万元，增长817.19%,主要原因是：一是增加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牦牛肉、雪菊品牌价值提升项目（开设店铺）；二是科目调整，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农牧民暖心锅炉维保项目从其他农业农村支出调整至其他一般公共服务支出科目。</w:t>
      </w:r>
    </w:p>
    <w:p w14:paraId="24FF8BB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2.社会保障和就业支出(类)行政事业单位养老支出(款)行政单位离退休(项):支出决算数为6.56万元，比上年决算增加1.09万元，增长19.93%,主要原因是：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增加退休人员绩效工资。</w:t>
      </w:r>
    </w:p>
    <w:p w14:paraId="2B3226C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45.21万元，比上年决算减少4.14万元，下降8.39%,主要原因是：本年在职人员减少，单位基本养老保险缴费较上年减少。</w:t>
      </w:r>
    </w:p>
    <w:p w14:paraId="672BA499">
      <w:pPr>
        <w:spacing w:line="580" w:lineRule="exact"/>
        <w:ind w:firstLine="640"/>
        <w:jc w:val="both"/>
      </w:pPr>
      <w:r>
        <w:rPr>
          <w:rFonts w:ascii="仿宋_GB2312" w:hAnsi="仿宋_GB2312" w:eastAsia="仿宋_GB2312"/>
          <w:b w:val="0"/>
          <w:sz w:val="32"/>
        </w:rPr>
        <w:t>4.卫生健康支出(类)行政事业单位医疗(款)行政单位医疗(项):支出决算数为19.21万元，比上年决算减少4.15万元，下降17.77%,主要原因是：本年在职人员减少，行政单位医疗较上年减少。</w:t>
      </w:r>
    </w:p>
    <w:p w14:paraId="7981827B">
      <w:pPr>
        <w:spacing w:line="580" w:lineRule="exact"/>
        <w:ind w:firstLine="640"/>
        <w:jc w:val="both"/>
      </w:pPr>
      <w:r>
        <w:rPr>
          <w:rFonts w:ascii="仿宋_GB2312" w:hAnsi="仿宋_GB2312" w:eastAsia="仿宋_GB2312"/>
          <w:b w:val="0"/>
          <w:sz w:val="32"/>
        </w:rPr>
        <w:t>5.卫生健康支出(类)行政事业单位医疗(款)公务员医疗补助(项):支出决算数为0.95万元，比上年决算减少1.35万元，下降58.70%,主要原因是：本年在职人员减少，公务员医疗补助较上年减少。</w:t>
      </w:r>
    </w:p>
    <w:p w14:paraId="6AD155C0">
      <w:pPr>
        <w:spacing w:line="580" w:lineRule="exact"/>
        <w:ind w:firstLine="640"/>
        <w:jc w:val="both"/>
      </w:pPr>
      <w:r>
        <w:rPr>
          <w:rFonts w:ascii="仿宋_GB2312" w:hAnsi="仿宋_GB2312" w:eastAsia="仿宋_GB2312"/>
          <w:b w:val="0"/>
          <w:sz w:val="32"/>
        </w:rPr>
        <w:t>6.农林水支出(类)农业农村(款)其他农业农村支出(项):支出决算数为0.00万元，比上年决算减少99.80万元，下降100.00%,主要原因是：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农牧民暖心锅炉维保项目从其他农业农村支出调整至其他一般公共服务支出科目。</w:t>
      </w:r>
    </w:p>
    <w:p w14:paraId="0285DEB7">
      <w:pPr>
        <w:spacing w:line="580" w:lineRule="exact"/>
        <w:ind w:firstLine="640"/>
        <w:jc w:val="both"/>
      </w:pPr>
      <w:r>
        <w:rPr>
          <w:rFonts w:ascii="仿宋_GB2312" w:hAnsi="仿宋_GB2312" w:eastAsia="仿宋_GB2312"/>
          <w:b w:val="0"/>
          <w:sz w:val="32"/>
        </w:rPr>
        <w:t>7.农林水支出(类)巩固脱贫攻坚成果衔接乡村振兴(款)行政运行(项):支出决算数为63.67万元，比上年决算减少49.00万元，下降43.49%,主要原因是：在职人员减少，相应人员经费较上年减少。</w:t>
      </w:r>
    </w:p>
    <w:p w14:paraId="1BBF0968">
      <w:pPr>
        <w:spacing w:line="580" w:lineRule="exact"/>
        <w:ind w:firstLine="640"/>
        <w:jc w:val="both"/>
      </w:pPr>
      <w:r>
        <w:rPr>
          <w:rFonts w:ascii="仿宋_GB2312" w:hAnsi="仿宋_GB2312" w:eastAsia="仿宋_GB2312"/>
          <w:b w:val="0"/>
          <w:sz w:val="32"/>
        </w:rPr>
        <w:t>8.农林水支出(类)巩固脱贫攻坚成果衔接乡村振兴(款)生产发展(项):支出决算数为95.00万元，比上年决算增加5.00万元，增长5.56%,主要原因是：2024年项目管理费项目资金增加。</w:t>
      </w:r>
    </w:p>
    <w:p w14:paraId="1A094FAD">
      <w:pPr>
        <w:spacing w:line="580" w:lineRule="exact"/>
        <w:ind w:firstLine="640"/>
        <w:jc w:val="both"/>
      </w:pPr>
      <w:r>
        <w:rPr>
          <w:rFonts w:ascii="仿宋_GB2312" w:hAnsi="仿宋_GB2312" w:eastAsia="仿宋_GB2312"/>
          <w:b w:val="0"/>
          <w:sz w:val="32"/>
        </w:rPr>
        <w:t>9.农林水支出(类)巩固脱贫攻坚成果衔接乡村振兴(款)事业运行(项):支出决算数为277.88万元，比上年决算减少33.47万元，下降10.75%,主要原因是：在职人员减少，相应人员经费较上年减少。</w:t>
      </w:r>
    </w:p>
    <w:p w14:paraId="1E28BCB0">
      <w:pPr>
        <w:spacing w:line="580" w:lineRule="exact"/>
        <w:ind w:firstLine="640"/>
        <w:jc w:val="both"/>
      </w:pPr>
      <w:r>
        <w:rPr>
          <w:rFonts w:ascii="仿宋_GB2312" w:hAnsi="仿宋_GB2312" w:eastAsia="仿宋_GB2312"/>
          <w:b w:val="0"/>
          <w:sz w:val="32"/>
        </w:rPr>
        <w:t>10.农林水支出(类)巩固脱贫攻坚成果衔接乡村振兴(款)其他巩固脱贫攻坚成果衔接乡村振兴支出(项):支出决算数为73.69万元，比上年决算减少3.84万元，下降4.95%,主要原因是：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精准扶贫档案数字化管理设备项目款资金较上年减少。</w:t>
      </w:r>
    </w:p>
    <w:p w14:paraId="3ABF843A">
      <w:pPr>
        <w:spacing w:line="580" w:lineRule="exact"/>
        <w:ind w:firstLine="640"/>
        <w:jc w:val="both"/>
      </w:pPr>
      <w:r>
        <w:rPr>
          <w:rFonts w:ascii="仿宋_GB2312" w:hAnsi="仿宋_GB2312" w:eastAsia="仿宋_GB2312"/>
          <w:b w:val="0"/>
          <w:sz w:val="32"/>
        </w:rPr>
        <w:t>11.住房保障支出(类)住房改革支出(款)住房公积金(项):支出决算数为38.41万元，比上年决算减少1.84万元，下降4.57%,主要原因是：本年在职人员减少，住房公积金缴费较上年减少。</w:t>
      </w:r>
    </w:p>
    <w:p w14:paraId="4D7CFA1D">
      <w:pPr>
        <w:spacing w:line="580" w:lineRule="exact"/>
        <w:ind w:firstLine="640"/>
        <w:jc w:val="both"/>
      </w:pPr>
      <w:r>
        <w:rPr>
          <w:rFonts w:ascii="仿宋_GB2312" w:hAnsi="仿宋_GB2312" w:eastAsia="仿宋_GB2312"/>
          <w:b w:val="0"/>
          <w:sz w:val="32"/>
        </w:rPr>
        <w:t>12.其他支出(类)其他支出(款)其他支出(项):支出决算数为7.00万元，比上年决算增加7.00万元，增长100.00%,主要原因是：增加2024年为民</w:t>
      </w:r>
      <w:r>
        <w:rPr>
          <w:rFonts w:hint="eastAsia" w:ascii="仿宋_GB2312" w:hAnsi="仿宋_GB2312" w:eastAsia="仿宋_GB2312"/>
          <w:b w:val="0"/>
          <w:sz w:val="32"/>
          <w:lang w:eastAsia="zh-CN"/>
        </w:rPr>
        <w:t>办实事</w:t>
      </w:r>
      <w:r>
        <w:rPr>
          <w:rFonts w:ascii="仿宋_GB2312" w:hAnsi="仿宋_GB2312" w:eastAsia="仿宋_GB2312"/>
          <w:b w:val="0"/>
          <w:sz w:val="32"/>
        </w:rPr>
        <w:t>项目。</w:t>
      </w:r>
    </w:p>
    <w:p w14:paraId="0EC8450B">
      <w:pPr>
        <w:spacing w:line="640" w:lineRule="exact"/>
        <w:ind w:firstLine="640"/>
        <w:jc w:val="both"/>
        <w:outlineLvl w:val="2"/>
      </w:pPr>
      <w:r>
        <w:rPr>
          <w:rFonts w:ascii="黑体" w:hAnsi="黑体" w:eastAsia="黑体"/>
          <w:sz w:val="32"/>
        </w:rPr>
        <w:t>六、一般公共预算财政拨款基本支出决算情况说明</w:t>
      </w:r>
    </w:p>
    <w:p w14:paraId="5B9C0AC8">
      <w:pPr>
        <w:spacing w:line="580" w:lineRule="exact"/>
        <w:ind w:firstLine="640"/>
        <w:jc w:val="both"/>
      </w:pPr>
      <w:r>
        <w:rPr>
          <w:rFonts w:ascii="仿宋_GB2312" w:hAnsi="仿宋_GB2312" w:eastAsia="仿宋_GB2312"/>
          <w:b w:val="0"/>
          <w:sz w:val="32"/>
        </w:rPr>
        <w:t>2024年度一般公共预算财政拨款基本支出451.89万元，其中：</w:t>
      </w:r>
      <w:r>
        <w:rPr>
          <w:rFonts w:ascii="仿宋_GB2312" w:hAnsi="仿宋_GB2312" w:eastAsia="仿宋_GB2312"/>
          <w:b/>
          <w:sz w:val="32"/>
        </w:rPr>
        <w:t>人员经费441.88万元，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44137A91">
      <w:pPr>
        <w:spacing w:line="580" w:lineRule="exact"/>
        <w:ind w:firstLine="640"/>
        <w:jc w:val="both"/>
      </w:pPr>
      <w:r>
        <w:rPr>
          <w:rFonts w:ascii="仿宋_GB2312" w:hAnsi="仿宋_GB2312" w:eastAsia="仿宋_GB2312"/>
          <w:b/>
          <w:sz w:val="32"/>
        </w:rPr>
        <w:t>公用经费10.00万元，</w:t>
      </w:r>
      <w:r>
        <w:rPr>
          <w:rFonts w:ascii="仿宋_GB2312" w:hAnsi="仿宋_GB2312" w:eastAsia="仿宋_GB2312"/>
          <w:b w:val="0"/>
          <w:sz w:val="32"/>
        </w:rPr>
        <w:t>包括：办公费、水费、电费、差旅费、公务用车运行维护费。</w:t>
      </w:r>
    </w:p>
    <w:p w14:paraId="0BD3EC1E">
      <w:pPr>
        <w:spacing w:line="640" w:lineRule="exact"/>
        <w:ind w:firstLine="640"/>
        <w:jc w:val="both"/>
        <w:outlineLvl w:val="2"/>
      </w:pPr>
      <w:r>
        <w:rPr>
          <w:rFonts w:ascii="黑体" w:hAnsi="黑体" w:eastAsia="黑体"/>
          <w:sz w:val="32"/>
        </w:rPr>
        <w:t>七、政府性基金预算财政拨款收入支出决算情况说明</w:t>
      </w:r>
    </w:p>
    <w:p w14:paraId="5FA1445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BD9CFC9">
      <w:pPr>
        <w:spacing w:line="640" w:lineRule="exact"/>
        <w:ind w:firstLine="640"/>
        <w:jc w:val="both"/>
        <w:outlineLvl w:val="2"/>
      </w:pPr>
      <w:r>
        <w:rPr>
          <w:rFonts w:ascii="黑体" w:hAnsi="黑体" w:eastAsia="黑体"/>
          <w:sz w:val="32"/>
        </w:rPr>
        <w:t>八、国有资本经营预算财政拨款收入支出决算情况说明</w:t>
      </w:r>
    </w:p>
    <w:p w14:paraId="6E31CE2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7A3368">
      <w:pPr>
        <w:spacing w:line="640" w:lineRule="exact"/>
        <w:ind w:firstLine="640"/>
        <w:jc w:val="both"/>
        <w:outlineLvl w:val="2"/>
      </w:pPr>
      <w:r>
        <w:rPr>
          <w:rFonts w:ascii="黑体" w:hAnsi="黑体" w:eastAsia="黑体"/>
          <w:sz w:val="32"/>
        </w:rPr>
        <w:t>九、财政拨款“三公”经费支出决算情况说明</w:t>
      </w:r>
    </w:p>
    <w:p w14:paraId="5E0AC7F9">
      <w:pPr>
        <w:spacing w:line="580" w:lineRule="exact"/>
        <w:ind w:firstLine="640"/>
        <w:jc w:val="both"/>
      </w:pPr>
      <w:r>
        <w:rPr>
          <w:rFonts w:ascii="仿宋_GB2312" w:hAnsi="仿宋_GB2312" w:eastAsia="仿宋_GB2312"/>
          <w:b/>
          <w:sz w:val="32"/>
        </w:rPr>
        <w:t>2024年度财政拨款“三公”经费支出0.70万元，</w:t>
      </w:r>
      <w:r>
        <w:rPr>
          <w:rFonts w:ascii="仿宋_GB2312" w:hAnsi="仿宋_GB2312" w:eastAsia="仿宋_GB2312"/>
          <w:b w:val="0"/>
          <w:sz w:val="32"/>
        </w:rPr>
        <w:t>比上年减少4.50万元，下降86.54%，主要原因是：严格落实中央八项规定精神，厉行节约，</w:t>
      </w:r>
      <w:r>
        <w:rPr>
          <w:rFonts w:hint="eastAsia" w:ascii="仿宋_GB2312" w:hAnsi="仿宋_GB2312" w:eastAsia="仿宋_GB2312"/>
          <w:b w:val="0"/>
          <w:sz w:val="32"/>
          <w:lang w:val="en-US" w:eastAsia="zh-CN"/>
        </w:rPr>
        <w:t>本年度车辆未进行大修，</w:t>
      </w:r>
      <w:r>
        <w:rPr>
          <w:rFonts w:ascii="仿宋_GB2312" w:hAnsi="仿宋_GB2312" w:eastAsia="仿宋_GB2312"/>
          <w:b w:val="0"/>
          <w:sz w:val="32"/>
        </w:rPr>
        <w:t>减少公务用车运行维护费。其中：因公出国（境）费支出0.00万元，占0.00%，比上年增加0.00万元，增长0.00%，主要原因是：2023年与2024年均未安排因公出国（境）费支出。公务用车购置及运行维护费支出0.70万元，占100.00%，比上年减少4.50万元，下降86.54%，主要原因是：严格落实中央八项规定精神，厉行节约，</w:t>
      </w:r>
      <w:r>
        <w:rPr>
          <w:rFonts w:hint="eastAsia" w:ascii="仿宋_GB2312" w:hAnsi="仿宋_GB2312" w:eastAsia="仿宋_GB2312"/>
          <w:b w:val="0"/>
          <w:sz w:val="32"/>
          <w:lang w:val="en-US" w:eastAsia="zh-CN"/>
        </w:rPr>
        <w:t>本年度车辆未进行大修，</w:t>
      </w:r>
      <w:r>
        <w:rPr>
          <w:rFonts w:ascii="仿宋_GB2312" w:hAnsi="仿宋_GB2312" w:eastAsia="仿宋_GB2312"/>
          <w:b w:val="0"/>
          <w:sz w:val="32"/>
        </w:rPr>
        <w:t>减少公务用车运行维护费。公务接待费支出0.00万元，占0.00%，比上年增加0.00万元，增长0.00%，主要原因是：2023年与2024年均未安排公务接待费支出。</w:t>
      </w:r>
    </w:p>
    <w:p w14:paraId="0FFDECD9">
      <w:pPr>
        <w:spacing w:line="580" w:lineRule="exact"/>
        <w:ind w:firstLine="640"/>
        <w:jc w:val="both"/>
      </w:pPr>
      <w:r>
        <w:rPr>
          <w:rFonts w:ascii="仿宋_GB2312" w:hAnsi="仿宋_GB2312" w:eastAsia="仿宋_GB2312"/>
          <w:b/>
          <w:sz w:val="32"/>
        </w:rPr>
        <w:t>具体情况如下：</w:t>
      </w:r>
    </w:p>
    <w:p w14:paraId="106940C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203F286">
      <w:pPr>
        <w:spacing w:line="580" w:lineRule="exact"/>
        <w:ind w:firstLine="640"/>
        <w:jc w:val="both"/>
      </w:pPr>
      <w:r>
        <w:rPr>
          <w:rFonts w:ascii="仿宋_GB2312" w:hAnsi="仿宋_GB2312" w:eastAsia="仿宋_GB2312"/>
          <w:b w:val="0"/>
          <w:sz w:val="32"/>
        </w:rPr>
        <w:t>公务用车购置及运行维护费0.70万元，其中：公务用车购置费0.00万元，公务用车运行维护费0.70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4E7A8A2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62697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0.70万元，决算数0.70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0.70万元，决算数0.70万元，预决算差异率0.00%，主要原因是：严格按照预算执行，预决算无差异。公务接待费全年预算数0.00万元，决算数0.00万元，预决算差异率0.00%，主要原因是：本单位无公务接待费。</w:t>
      </w:r>
    </w:p>
    <w:p w14:paraId="603369EA">
      <w:pPr>
        <w:spacing w:line="640" w:lineRule="exact"/>
        <w:ind w:firstLine="640"/>
        <w:jc w:val="both"/>
        <w:outlineLvl w:val="2"/>
      </w:pPr>
      <w:r>
        <w:rPr>
          <w:rFonts w:ascii="黑体" w:hAnsi="黑体" w:eastAsia="黑体"/>
          <w:sz w:val="32"/>
        </w:rPr>
        <w:t>十、其他重要事项的情况说明</w:t>
      </w:r>
    </w:p>
    <w:p w14:paraId="13C6F55F">
      <w:pPr>
        <w:spacing w:line="640" w:lineRule="exact"/>
        <w:ind w:firstLine="640"/>
        <w:jc w:val="both"/>
        <w:outlineLvl w:val="3"/>
      </w:pPr>
      <w:r>
        <w:rPr>
          <w:rFonts w:ascii="楷体_GB2312" w:hAnsi="楷体_GB2312" w:eastAsia="楷体_GB2312"/>
          <w:b/>
          <w:sz w:val="32"/>
        </w:rPr>
        <w:t>（一）机关运行经费及公用经费支出情况</w:t>
      </w:r>
    </w:p>
    <w:p w14:paraId="563AC5B0">
      <w:pPr>
        <w:spacing w:line="580" w:lineRule="exact"/>
        <w:ind w:firstLine="640"/>
        <w:jc w:val="both"/>
      </w:pPr>
      <w:r>
        <w:rPr>
          <w:rFonts w:ascii="仿宋_GB2312" w:hAnsi="仿宋_GB2312" w:eastAsia="仿宋_GB2312"/>
          <w:b w:val="0"/>
          <w:sz w:val="32"/>
        </w:rPr>
        <w:t>2024年度塔什库尔干塔吉克自治县乡村振兴局（行政单位和参照公务员法管理事业单位）机关运行经费支出10.00万元，比上年减少3.62万元，下降26.58%，主要原因是：严格控制公用经费，合理节约办公用品，减少不必要开支。</w:t>
      </w:r>
    </w:p>
    <w:p w14:paraId="311A3245">
      <w:pPr>
        <w:spacing w:line="640" w:lineRule="exact"/>
        <w:ind w:firstLine="640"/>
        <w:jc w:val="both"/>
        <w:outlineLvl w:val="3"/>
      </w:pPr>
      <w:r>
        <w:rPr>
          <w:rFonts w:ascii="楷体_GB2312" w:hAnsi="楷体_GB2312" w:eastAsia="楷体_GB2312"/>
          <w:b/>
          <w:sz w:val="32"/>
        </w:rPr>
        <w:t>（二）政府采购情况</w:t>
      </w:r>
    </w:p>
    <w:p w14:paraId="01BC3526">
      <w:pPr>
        <w:spacing w:line="580" w:lineRule="exact"/>
        <w:ind w:firstLine="640"/>
        <w:jc w:val="both"/>
      </w:pPr>
      <w:r>
        <w:rPr>
          <w:rFonts w:ascii="仿宋_GB2312" w:hAnsi="仿宋_GB2312" w:eastAsia="仿宋_GB2312"/>
          <w:b w:val="0"/>
          <w:sz w:val="32"/>
        </w:rPr>
        <w:t>2024年度政府采购支出总额1.82万元，其中：政府采购货物支出1.82万元、政府采购工程支出0.00万元、政府采购服务支出0.00万元。</w:t>
      </w:r>
    </w:p>
    <w:p w14:paraId="01B8E698">
      <w:pPr>
        <w:spacing w:line="580" w:lineRule="exact"/>
        <w:ind w:firstLine="640"/>
        <w:jc w:val="both"/>
      </w:pPr>
      <w:r>
        <w:rPr>
          <w:rFonts w:ascii="仿宋_GB2312" w:hAnsi="仿宋_GB2312" w:eastAsia="仿宋_GB2312"/>
          <w:b w:val="0"/>
          <w:sz w:val="32"/>
        </w:rPr>
        <w:t>授予中小企业合同金额1.70万元，占政府采购支出总额的93.41%，其中：授予小微企业合同金额1.70万元，占政府采购支出总额的93.41%。</w:t>
      </w:r>
    </w:p>
    <w:p w14:paraId="40F3B967">
      <w:pPr>
        <w:spacing w:line="640" w:lineRule="exact"/>
        <w:ind w:firstLine="640"/>
        <w:jc w:val="both"/>
        <w:outlineLvl w:val="3"/>
      </w:pPr>
      <w:r>
        <w:rPr>
          <w:rFonts w:ascii="楷体_GB2312" w:hAnsi="楷体_GB2312" w:eastAsia="楷体_GB2312"/>
          <w:b/>
          <w:sz w:val="32"/>
        </w:rPr>
        <w:t>（三）国有资产占用情况说明</w:t>
      </w:r>
    </w:p>
    <w:p w14:paraId="417602B0">
      <w:pPr>
        <w:spacing w:line="580" w:lineRule="exact"/>
        <w:ind w:firstLine="640"/>
        <w:jc w:val="both"/>
      </w:pPr>
      <w:r>
        <w:rPr>
          <w:rFonts w:ascii="仿宋_GB2312" w:hAnsi="仿宋_GB2312" w:eastAsia="仿宋_GB2312"/>
          <w:b w:val="0"/>
          <w:sz w:val="32"/>
        </w:rPr>
        <w:t>截至2024年12月31日，房屋624.00平方米，价值170.00万元。车辆2辆，价值46.00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136E765B">
      <w:pPr>
        <w:spacing w:line="640" w:lineRule="exact"/>
        <w:ind w:firstLine="640"/>
        <w:jc w:val="both"/>
        <w:outlineLvl w:val="2"/>
      </w:pPr>
      <w:r>
        <w:rPr>
          <w:rFonts w:ascii="黑体" w:hAnsi="黑体" w:eastAsia="黑体"/>
          <w:sz w:val="32"/>
        </w:rPr>
        <w:t>十一、预算绩效的情况说明</w:t>
      </w:r>
    </w:p>
    <w:p w14:paraId="5589F84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753.39万元，实际执行总额751.39万元；预算绩效评价项目1个，全年预算数7.00万元，全年执行数7.00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绩效工作宣传力度，强化绩效理念。二是财务人员完善绩效指标，提高整体绩效目标质量。提升预算精细化管理水平。三是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加强监督，加快支出进度。具体附整体支出绩效自评表，项目支出绩效自评表和评价报告。</w:t>
      </w:r>
    </w:p>
    <w:p w14:paraId="1CB265B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B34723">
        <w:tblPrEx>
          <w:tblCellMar>
            <w:top w:w="0" w:type="dxa"/>
            <w:left w:w="108" w:type="dxa"/>
            <w:bottom w:w="0" w:type="dxa"/>
            <w:right w:w="108" w:type="dxa"/>
          </w:tblCellMar>
        </w:tblPrEx>
        <w:tc>
          <w:tcPr>
            <w:tcW w:w="8847" w:type="dxa"/>
            <w:gridSpan w:val="9"/>
            <w:vAlign w:val="center"/>
          </w:tcPr>
          <w:p w14:paraId="3CE6BA5F">
            <w:pPr>
              <w:jc w:val="center"/>
            </w:pPr>
            <w:r>
              <w:rPr>
                <w:rFonts w:ascii="宋体" w:hAnsi="宋体" w:eastAsia="宋体"/>
                <w:sz w:val="24"/>
              </w:rPr>
              <w:t>单位整体支出绩效自评表</w:t>
            </w:r>
          </w:p>
        </w:tc>
      </w:tr>
      <w:tr w14:paraId="48D0AF58">
        <w:tblPrEx>
          <w:tblCellMar>
            <w:top w:w="0" w:type="dxa"/>
            <w:left w:w="108" w:type="dxa"/>
            <w:bottom w:w="0" w:type="dxa"/>
            <w:right w:w="108" w:type="dxa"/>
          </w:tblCellMar>
        </w:tblPrEx>
        <w:tc>
          <w:tcPr>
            <w:tcW w:w="8847" w:type="dxa"/>
            <w:gridSpan w:val="9"/>
            <w:vAlign w:val="center"/>
          </w:tcPr>
          <w:p w14:paraId="7371E20B">
            <w:pPr>
              <w:jc w:val="center"/>
            </w:pPr>
            <w:r>
              <w:rPr>
                <w:rFonts w:ascii="宋体" w:hAnsi="宋体" w:eastAsia="宋体"/>
                <w:sz w:val="24"/>
              </w:rPr>
              <w:t>（2024年度）</w:t>
            </w:r>
          </w:p>
        </w:tc>
      </w:tr>
      <w:tr w14:paraId="3F59C9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F85C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E3CE71">
            <w:pPr>
              <w:jc w:val="center"/>
            </w:pPr>
            <w:r>
              <w:rPr>
                <w:rFonts w:ascii="宋体" w:hAnsi="宋体" w:eastAsia="宋体"/>
                <w:sz w:val="16"/>
              </w:rPr>
              <w:t>塔什库尔干塔吉克自治县乡村振兴局</w:t>
            </w:r>
          </w:p>
        </w:tc>
      </w:tr>
      <w:tr w14:paraId="4C21E8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05B0A">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C990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68A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B613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9223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A803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2BF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C2608">
            <w:pPr>
              <w:jc w:val="center"/>
            </w:pPr>
            <w:r>
              <w:rPr>
                <w:rFonts w:ascii="宋体" w:hAnsi="宋体" w:eastAsia="宋体"/>
                <w:sz w:val="16"/>
              </w:rPr>
              <w:t>得分</w:t>
            </w:r>
          </w:p>
        </w:tc>
      </w:tr>
      <w:tr w14:paraId="78051F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8AB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8987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B6B3">
            <w:pPr>
              <w:jc w:val="center"/>
            </w:pPr>
            <w:r>
              <w:rPr>
                <w:rFonts w:ascii="宋体" w:hAnsi="宋体" w:eastAsia="宋体"/>
                <w:sz w:val="16"/>
              </w:rPr>
              <w:t>512.60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14200">
            <w:pPr>
              <w:jc w:val="center"/>
            </w:pPr>
            <w:r>
              <w:rPr>
                <w:rFonts w:ascii="宋体" w:hAnsi="宋体" w:eastAsia="宋体"/>
                <w:sz w:val="16"/>
              </w:rPr>
              <w:t>753.39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D3F0">
            <w:pPr>
              <w:jc w:val="center"/>
            </w:pPr>
            <w:r>
              <w:rPr>
                <w:rFonts w:ascii="宋体" w:hAnsi="宋体" w:eastAsia="宋体"/>
                <w:sz w:val="16"/>
              </w:rPr>
              <w:t>751.39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E2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EB9AE">
            <w:pPr>
              <w:jc w:val="center"/>
            </w:pPr>
            <w:r>
              <w:rPr>
                <w:rFonts w:ascii="宋体" w:hAnsi="宋体" w:eastAsia="宋体"/>
                <w:sz w:val="16"/>
              </w:rPr>
              <w:t>99.73%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7A562">
            <w:pPr>
              <w:jc w:val="center"/>
            </w:pPr>
            <w:r>
              <w:rPr>
                <w:rFonts w:ascii="宋体" w:hAnsi="宋体" w:eastAsia="宋体"/>
                <w:sz w:val="16"/>
              </w:rPr>
              <w:t>9.97</w:t>
            </w:r>
          </w:p>
        </w:tc>
      </w:tr>
      <w:tr w14:paraId="1C3BA0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C9B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6C17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BDE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1B0F">
            <w:pPr>
              <w:jc w:val="center"/>
            </w:pPr>
            <w:r>
              <w:rPr>
                <w:rFonts w:ascii="宋体" w:hAnsi="宋体" w:eastAsia="宋体"/>
                <w:sz w:val="16"/>
              </w:rPr>
              <w:t>107.08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0F4F">
            <w:pPr>
              <w:jc w:val="center"/>
            </w:pPr>
            <w:r>
              <w:rPr>
                <w:rFonts w:ascii="宋体" w:hAnsi="宋体" w:eastAsia="宋体"/>
                <w:sz w:val="16"/>
              </w:rPr>
              <w:t>105.08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C97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5B5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9B5D0">
            <w:pPr>
              <w:jc w:val="center"/>
            </w:pPr>
            <w:r>
              <w:rPr>
                <w:rFonts w:ascii="宋体" w:hAnsi="宋体" w:eastAsia="宋体"/>
                <w:sz w:val="16"/>
              </w:rPr>
              <w:t>—</w:t>
            </w:r>
          </w:p>
        </w:tc>
      </w:tr>
      <w:tr w14:paraId="5097F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827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48BD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6A92F">
            <w:pPr>
              <w:jc w:val="center"/>
            </w:pPr>
            <w:r>
              <w:rPr>
                <w:rFonts w:ascii="宋体" w:hAnsi="宋体" w:eastAsia="宋体"/>
                <w:sz w:val="16"/>
              </w:rPr>
              <w:t>512.60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13C2">
            <w:pPr>
              <w:jc w:val="center"/>
            </w:pPr>
            <w:r>
              <w:rPr>
                <w:rFonts w:ascii="宋体" w:hAnsi="宋体" w:eastAsia="宋体"/>
                <w:sz w:val="16"/>
              </w:rPr>
              <w:t>522.49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1AD9F">
            <w:pPr>
              <w:jc w:val="center"/>
            </w:pPr>
            <w:r>
              <w:rPr>
                <w:rFonts w:ascii="宋体" w:hAnsi="宋体" w:eastAsia="宋体"/>
                <w:sz w:val="16"/>
              </w:rPr>
              <w:t>522.49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DE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FEE7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7291">
            <w:pPr>
              <w:jc w:val="center"/>
            </w:pPr>
            <w:r>
              <w:rPr>
                <w:rFonts w:ascii="宋体" w:hAnsi="宋体" w:eastAsia="宋体"/>
                <w:sz w:val="16"/>
              </w:rPr>
              <w:t>—</w:t>
            </w:r>
          </w:p>
        </w:tc>
      </w:tr>
      <w:tr w14:paraId="7E6078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27D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1401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BF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940CC">
            <w:pPr>
              <w:jc w:val="center"/>
            </w:pPr>
            <w:r>
              <w:rPr>
                <w:rFonts w:ascii="宋体" w:hAnsi="宋体" w:eastAsia="宋体"/>
                <w:sz w:val="16"/>
              </w:rPr>
              <w:t>123.82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5408D">
            <w:pPr>
              <w:jc w:val="center"/>
            </w:pPr>
            <w:r>
              <w:rPr>
                <w:rFonts w:ascii="宋体" w:hAnsi="宋体" w:eastAsia="宋体"/>
                <w:sz w:val="16"/>
              </w:rPr>
              <w:t>123.82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801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B3C8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603A">
            <w:pPr>
              <w:jc w:val="center"/>
            </w:pPr>
            <w:r>
              <w:rPr>
                <w:rFonts w:ascii="宋体" w:hAnsi="宋体" w:eastAsia="宋体"/>
                <w:sz w:val="16"/>
              </w:rPr>
              <w:t>—</w:t>
            </w:r>
          </w:p>
        </w:tc>
      </w:tr>
      <w:tr w14:paraId="58FAD9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FA9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1349C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CF0E9">
            <w:pPr>
              <w:jc w:val="center"/>
              <w:rPr>
                <w:rFonts w:hint="eastAsia" w:eastAsia="宋体"/>
                <w:lang w:eastAsia="zh-CN"/>
              </w:rPr>
            </w:pPr>
            <w:r>
              <w:rPr>
                <w:rFonts w:hint="eastAsia" w:ascii="宋体" w:hAnsi="宋体"/>
                <w:sz w:val="16"/>
                <w:lang w:eastAsia="zh-CN"/>
              </w:rPr>
              <w:t>实际完成情况</w:t>
            </w:r>
          </w:p>
        </w:tc>
      </w:tr>
      <w:tr w14:paraId="29462B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3E7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69DDCB">
            <w:pPr>
              <w:jc w:val="both"/>
            </w:pPr>
            <w:r>
              <w:rPr>
                <w:rFonts w:hint="eastAsia" w:ascii="宋体" w:hAnsi="宋体"/>
                <w:sz w:val="16"/>
                <w:lang w:eastAsia="zh-CN"/>
              </w:rPr>
              <w:t>塔什库尔干塔吉克自治县</w:t>
            </w:r>
            <w:r>
              <w:rPr>
                <w:rFonts w:ascii="宋体" w:hAnsi="宋体" w:eastAsia="宋体"/>
                <w:sz w:val="16"/>
              </w:rPr>
              <w:t>乡村振兴局将紧紧围绕学习贯彻党的二十大，第三次中央新疆</w:t>
            </w:r>
            <w:r>
              <w:rPr>
                <w:rFonts w:hint="eastAsia" w:ascii="宋体" w:hAnsi="宋体"/>
                <w:sz w:val="16"/>
                <w:lang w:eastAsia="zh-CN"/>
              </w:rPr>
              <w:t>工作</w:t>
            </w:r>
            <w:r>
              <w:rPr>
                <w:rFonts w:ascii="宋体" w:hAnsi="宋体" w:eastAsia="宋体"/>
                <w:sz w:val="16"/>
              </w:rPr>
              <w:t>座谈会，自治区党委十届六次全会精神，以习近平新时代中国特色社会主义思想为统领，同时紧紧围绕地委提出的工作任务和工作安排，坚持以人民为中心的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突出问题开展持续不断，行之有效的集中整治，依法查处违法行为，全方位推动再上台阶.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86F37">
            <w:pPr>
              <w:jc w:val="both"/>
            </w:pPr>
            <w:r>
              <w:rPr>
                <w:rFonts w:hint="eastAsia" w:ascii="宋体" w:hAnsi="宋体"/>
                <w:sz w:val="16"/>
                <w:lang w:eastAsia="zh-CN"/>
              </w:rPr>
              <w:t>塔什库尔干塔吉克自治县</w:t>
            </w:r>
            <w:r>
              <w:rPr>
                <w:rFonts w:ascii="宋体" w:hAnsi="宋体" w:eastAsia="宋体"/>
                <w:sz w:val="16"/>
              </w:rPr>
              <w:t>乡村振兴局紧紧围绕学习贯彻党的二十大，第三次中央新疆</w:t>
            </w:r>
            <w:r>
              <w:rPr>
                <w:rFonts w:hint="eastAsia" w:ascii="宋体" w:hAnsi="宋体"/>
                <w:sz w:val="16"/>
                <w:lang w:eastAsia="zh-CN"/>
              </w:rPr>
              <w:t>工作</w:t>
            </w:r>
            <w:r>
              <w:rPr>
                <w:rFonts w:ascii="宋体" w:hAnsi="宋体" w:eastAsia="宋体"/>
                <w:sz w:val="16"/>
              </w:rPr>
              <w:t>座谈会，自治区党委十届六次全会精神，以习近平新时代中国特色社会主义思想为统领，同时紧紧围绕地委提出的工作任务和工作安排，坚持以人民为中心的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再上台阶。2024年具体完成的重要工作有：中央衔接资金用于农业产业比重达90%，完成了8594名脱贫人口稳岗就业，完成了47个村突出乡村治理工作，新建各类户厕52座，农村生活污水平均治理率达24.27%。</w:t>
            </w:r>
          </w:p>
        </w:tc>
      </w:tr>
      <w:tr w14:paraId="05EC6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1F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F09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CE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E12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239F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AD9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48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C96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C491D">
            <w:pPr>
              <w:jc w:val="center"/>
            </w:pPr>
            <w:r>
              <w:rPr>
                <w:rFonts w:ascii="宋体" w:hAnsi="宋体" w:eastAsia="宋体"/>
                <w:sz w:val="16"/>
              </w:rPr>
              <w:t>得分</w:t>
            </w:r>
          </w:p>
        </w:tc>
      </w:tr>
      <w:tr w14:paraId="25E45D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737F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CEF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C160">
            <w:pPr>
              <w:jc w:val="center"/>
            </w:pPr>
            <w:r>
              <w:rPr>
                <w:rFonts w:ascii="宋体" w:hAnsi="宋体" w:eastAsia="宋体"/>
                <w:sz w:val="16"/>
              </w:rPr>
              <w:t>中央衔接资金用于农业产业比重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9727">
            <w:pPr>
              <w:jc w:val="center"/>
            </w:pPr>
            <w:r>
              <w:rPr>
                <w:rFonts w:ascii="宋体" w:hAnsi="宋体" w:eastAsia="宋体"/>
                <w:sz w:val="16"/>
              </w:rPr>
              <w:t>&gt;=60%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C6B6">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8A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972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520E6">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7132">
            <w:pPr>
              <w:jc w:val="center"/>
            </w:pPr>
            <w:r>
              <w:rPr>
                <w:rFonts w:ascii="宋体" w:hAnsi="宋体" w:eastAsia="宋体"/>
                <w:sz w:val="16"/>
              </w:rPr>
              <w:t>20</w:t>
            </w:r>
          </w:p>
        </w:tc>
      </w:tr>
      <w:tr w14:paraId="781990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7C8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C16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742C">
            <w:pPr>
              <w:jc w:val="center"/>
            </w:pPr>
            <w:r>
              <w:rPr>
                <w:rFonts w:ascii="宋体" w:hAnsi="宋体" w:eastAsia="宋体"/>
                <w:sz w:val="16"/>
              </w:rPr>
              <w:t>脱贫人口稳岗就业人数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48AEA">
            <w:pPr>
              <w:jc w:val="center"/>
            </w:pPr>
            <w:r>
              <w:rPr>
                <w:rFonts w:ascii="宋体" w:hAnsi="宋体" w:eastAsia="宋体"/>
                <w:sz w:val="16"/>
              </w:rPr>
              <w:t>&gt;=8590人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25F7D">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56E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DDEB">
            <w:pPr>
              <w:jc w:val="center"/>
            </w:pPr>
            <w:r>
              <w:rPr>
                <w:rFonts w:ascii="宋体" w:hAnsi="宋体" w:eastAsia="宋体"/>
                <w:sz w:val="16"/>
              </w:rPr>
              <w:t>8594人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05E86">
            <w:pPr>
              <w:jc w:val="center"/>
            </w:pPr>
            <w:r>
              <w:rPr>
                <w:rFonts w:ascii="宋体" w:hAnsi="宋体" w:eastAsia="宋体"/>
                <w:sz w:val="16"/>
              </w:rPr>
              <w:t>100.04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02ED9">
            <w:pPr>
              <w:jc w:val="center"/>
            </w:pPr>
            <w:r>
              <w:rPr>
                <w:rFonts w:ascii="宋体" w:hAnsi="宋体" w:eastAsia="宋体"/>
                <w:sz w:val="16"/>
              </w:rPr>
              <w:t>20</w:t>
            </w:r>
          </w:p>
        </w:tc>
      </w:tr>
      <w:tr w14:paraId="30776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224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B90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9E593">
            <w:pPr>
              <w:jc w:val="center"/>
            </w:pPr>
            <w:r>
              <w:rPr>
                <w:rFonts w:ascii="宋体" w:hAnsi="宋体" w:eastAsia="宋体"/>
                <w:sz w:val="16"/>
              </w:rPr>
              <w:t>突出乡村治理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45C33">
            <w:pPr>
              <w:jc w:val="center"/>
            </w:pPr>
            <w:r>
              <w:rPr>
                <w:rFonts w:ascii="宋体" w:hAnsi="宋体" w:eastAsia="宋体"/>
                <w:sz w:val="16"/>
              </w:rPr>
              <w:t>&gt;=47个村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11DD0">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F7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44FF9">
            <w:pPr>
              <w:jc w:val="center"/>
            </w:pPr>
            <w:r>
              <w:rPr>
                <w:rFonts w:ascii="宋体" w:hAnsi="宋体" w:eastAsia="宋体"/>
                <w:sz w:val="16"/>
              </w:rPr>
              <w:t>47个村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B08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509BB">
            <w:pPr>
              <w:jc w:val="center"/>
            </w:pPr>
            <w:r>
              <w:rPr>
                <w:rFonts w:ascii="宋体" w:hAnsi="宋体" w:eastAsia="宋体"/>
                <w:sz w:val="16"/>
              </w:rPr>
              <w:t>20</w:t>
            </w:r>
          </w:p>
        </w:tc>
      </w:tr>
      <w:tr w14:paraId="57D328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F36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827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C085">
            <w:pPr>
              <w:jc w:val="center"/>
            </w:pPr>
            <w:r>
              <w:rPr>
                <w:rFonts w:ascii="宋体" w:hAnsi="宋体" w:eastAsia="宋体"/>
                <w:sz w:val="16"/>
              </w:rPr>
              <w:t>完成各类户厕新建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C863C">
            <w:pPr>
              <w:jc w:val="center"/>
            </w:pPr>
            <w:r>
              <w:rPr>
                <w:rFonts w:ascii="宋体" w:hAnsi="宋体" w:eastAsia="宋体"/>
                <w:sz w:val="16"/>
              </w:rPr>
              <w:t>&gt;=52座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4F30">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72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D8BD">
            <w:pPr>
              <w:jc w:val="center"/>
            </w:pPr>
            <w:r>
              <w:rPr>
                <w:rFonts w:ascii="宋体" w:hAnsi="宋体" w:eastAsia="宋体"/>
                <w:sz w:val="16"/>
              </w:rPr>
              <w:t>52座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882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CE2C7">
            <w:pPr>
              <w:jc w:val="center"/>
            </w:pPr>
            <w:r>
              <w:rPr>
                <w:rFonts w:ascii="宋体" w:hAnsi="宋体" w:eastAsia="宋体"/>
                <w:sz w:val="16"/>
              </w:rPr>
              <w:t>20</w:t>
            </w:r>
          </w:p>
        </w:tc>
      </w:tr>
      <w:tr w14:paraId="77185D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88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76BE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8FA63">
            <w:pPr>
              <w:jc w:val="center"/>
            </w:pPr>
            <w:r>
              <w:rPr>
                <w:rFonts w:ascii="宋体" w:hAnsi="宋体" w:eastAsia="宋体"/>
                <w:sz w:val="16"/>
              </w:rPr>
              <w:t>农村生活污水平均治理率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BF610">
            <w:pPr>
              <w:jc w:val="center"/>
            </w:pPr>
            <w:r>
              <w:rPr>
                <w:rFonts w:ascii="宋体" w:hAnsi="宋体" w:eastAsia="宋体"/>
                <w:sz w:val="16"/>
              </w:rPr>
              <w:t>&gt;=24%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1761B">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668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11EC3">
            <w:pPr>
              <w:jc w:val="center"/>
            </w:pPr>
            <w:r>
              <w:rPr>
                <w:rFonts w:ascii="宋体" w:hAnsi="宋体" w:eastAsia="宋体"/>
                <w:sz w:val="16"/>
              </w:rPr>
              <w:t>24.27%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F95D9">
            <w:pPr>
              <w:jc w:val="center"/>
            </w:pPr>
            <w:r>
              <w:rPr>
                <w:rFonts w:ascii="宋体" w:hAnsi="宋体" w:eastAsia="宋体"/>
                <w:sz w:val="16"/>
              </w:rPr>
              <w:t>101.13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3FCB8">
            <w:pPr>
              <w:jc w:val="center"/>
            </w:pPr>
            <w:r>
              <w:rPr>
                <w:rFonts w:ascii="宋体" w:hAnsi="宋体" w:eastAsia="宋体"/>
                <w:sz w:val="16"/>
              </w:rPr>
              <w:t>10</w:t>
            </w:r>
          </w:p>
        </w:tc>
      </w:tr>
    </w:tbl>
    <w:p w14:paraId="58C52E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A83A03B">
        <w:tblPrEx>
          <w:tblCellMar>
            <w:top w:w="0" w:type="dxa"/>
            <w:left w:w="108" w:type="dxa"/>
            <w:bottom w:w="0" w:type="dxa"/>
            <w:right w:w="108" w:type="dxa"/>
          </w:tblCellMar>
        </w:tblPrEx>
        <w:tc>
          <w:tcPr>
            <w:tcW w:w="8848" w:type="dxa"/>
            <w:gridSpan w:val="14"/>
            <w:vAlign w:val="center"/>
          </w:tcPr>
          <w:p w14:paraId="03E5E061">
            <w:pPr>
              <w:jc w:val="center"/>
            </w:pPr>
            <w:r>
              <w:rPr>
                <w:rFonts w:ascii="宋体" w:hAnsi="宋体" w:eastAsia="宋体"/>
                <w:sz w:val="24"/>
              </w:rPr>
              <w:t>项目支出绩效自评表</w:t>
            </w:r>
          </w:p>
        </w:tc>
      </w:tr>
      <w:tr w14:paraId="3A6F0E2E">
        <w:tblPrEx>
          <w:tblCellMar>
            <w:top w:w="0" w:type="dxa"/>
            <w:left w:w="108" w:type="dxa"/>
            <w:bottom w:w="0" w:type="dxa"/>
            <w:right w:w="108" w:type="dxa"/>
          </w:tblCellMar>
        </w:tblPrEx>
        <w:tc>
          <w:tcPr>
            <w:tcW w:w="8848" w:type="dxa"/>
            <w:gridSpan w:val="14"/>
            <w:vAlign w:val="center"/>
          </w:tcPr>
          <w:p w14:paraId="3520B5D6">
            <w:pPr>
              <w:jc w:val="center"/>
            </w:pPr>
            <w:r>
              <w:rPr>
                <w:rFonts w:ascii="宋体" w:hAnsi="宋体" w:eastAsia="宋体"/>
                <w:sz w:val="24"/>
              </w:rPr>
              <w:t>(2024年度)</w:t>
            </w:r>
          </w:p>
        </w:tc>
      </w:tr>
      <w:tr w14:paraId="6EC91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24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73675D">
            <w:pPr>
              <w:jc w:val="center"/>
            </w:pPr>
            <w:r>
              <w:rPr>
                <w:rFonts w:ascii="宋体" w:hAnsi="宋体" w:eastAsia="宋体"/>
                <w:sz w:val="16"/>
              </w:rPr>
              <w:t>2024年为民办实事工作经费</w:t>
            </w:r>
          </w:p>
        </w:tc>
      </w:tr>
      <w:tr w14:paraId="13347B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86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582B9">
            <w:pPr>
              <w:jc w:val="center"/>
            </w:pPr>
            <w:r>
              <w:rPr>
                <w:rFonts w:ascii="宋体" w:hAnsi="宋体" w:eastAsia="宋体"/>
                <w:sz w:val="16"/>
              </w:rPr>
              <w:t>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1B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72C570">
            <w:pPr>
              <w:jc w:val="center"/>
            </w:pPr>
            <w:r>
              <w:rPr>
                <w:rFonts w:ascii="宋体" w:hAnsi="宋体" w:eastAsia="宋体"/>
                <w:sz w:val="16"/>
              </w:rPr>
              <w:t>塔什库尔干塔吉克自治县乡村振兴局</w:t>
            </w:r>
          </w:p>
        </w:tc>
      </w:tr>
      <w:tr w14:paraId="27FFF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B12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6F16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62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7B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6E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7A4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A7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65A9">
            <w:pPr>
              <w:jc w:val="center"/>
            </w:pPr>
            <w:r>
              <w:rPr>
                <w:rFonts w:ascii="宋体" w:hAnsi="宋体" w:eastAsia="宋体"/>
                <w:sz w:val="16"/>
              </w:rPr>
              <w:t>得分</w:t>
            </w:r>
          </w:p>
        </w:tc>
      </w:tr>
      <w:tr w14:paraId="37F26F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7D8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E2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623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1219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6F6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E0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DF2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04E5">
            <w:pPr>
              <w:jc w:val="center"/>
            </w:pPr>
            <w:r>
              <w:rPr>
                <w:rFonts w:ascii="宋体" w:hAnsi="宋体" w:eastAsia="宋体"/>
                <w:sz w:val="16"/>
              </w:rPr>
              <w:t>10.00分</w:t>
            </w:r>
          </w:p>
        </w:tc>
      </w:tr>
      <w:tr w14:paraId="60436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C7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AD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4D7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4F5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0BC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EC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73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1DBF">
            <w:pPr>
              <w:jc w:val="center"/>
            </w:pPr>
            <w:r>
              <w:rPr>
                <w:rFonts w:ascii="宋体" w:hAnsi="宋体" w:eastAsia="宋体"/>
                <w:sz w:val="16"/>
              </w:rPr>
              <w:t>—</w:t>
            </w:r>
          </w:p>
        </w:tc>
      </w:tr>
      <w:tr w14:paraId="548B4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6F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B7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F2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EB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B1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1D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5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F3D4">
            <w:pPr>
              <w:jc w:val="center"/>
            </w:pPr>
            <w:r>
              <w:rPr>
                <w:rFonts w:ascii="宋体" w:hAnsi="宋体" w:eastAsia="宋体"/>
                <w:sz w:val="16"/>
              </w:rPr>
              <w:t>—</w:t>
            </w:r>
          </w:p>
        </w:tc>
      </w:tr>
      <w:tr w14:paraId="28CDAE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E3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25A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C78FB8">
            <w:pPr>
              <w:jc w:val="center"/>
            </w:pPr>
            <w:r>
              <w:rPr>
                <w:rFonts w:ascii="宋体" w:hAnsi="宋体" w:eastAsia="宋体"/>
                <w:sz w:val="16"/>
              </w:rPr>
              <w:t>实际完成情况</w:t>
            </w:r>
          </w:p>
        </w:tc>
      </w:tr>
      <w:tr w14:paraId="30E1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94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D8DC8">
            <w:pPr>
              <w:jc w:val="both"/>
            </w:pPr>
            <w:r>
              <w:rPr>
                <w:rFonts w:ascii="宋体" w:hAnsi="宋体" w:eastAsia="宋体"/>
                <w:sz w:val="16"/>
              </w:rPr>
              <w:t>项目预算安排资金7万元，其中：财政资金7万元，其他资金0万元。计划使用7万</w:t>
            </w:r>
            <w:r>
              <w:rPr>
                <w:rFonts w:hint="eastAsia" w:ascii="宋体" w:hAnsi="宋体"/>
                <w:sz w:val="16"/>
                <w:lang w:val="en-US" w:eastAsia="zh-CN"/>
              </w:rPr>
              <w:t>元</w:t>
            </w: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5BA0A">
            <w:pPr>
              <w:jc w:val="both"/>
            </w:pPr>
            <w:r>
              <w:rPr>
                <w:rFonts w:ascii="宋体" w:hAnsi="宋体" w:eastAsia="宋体"/>
                <w:sz w:val="16"/>
              </w:rPr>
              <w:t>项目实际支出资金7万元，其中：财政资金7万元，其他资金0万元。使用7万行政村为民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活动场次为2次、第一书记开展为民办事次数为2次、群众性文化演出活动次数为1次、资金拨付及时率达到100%、为民办实事服务率受益对象满意度达到100%。</w:t>
            </w:r>
          </w:p>
        </w:tc>
      </w:tr>
      <w:tr w14:paraId="3CE8AD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DCB2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B4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53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FE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C6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39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28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F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84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72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37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11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6795">
            <w:pPr>
              <w:jc w:val="center"/>
            </w:pPr>
            <w:r>
              <w:rPr>
                <w:rFonts w:ascii="宋体" w:hAnsi="宋体" w:eastAsia="宋体"/>
                <w:sz w:val="16"/>
              </w:rPr>
              <w:t>偏差原因分析及改进措施</w:t>
            </w:r>
          </w:p>
        </w:tc>
      </w:tr>
      <w:tr w14:paraId="36B6E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96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31F3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9C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5C94">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活动场次、第一书记开展为民办事次数（次）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855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5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06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08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3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C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C68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7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CB08">
            <w:pPr>
              <w:jc w:val="center"/>
            </w:pPr>
          </w:p>
        </w:tc>
      </w:tr>
      <w:tr w14:paraId="0F598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5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46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96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0677">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0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A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D4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8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3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C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4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DC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85ED">
            <w:pPr>
              <w:jc w:val="center"/>
            </w:pPr>
          </w:p>
        </w:tc>
      </w:tr>
      <w:tr w14:paraId="238D7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B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C7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FE9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34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DBB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D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8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4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A0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C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531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E0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9E0F">
            <w:pPr>
              <w:jc w:val="center"/>
            </w:pPr>
          </w:p>
        </w:tc>
      </w:tr>
      <w:tr w14:paraId="034C2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F0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5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EE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C40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A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7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E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B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1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C9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6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9D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DC97">
            <w:pPr>
              <w:jc w:val="center"/>
            </w:pPr>
          </w:p>
        </w:tc>
      </w:tr>
      <w:tr w14:paraId="2ADC9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B0B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6F1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589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3A68">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749A">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BC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6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8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8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0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4F9C">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F7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35460">
            <w:pPr>
              <w:jc w:val="center"/>
            </w:pPr>
          </w:p>
        </w:tc>
      </w:tr>
      <w:tr w14:paraId="03226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09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9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BB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2B5A">
            <w:pPr>
              <w:jc w:val="center"/>
            </w:pPr>
            <w:r>
              <w:rPr>
                <w:rFonts w:ascii="宋体" w:hAnsi="宋体" w:eastAsia="宋体"/>
                <w:sz w:val="16"/>
              </w:rPr>
              <w:t>公益修缮经费(万元）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428B">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8D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0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7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8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EC7A">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21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DFA2">
            <w:pPr>
              <w:jc w:val="center"/>
            </w:pPr>
          </w:p>
        </w:tc>
      </w:tr>
      <w:tr w14:paraId="0B4CF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68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25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BB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3A08">
            <w:pPr>
              <w:jc w:val="center"/>
            </w:pPr>
            <w:r>
              <w:rPr>
                <w:rFonts w:ascii="宋体" w:hAnsi="宋体" w:eastAsia="宋体"/>
                <w:sz w:val="16"/>
              </w:rPr>
              <w:t>村组织经费(万元）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B79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98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7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7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1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B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412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2E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0E08B">
            <w:pPr>
              <w:jc w:val="center"/>
            </w:pPr>
          </w:p>
        </w:tc>
      </w:tr>
      <w:tr w14:paraId="5A3B6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FE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DF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45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A9D0">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EF78">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8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7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4B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87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4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31A2">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06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C04D">
            <w:pPr>
              <w:jc w:val="center"/>
            </w:pPr>
          </w:p>
        </w:tc>
      </w:tr>
      <w:tr w14:paraId="1FDEB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B4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8F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6F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579A">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E3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D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0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E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63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4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E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F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3BC1">
            <w:pPr>
              <w:jc w:val="center"/>
            </w:pPr>
            <w:r>
              <w:rPr>
                <w:rFonts w:ascii="宋体" w:hAnsi="宋体" w:eastAsia="宋体"/>
                <w:sz w:val="16"/>
              </w:rPr>
              <w:t>偏差原因：项目实施情况较好，受益村民满意度高于预期，导致出现正偏差，改进措施：基于当前良好表现，重新审视绩效目标，在以后绩效目标设置时设置更具挑战性的目标，以推动业务持续发展。</w:t>
            </w:r>
          </w:p>
        </w:tc>
      </w:tr>
      <w:tr w14:paraId="237FAE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56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E3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5DE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7E8A3">
            <w:pPr>
              <w:jc w:val="center"/>
            </w:pPr>
            <w:r>
              <w:rPr>
                <w:rFonts w:ascii="宋体" w:hAnsi="宋体" w:eastAsia="宋体"/>
                <w:sz w:val="16"/>
              </w:rPr>
              <w:t>100分</w:t>
            </w:r>
          </w:p>
        </w:tc>
      </w:tr>
    </w:tbl>
    <w:p w14:paraId="0FD2B092">
      <w:r>
        <w:br w:type="page"/>
      </w:r>
    </w:p>
    <w:p w14:paraId="28508CD5">
      <w:pPr>
        <w:spacing w:line="640" w:lineRule="exact"/>
        <w:ind w:firstLine="640"/>
        <w:jc w:val="both"/>
        <w:outlineLvl w:val="2"/>
      </w:pPr>
      <w:r>
        <w:rPr>
          <w:rFonts w:ascii="黑体" w:hAnsi="黑体" w:eastAsia="黑体"/>
          <w:sz w:val="32"/>
        </w:rPr>
        <w:t>十二、其他需说明的事项</w:t>
      </w:r>
    </w:p>
    <w:p w14:paraId="53A76013">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43A1737">
      <w:r>
        <w:br w:type="page"/>
      </w:r>
    </w:p>
    <w:p w14:paraId="6B4282CD">
      <w:pPr>
        <w:spacing w:line="240" w:lineRule="auto"/>
        <w:jc w:val="center"/>
        <w:outlineLvl w:val="1"/>
      </w:pPr>
      <w:r>
        <w:rPr>
          <w:rFonts w:ascii="黑体" w:hAnsi="黑体" w:eastAsia="黑体"/>
          <w:sz w:val="32"/>
        </w:rPr>
        <w:t>第三部分 专业名词解释</w:t>
      </w:r>
    </w:p>
    <w:p w14:paraId="75BD6F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CD3D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EA352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5E6E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E2CFE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884E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E44D9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D8CC5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429B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866D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7BFBB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F24D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C160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B07F0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A96164">
      <w:r>
        <w:br w:type="page"/>
      </w:r>
    </w:p>
    <w:p w14:paraId="1FD9AB8D">
      <w:pPr>
        <w:spacing w:line="240" w:lineRule="auto"/>
        <w:jc w:val="center"/>
        <w:outlineLvl w:val="1"/>
      </w:pPr>
      <w:r>
        <w:rPr>
          <w:rFonts w:ascii="黑体" w:hAnsi="黑体" w:eastAsia="黑体"/>
          <w:sz w:val="32"/>
        </w:rPr>
        <w:t>第四部分 部门决算报表（见附表）</w:t>
      </w:r>
    </w:p>
    <w:p w14:paraId="39EB0EAB">
      <w:pPr>
        <w:spacing w:line="240" w:lineRule="auto"/>
        <w:ind w:firstLine="640"/>
        <w:jc w:val="both"/>
      </w:pPr>
      <w:r>
        <w:rPr>
          <w:rFonts w:ascii="仿宋_GB2312" w:hAnsi="仿宋_GB2312" w:eastAsia="仿宋_GB2312"/>
          <w:b w:val="0"/>
          <w:sz w:val="32"/>
        </w:rPr>
        <w:t>一、《收入支出决算总表》</w:t>
      </w:r>
    </w:p>
    <w:p w14:paraId="26782EE0">
      <w:pPr>
        <w:spacing w:line="240" w:lineRule="auto"/>
        <w:ind w:firstLine="640"/>
        <w:jc w:val="both"/>
      </w:pPr>
      <w:r>
        <w:rPr>
          <w:rFonts w:ascii="仿宋_GB2312" w:hAnsi="仿宋_GB2312" w:eastAsia="仿宋_GB2312"/>
          <w:b w:val="0"/>
          <w:sz w:val="32"/>
        </w:rPr>
        <w:t>二、《收入决算表》</w:t>
      </w:r>
    </w:p>
    <w:p w14:paraId="1616D5CC">
      <w:pPr>
        <w:spacing w:line="240" w:lineRule="auto"/>
        <w:ind w:firstLine="640"/>
        <w:jc w:val="both"/>
      </w:pPr>
      <w:r>
        <w:rPr>
          <w:rFonts w:ascii="仿宋_GB2312" w:hAnsi="仿宋_GB2312" w:eastAsia="仿宋_GB2312"/>
          <w:b w:val="0"/>
          <w:sz w:val="32"/>
        </w:rPr>
        <w:t>三、《支出决算表》</w:t>
      </w:r>
    </w:p>
    <w:p w14:paraId="3C363FE8">
      <w:pPr>
        <w:spacing w:line="240" w:lineRule="auto"/>
        <w:ind w:firstLine="640"/>
        <w:jc w:val="both"/>
      </w:pPr>
      <w:r>
        <w:rPr>
          <w:rFonts w:ascii="仿宋_GB2312" w:hAnsi="仿宋_GB2312" w:eastAsia="仿宋_GB2312"/>
          <w:b w:val="0"/>
          <w:sz w:val="32"/>
        </w:rPr>
        <w:t>四、《财政拨款收入支出决算总表》</w:t>
      </w:r>
    </w:p>
    <w:p w14:paraId="59CB38FB">
      <w:pPr>
        <w:spacing w:line="240" w:lineRule="auto"/>
        <w:ind w:firstLine="640"/>
        <w:jc w:val="both"/>
      </w:pPr>
      <w:r>
        <w:rPr>
          <w:rFonts w:ascii="仿宋_GB2312" w:hAnsi="仿宋_GB2312" w:eastAsia="仿宋_GB2312"/>
          <w:b w:val="0"/>
          <w:sz w:val="32"/>
        </w:rPr>
        <w:t>五、《一般公共预算财政拨款支出决算表》</w:t>
      </w:r>
    </w:p>
    <w:p w14:paraId="0A01D69D">
      <w:pPr>
        <w:spacing w:line="240" w:lineRule="auto"/>
        <w:ind w:firstLine="640"/>
        <w:jc w:val="both"/>
      </w:pPr>
      <w:r>
        <w:rPr>
          <w:rFonts w:ascii="仿宋_GB2312" w:hAnsi="仿宋_GB2312" w:eastAsia="仿宋_GB2312"/>
          <w:b w:val="0"/>
          <w:sz w:val="32"/>
        </w:rPr>
        <w:t>六、《一般公共预算财政拨款基本支出决算表》</w:t>
      </w:r>
    </w:p>
    <w:p w14:paraId="78AD7E51">
      <w:pPr>
        <w:spacing w:line="240" w:lineRule="auto"/>
        <w:ind w:firstLine="640"/>
        <w:jc w:val="both"/>
      </w:pPr>
      <w:r>
        <w:rPr>
          <w:rFonts w:ascii="仿宋_GB2312" w:hAnsi="仿宋_GB2312" w:eastAsia="仿宋_GB2312"/>
          <w:b w:val="0"/>
          <w:sz w:val="32"/>
        </w:rPr>
        <w:t>七、《政府性基金预算财政拨款收入支出决算表》</w:t>
      </w:r>
    </w:p>
    <w:p w14:paraId="20572283">
      <w:pPr>
        <w:spacing w:line="240" w:lineRule="auto"/>
        <w:ind w:firstLine="640"/>
        <w:jc w:val="both"/>
      </w:pPr>
      <w:r>
        <w:rPr>
          <w:rFonts w:ascii="仿宋_GB2312" w:hAnsi="仿宋_GB2312" w:eastAsia="仿宋_GB2312"/>
          <w:b w:val="0"/>
          <w:sz w:val="32"/>
        </w:rPr>
        <w:t>八、《国有资本经营预算财政拨款收入支出决算表》</w:t>
      </w:r>
    </w:p>
    <w:p w14:paraId="2D8CC095">
      <w:pPr>
        <w:spacing w:line="240" w:lineRule="auto"/>
        <w:ind w:firstLine="640"/>
        <w:jc w:val="both"/>
      </w:pPr>
      <w:r>
        <w:rPr>
          <w:rFonts w:ascii="仿宋_GB2312" w:hAnsi="仿宋_GB2312" w:eastAsia="仿宋_GB2312"/>
          <w:b w:val="0"/>
          <w:sz w:val="32"/>
        </w:rPr>
        <w:t>九、《财政拨款“三公”经费支出决算表》</w:t>
      </w:r>
    </w:p>
    <w:p w14:paraId="7FED5721">
      <w:pPr>
        <w:spacing w:line="240" w:lineRule="auto"/>
        <w:ind w:firstLine="640"/>
        <w:jc w:val="both"/>
      </w:pPr>
    </w:p>
    <w:p w14:paraId="2856F1CB">
      <w:pPr>
        <w:spacing w:line="240" w:lineRule="auto"/>
        <w:ind w:firstLine="640"/>
        <w:jc w:val="both"/>
      </w:pPr>
    </w:p>
    <w:p w14:paraId="2F21042F">
      <w:pPr>
        <w:spacing w:line="240" w:lineRule="auto"/>
        <w:ind w:firstLine="640"/>
        <w:jc w:val="both"/>
      </w:pPr>
    </w:p>
    <w:p w14:paraId="07677EA3">
      <w:pPr>
        <w:spacing w:line="240" w:lineRule="auto"/>
        <w:ind w:firstLine="640"/>
        <w:jc w:val="both"/>
      </w:pPr>
    </w:p>
    <w:p w14:paraId="42BF4F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57350A"/>
    <w:rsid w:val="3B9E313A"/>
    <w:rsid w:val="3D5275AC"/>
    <w:rsid w:val="3EA7725F"/>
    <w:rsid w:val="3EC014A1"/>
    <w:rsid w:val="3EDC38C5"/>
    <w:rsid w:val="40834692"/>
    <w:rsid w:val="423A32B2"/>
    <w:rsid w:val="423C0CB4"/>
    <w:rsid w:val="427B5743"/>
    <w:rsid w:val="42E64542"/>
    <w:rsid w:val="464B7E04"/>
    <w:rsid w:val="464F7E64"/>
    <w:rsid w:val="46901EEE"/>
    <w:rsid w:val="469C74D2"/>
    <w:rsid w:val="47445515"/>
    <w:rsid w:val="49AA6E9E"/>
    <w:rsid w:val="4B4C0111"/>
    <w:rsid w:val="4BB23021"/>
    <w:rsid w:val="4F3F074E"/>
    <w:rsid w:val="50DB5F45"/>
    <w:rsid w:val="52F92565"/>
    <w:rsid w:val="543D17CB"/>
    <w:rsid w:val="55DA564E"/>
    <w:rsid w:val="56E07045"/>
    <w:rsid w:val="583059FA"/>
    <w:rsid w:val="587E6212"/>
    <w:rsid w:val="5AFC6609"/>
    <w:rsid w:val="5D087EB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4954</Words>
  <Characters>5706</Characters>
  <Lines>0</Lines>
  <Paragraphs>0</Paragraphs>
  <TotalTime>8</TotalTime>
  <ScaleCrop>false</ScaleCrop>
  <LinksUpToDate>false</LinksUpToDate>
  <CharactersWithSpaces>5714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