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DF50E0">
      <w:r>
        <w:br w:type="page"/>
      </w:r>
    </w:p>
    <w:p w14:paraId="16DA91FB">
      <w:pPr>
        <w:spacing w:line="640" w:lineRule="exact"/>
        <w:jc w:val="center"/>
        <w:outlineLvl w:val="1"/>
      </w:pPr>
      <w:r>
        <w:rPr>
          <w:rFonts w:ascii="黑体" w:hAnsi="黑体" w:eastAsia="黑体"/>
          <w:sz w:val="32"/>
        </w:rPr>
        <w:t>第一部分 单位概况</w:t>
      </w:r>
    </w:p>
    <w:p w14:paraId="72DBE7CF">
      <w:pPr>
        <w:spacing w:line="640" w:lineRule="exact"/>
        <w:ind w:firstLine="640"/>
        <w:jc w:val="both"/>
        <w:outlineLvl w:val="2"/>
      </w:pPr>
      <w:r>
        <w:rPr>
          <w:rFonts w:ascii="黑体" w:hAnsi="黑体" w:eastAsia="黑体"/>
          <w:sz w:val="32"/>
        </w:rPr>
        <w:t>一、主要职能</w:t>
      </w:r>
    </w:p>
    <w:p w14:paraId="6CA1B9DA">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根据《中国共产党党校(行政学院)工作条例》《中国共产党党员教育管理工作条例》《干部教育培训工作条例》和县委对干部队伍建设的要求，有计划、有组织地培训、轮训党员领导干部、国家公务员和农牧民党员，负责学员在校学习期间的管理与考核。</w:t>
      </w:r>
    </w:p>
    <w:p w14:paraId="4B81955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研究马列主义、毛泽东思想，邓小平理论、“三个代表”重要思想、</w:t>
      </w:r>
      <w:r>
        <w:rPr>
          <w:rFonts w:hint="eastAsia" w:ascii="仿宋_GB2312" w:hAnsi="仿宋_GB2312" w:eastAsia="仿宋_GB2312"/>
          <w:sz w:val="32"/>
          <w:lang w:eastAsia="zh-CN"/>
        </w:rPr>
        <w:t>科学发展观、习近平新时代</w:t>
      </w:r>
      <w:r>
        <w:rPr>
          <w:rFonts w:ascii="仿宋_GB2312" w:hAnsi="仿宋_GB2312" w:eastAsia="仿宋_GB2312"/>
          <w:sz w:val="32"/>
        </w:rPr>
        <w:t>中国特色社会主义思想，宣传党的基本理论和路线、方针、政策,紧密结合县委中心工作，对社会稳定和长治久安、乡村振兴、经济建设和社会发展中的重大问题开展理论研究。</w:t>
      </w:r>
    </w:p>
    <w:p w14:paraId="23759A9B">
      <w:pPr>
        <w:spacing w:line="640" w:lineRule="exact"/>
        <w:ind w:firstLine="640"/>
        <w:jc w:val="both"/>
        <w:outlineLvl w:val="2"/>
      </w:pPr>
      <w:r>
        <w:rPr>
          <w:rFonts w:ascii="黑体" w:hAnsi="黑体" w:eastAsia="黑体"/>
          <w:sz w:val="32"/>
        </w:rPr>
        <w:t>二、机构设置及人员情况</w:t>
      </w:r>
    </w:p>
    <w:p w14:paraId="3B9072E7">
      <w:pPr>
        <w:spacing w:line="580" w:lineRule="exact"/>
        <w:ind w:firstLine="640"/>
        <w:jc w:val="both"/>
      </w:pPr>
      <w:r>
        <w:rPr>
          <w:rFonts w:ascii="仿宋_GB2312" w:hAnsi="仿宋_GB2312" w:eastAsia="仿宋_GB2312"/>
          <w:sz w:val="32"/>
        </w:rPr>
        <w:t>中共塔什库尔干塔吉克自治县委员会党校2024年度，实有人数27人，其中：在职人员14人，增加0人；离休人员0人，增加0人；退休人员13人,增加0人。</w:t>
      </w:r>
    </w:p>
    <w:p w14:paraId="1CBD5621">
      <w:pPr>
        <w:spacing w:line="580" w:lineRule="exact"/>
        <w:ind w:firstLine="640"/>
        <w:jc w:val="both"/>
      </w:pPr>
      <w:r>
        <w:rPr>
          <w:rFonts w:ascii="仿宋_GB2312" w:hAnsi="仿宋_GB2312" w:eastAsia="仿宋_GB2312"/>
          <w:sz w:val="32"/>
        </w:rPr>
        <w:t>单位无下属预算单位，下设4个科室，分别是：办公室、教研室、财务室、学员管理室。</w:t>
      </w:r>
    </w:p>
    <w:p w14:paraId="4E530FF6">
      <w:r>
        <w:br w:type="page"/>
      </w:r>
    </w:p>
    <w:p w14:paraId="14553F51">
      <w:pPr>
        <w:spacing w:line="240" w:lineRule="auto"/>
        <w:jc w:val="center"/>
        <w:outlineLvl w:val="1"/>
      </w:pPr>
      <w:r>
        <w:rPr>
          <w:rFonts w:ascii="黑体" w:hAnsi="黑体" w:eastAsia="黑体"/>
          <w:sz w:val="32"/>
        </w:rPr>
        <w:t>第二部分 部门决算情况说明</w:t>
      </w:r>
    </w:p>
    <w:p w14:paraId="3F65BE3B">
      <w:pPr>
        <w:spacing w:line="640" w:lineRule="exact"/>
        <w:ind w:firstLine="640"/>
        <w:jc w:val="both"/>
        <w:outlineLvl w:val="2"/>
      </w:pPr>
      <w:r>
        <w:rPr>
          <w:rFonts w:ascii="黑体" w:hAnsi="黑体" w:eastAsia="黑体"/>
          <w:sz w:val="32"/>
        </w:rPr>
        <w:t>一、收入支出决算总体情况说明</w:t>
      </w:r>
    </w:p>
    <w:p w14:paraId="1D6F59B1">
      <w:pPr>
        <w:spacing w:line="580" w:lineRule="exact"/>
        <w:ind w:firstLine="640"/>
        <w:jc w:val="both"/>
      </w:pPr>
      <w:r>
        <w:rPr>
          <w:rFonts w:ascii="仿宋_GB2312" w:hAnsi="仿宋_GB2312" w:eastAsia="仿宋_GB2312"/>
          <w:b/>
          <w:sz w:val="32"/>
        </w:rPr>
        <w:t>2024年度收入总计429.42万元，</w:t>
      </w:r>
      <w:r>
        <w:rPr>
          <w:rFonts w:ascii="仿宋_GB2312" w:hAnsi="仿宋_GB2312" w:eastAsia="仿宋_GB2312"/>
          <w:b w:val="0"/>
          <w:sz w:val="32"/>
        </w:rPr>
        <w:t>其中：本年收入合计429.42万元，使用非财政拨款结余（含专用结余）0.00万元，年初结转和结余0.00万元。</w:t>
      </w:r>
    </w:p>
    <w:p w14:paraId="2D24407E">
      <w:pPr>
        <w:spacing w:line="580" w:lineRule="exact"/>
        <w:ind w:firstLine="640"/>
        <w:jc w:val="both"/>
      </w:pPr>
      <w:r>
        <w:rPr>
          <w:rFonts w:ascii="仿宋_GB2312" w:hAnsi="仿宋_GB2312" w:eastAsia="仿宋_GB2312"/>
          <w:b/>
          <w:sz w:val="32"/>
        </w:rPr>
        <w:t>2024年度支出总计429.42万元，</w:t>
      </w:r>
      <w:r>
        <w:rPr>
          <w:rFonts w:ascii="仿宋_GB2312" w:hAnsi="仿宋_GB2312" w:eastAsia="仿宋_GB2312"/>
          <w:b w:val="0"/>
          <w:sz w:val="32"/>
        </w:rPr>
        <w:t>其中：本年支出合计429.42万元，结余分配0.00万元，年末结转和结余0.00万元。</w:t>
      </w:r>
    </w:p>
    <w:p w14:paraId="67BF2499">
      <w:pPr>
        <w:spacing w:line="580" w:lineRule="exact"/>
        <w:ind w:firstLine="640"/>
        <w:jc w:val="both"/>
      </w:pPr>
      <w:r>
        <w:rPr>
          <w:rFonts w:ascii="仿宋_GB2312" w:hAnsi="仿宋_GB2312" w:eastAsia="仿宋_GB2312"/>
          <w:b w:val="0"/>
          <w:sz w:val="32"/>
        </w:rPr>
        <w:t>收入支出总体与上年相比，增加77.94万元，增长22.17%，主要原因是：本年在职人员工资调增，社保、公积金基数调增，人员经费增加；本年增加县委党校党性教育现场教学培训费、党校2024年租赁房屋税费项目资金以及天池英才引进计划项目资金，导致经费较上年增加。</w:t>
      </w:r>
    </w:p>
    <w:p w14:paraId="4FB278C8">
      <w:pPr>
        <w:spacing w:line="640" w:lineRule="exact"/>
        <w:ind w:firstLine="640"/>
        <w:jc w:val="both"/>
        <w:outlineLvl w:val="2"/>
      </w:pPr>
      <w:r>
        <w:rPr>
          <w:rFonts w:ascii="黑体" w:hAnsi="黑体" w:eastAsia="黑体"/>
          <w:sz w:val="32"/>
        </w:rPr>
        <w:t>二、收入决算情况说明</w:t>
      </w:r>
    </w:p>
    <w:p w14:paraId="3623735F">
      <w:pPr>
        <w:spacing w:line="580" w:lineRule="exact"/>
        <w:ind w:firstLine="640"/>
        <w:jc w:val="both"/>
      </w:pPr>
      <w:r>
        <w:rPr>
          <w:rFonts w:ascii="仿宋_GB2312" w:hAnsi="仿宋_GB2312" w:eastAsia="仿宋_GB2312"/>
          <w:b/>
          <w:sz w:val="32"/>
        </w:rPr>
        <w:t>本年收入429.42万元，</w:t>
      </w:r>
      <w:r>
        <w:rPr>
          <w:rFonts w:ascii="仿宋_GB2312" w:hAnsi="仿宋_GB2312" w:eastAsia="仿宋_GB2312"/>
          <w:b w:val="0"/>
          <w:sz w:val="32"/>
        </w:rPr>
        <w:t>其中：财政拨款收入429.42万元，占100.00%；上级补助收入0.00万元，占0.00%；事业收入0.00万元，占0.00%；经营收入0.00万元，占0.00%；附属单位上缴收入0.00万元，占0.00%；其他收入0.00万元，占0.00%。</w:t>
      </w:r>
    </w:p>
    <w:p w14:paraId="16457770">
      <w:pPr>
        <w:spacing w:line="640" w:lineRule="exact"/>
        <w:ind w:firstLine="640"/>
        <w:jc w:val="both"/>
        <w:outlineLvl w:val="2"/>
      </w:pPr>
      <w:r>
        <w:rPr>
          <w:rFonts w:ascii="黑体" w:hAnsi="黑体" w:eastAsia="黑体"/>
          <w:sz w:val="32"/>
        </w:rPr>
        <w:t>三、支出决算情况说明</w:t>
      </w:r>
    </w:p>
    <w:p w14:paraId="6C9A4881">
      <w:pPr>
        <w:spacing w:line="580" w:lineRule="exact"/>
        <w:ind w:firstLine="640"/>
        <w:jc w:val="both"/>
      </w:pPr>
      <w:r>
        <w:rPr>
          <w:rFonts w:ascii="仿宋_GB2312" w:hAnsi="仿宋_GB2312" w:eastAsia="仿宋_GB2312"/>
          <w:b/>
          <w:sz w:val="32"/>
        </w:rPr>
        <w:t>本年支出429.42万元，</w:t>
      </w:r>
      <w:r>
        <w:rPr>
          <w:rFonts w:ascii="仿宋_GB2312" w:hAnsi="仿宋_GB2312" w:eastAsia="仿宋_GB2312"/>
          <w:b w:val="0"/>
          <w:sz w:val="32"/>
        </w:rPr>
        <w:t>其中：基本支出341.58万元，占79.54%；项目支出87.84万元，占20.46%；上缴上级支出0.00万元，占0.00%；经营支出0.00万元，占0.00%；对附属单位补助支出0.00万元，占0.00%。</w:t>
      </w:r>
    </w:p>
    <w:p w14:paraId="1176144A">
      <w:pPr>
        <w:spacing w:line="640" w:lineRule="exact"/>
        <w:ind w:firstLine="640"/>
        <w:jc w:val="both"/>
        <w:outlineLvl w:val="2"/>
      </w:pPr>
      <w:r>
        <w:rPr>
          <w:rFonts w:ascii="黑体" w:hAnsi="黑体" w:eastAsia="黑体"/>
          <w:sz w:val="32"/>
        </w:rPr>
        <w:t>四、财政拨款收入支出决算总体情况说明</w:t>
      </w:r>
    </w:p>
    <w:p w14:paraId="70329A29">
      <w:pPr>
        <w:spacing w:line="580" w:lineRule="exact"/>
        <w:ind w:firstLine="640"/>
        <w:jc w:val="both"/>
      </w:pPr>
      <w:r>
        <w:rPr>
          <w:rFonts w:ascii="仿宋_GB2312" w:hAnsi="仿宋_GB2312" w:eastAsia="仿宋_GB2312"/>
          <w:b/>
          <w:sz w:val="32"/>
        </w:rPr>
        <w:t>2024年度财政拨款收入总计429.42万元，</w:t>
      </w:r>
      <w:r>
        <w:rPr>
          <w:rFonts w:ascii="仿宋_GB2312" w:hAnsi="仿宋_GB2312" w:eastAsia="仿宋_GB2312"/>
          <w:b w:val="0"/>
          <w:sz w:val="32"/>
        </w:rPr>
        <w:t>其中：年初财政拨款结转和结余0.00万元，本年财政拨款收入429.42万元。</w:t>
      </w:r>
      <w:r>
        <w:rPr>
          <w:rFonts w:ascii="仿宋_GB2312" w:hAnsi="仿宋_GB2312" w:eastAsia="仿宋_GB2312"/>
          <w:b/>
          <w:sz w:val="32"/>
        </w:rPr>
        <w:t>财政拨款支出总计429.42万元，</w:t>
      </w:r>
      <w:r>
        <w:rPr>
          <w:rFonts w:ascii="仿宋_GB2312" w:hAnsi="仿宋_GB2312" w:eastAsia="仿宋_GB2312"/>
          <w:b w:val="0"/>
          <w:sz w:val="32"/>
        </w:rPr>
        <w:t>其中：年末财政拨款结转和结余0.00万元，本年财政拨款支出429.42万元。</w:t>
      </w:r>
    </w:p>
    <w:p w14:paraId="2D65EB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77.94万元，增长22.17%，主要原因是：本年在职人员工资调增，社保、公积金基数调增，人员经费增加；本年增加县委党校党性教育现场教学培训费、党校2024年租赁房屋税费项目资金以及天池英才引进计划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305.14万元，决算数429.42万元，预决算差异率40.73%，主要原因是：年中追加人员工资、社保、公积金基数调增部分资金及县委党校党性教育现场教学培训费、党校2024年租赁房屋税费项目资金以及天池英才引进计划项目资金，导致预决算存在差异。</w:t>
      </w:r>
    </w:p>
    <w:p w14:paraId="1A0A006A">
      <w:pPr>
        <w:spacing w:line="640" w:lineRule="exact"/>
        <w:ind w:firstLine="640"/>
        <w:jc w:val="both"/>
        <w:outlineLvl w:val="2"/>
      </w:pPr>
      <w:r>
        <w:rPr>
          <w:rFonts w:ascii="黑体" w:hAnsi="黑体" w:eastAsia="黑体"/>
          <w:sz w:val="32"/>
        </w:rPr>
        <w:t>五、一般公共预算财政拨款支出决算情况说明</w:t>
      </w:r>
    </w:p>
    <w:p w14:paraId="79EC0068">
      <w:pPr>
        <w:spacing w:line="640" w:lineRule="exact"/>
        <w:ind w:firstLine="640"/>
        <w:jc w:val="both"/>
        <w:outlineLvl w:val="3"/>
      </w:pPr>
      <w:r>
        <w:rPr>
          <w:rFonts w:ascii="楷体_GB2312" w:hAnsi="楷体_GB2312" w:eastAsia="楷体_GB2312"/>
          <w:b/>
          <w:sz w:val="32"/>
        </w:rPr>
        <w:t>（一）一般公共预算财政拨款支出决算总体情况</w:t>
      </w:r>
    </w:p>
    <w:p w14:paraId="3F672E9A">
      <w:pPr>
        <w:spacing w:line="580" w:lineRule="exact"/>
        <w:ind w:firstLine="640"/>
        <w:jc w:val="both"/>
      </w:pPr>
      <w:r>
        <w:rPr>
          <w:rFonts w:ascii="仿宋_GB2312" w:hAnsi="仿宋_GB2312" w:eastAsia="仿宋_GB2312"/>
          <w:b/>
          <w:sz w:val="32"/>
        </w:rPr>
        <w:t>2024年度一般公共预算财政拨款支出429.42万元，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77.94万元，增长22.17%，主要原因是：本年在职人员工资调增，社保、公积金基数调增，人员经费增加；本年增加县委党校党性教育现场教学培训费、党校2024年租赁房屋税费项目资金以及天池英才引进计划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305.14万元，决算数429.42万元，预决算差异率40.73%，主要原因是：年中追加人员工资、社保、公积金基数调增部分资金及县委党校党性教育现场教学培训费、党校2024年租赁房屋税费项目资金以及天池英才引进计划项目资金，导致预决算存在差异。</w:t>
      </w:r>
    </w:p>
    <w:p w14:paraId="148326BA">
      <w:pPr>
        <w:spacing w:line="640" w:lineRule="exact"/>
        <w:ind w:firstLine="640"/>
        <w:jc w:val="both"/>
        <w:outlineLvl w:val="3"/>
      </w:pPr>
      <w:r>
        <w:rPr>
          <w:rFonts w:ascii="楷体_GB2312" w:hAnsi="楷体_GB2312" w:eastAsia="楷体_GB2312"/>
          <w:b/>
          <w:sz w:val="32"/>
        </w:rPr>
        <w:t>（二）一般公共预算财政拨款支出决算结构情况</w:t>
      </w:r>
    </w:p>
    <w:p w14:paraId="3438E6E4">
      <w:pPr>
        <w:spacing w:line="580" w:lineRule="exact"/>
        <w:ind w:firstLine="640"/>
        <w:jc w:val="both"/>
      </w:pPr>
      <w:r>
        <w:rPr>
          <w:rFonts w:ascii="仿宋_GB2312" w:hAnsi="仿宋_GB2312" w:eastAsia="仿宋_GB2312"/>
          <w:b w:val="0"/>
          <w:sz w:val="32"/>
        </w:rPr>
        <w:t>1.教育支出(类)378.85万元,占88.22%。</w:t>
      </w:r>
    </w:p>
    <w:p w14:paraId="51BEBDE2">
      <w:pPr>
        <w:spacing w:line="580" w:lineRule="exact"/>
        <w:ind w:firstLine="640"/>
        <w:jc w:val="both"/>
      </w:pPr>
      <w:r>
        <w:rPr>
          <w:rFonts w:ascii="仿宋_GB2312" w:hAnsi="仿宋_GB2312" w:eastAsia="仿宋_GB2312"/>
          <w:b w:val="0"/>
          <w:sz w:val="32"/>
        </w:rPr>
        <w:t>2.科学技术支出(类)20.00万元,占4.66%。</w:t>
      </w:r>
    </w:p>
    <w:p w14:paraId="45EEDAFB">
      <w:pPr>
        <w:spacing w:line="580" w:lineRule="exact"/>
        <w:ind w:firstLine="640"/>
        <w:jc w:val="both"/>
      </w:pPr>
      <w:r>
        <w:rPr>
          <w:rFonts w:ascii="仿宋_GB2312" w:hAnsi="仿宋_GB2312" w:eastAsia="仿宋_GB2312"/>
          <w:b w:val="0"/>
          <w:sz w:val="32"/>
        </w:rPr>
        <w:t>3.社会保障和就业支出(类)29.91万元,占6.97%。</w:t>
      </w:r>
    </w:p>
    <w:p w14:paraId="513F1998">
      <w:pPr>
        <w:spacing w:line="580" w:lineRule="exact"/>
        <w:ind w:firstLine="640"/>
        <w:jc w:val="both"/>
      </w:pPr>
      <w:r>
        <w:rPr>
          <w:rFonts w:ascii="仿宋_GB2312" w:hAnsi="仿宋_GB2312" w:eastAsia="仿宋_GB2312"/>
          <w:b w:val="0"/>
          <w:sz w:val="32"/>
        </w:rPr>
        <w:t>4.卫生健康支出(类)0.65万元,占0.15%。</w:t>
      </w:r>
    </w:p>
    <w:p w14:paraId="3F5B4E5D">
      <w:pPr>
        <w:spacing w:line="640" w:lineRule="exact"/>
        <w:ind w:firstLine="640"/>
        <w:jc w:val="both"/>
        <w:outlineLvl w:val="3"/>
      </w:pPr>
      <w:r>
        <w:rPr>
          <w:rFonts w:ascii="楷体_GB2312" w:hAnsi="楷体_GB2312" w:eastAsia="楷体_GB2312"/>
          <w:b/>
          <w:sz w:val="32"/>
        </w:rPr>
        <w:t>（三）一般公共预算财政拨款支出决算具体情况</w:t>
      </w:r>
    </w:p>
    <w:p w14:paraId="394D3930">
      <w:pPr>
        <w:spacing w:line="580" w:lineRule="exact"/>
        <w:ind w:firstLine="640"/>
        <w:jc w:val="both"/>
      </w:pPr>
      <w:r>
        <w:rPr>
          <w:rFonts w:ascii="仿宋_GB2312" w:hAnsi="仿宋_GB2312" w:eastAsia="仿宋_GB2312"/>
          <w:b w:val="0"/>
          <w:sz w:val="32"/>
        </w:rPr>
        <w:t>1.教育支出(类)进修及培训(款)干部教育(项):支出决算数为378.85万元，比上年决算增加53.90万元，增长16.59%,主要原因是：在职人员工资调增，公积金基数调增，人员经费增加；本年增加租赁房屋税费项目。</w:t>
      </w:r>
    </w:p>
    <w:p w14:paraId="30C409AB">
      <w:pPr>
        <w:spacing w:line="580" w:lineRule="exact"/>
        <w:ind w:firstLine="640"/>
        <w:jc w:val="both"/>
      </w:pPr>
      <w:r>
        <w:rPr>
          <w:rFonts w:ascii="仿宋_GB2312" w:hAnsi="仿宋_GB2312" w:eastAsia="仿宋_GB2312"/>
          <w:b w:val="0"/>
          <w:sz w:val="32"/>
        </w:rPr>
        <w:t>2.科学技术支出(类)基础研究(款)科技人才队伍建设(项):支出决算数为20.00万元，比上年决算增加20.00万元，增长100.00%,主要原因是：本年增加天池英才引进计划项目资金，导致经费较上年增加。</w:t>
      </w:r>
    </w:p>
    <w:p w14:paraId="5DA97C8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29.91万元，比上年决算增加3.82万元，增长14.64%,主要原因是：本年在职人员工资基数调增，养老缴费基数上涨，相应支出增加。</w:t>
      </w:r>
    </w:p>
    <w:p w14:paraId="4585FB43">
      <w:pPr>
        <w:spacing w:line="580" w:lineRule="exact"/>
        <w:ind w:firstLine="640"/>
        <w:jc w:val="both"/>
      </w:pPr>
      <w:r>
        <w:rPr>
          <w:rFonts w:ascii="仿宋_GB2312" w:hAnsi="仿宋_GB2312" w:eastAsia="仿宋_GB2312"/>
          <w:b w:val="0"/>
          <w:sz w:val="32"/>
        </w:rPr>
        <w:t>4.卫生健康支出(类)行政事业单位医疗(款)公务员医疗补助(项):支出决算数为0.65万元，比上年决算增加0.21万元，增长47.73%,主要原因是：本年在职人员工资基数调增，公务员医疗补助上涨，相应支出增加。</w:t>
      </w:r>
    </w:p>
    <w:p w14:paraId="32A8DA9E">
      <w:pPr>
        <w:spacing w:line="640" w:lineRule="exact"/>
        <w:ind w:firstLine="640"/>
        <w:jc w:val="both"/>
        <w:outlineLvl w:val="2"/>
      </w:pPr>
      <w:r>
        <w:rPr>
          <w:rFonts w:ascii="黑体" w:hAnsi="黑体" w:eastAsia="黑体"/>
          <w:sz w:val="32"/>
        </w:rPr>
        <w:t>六、一般公共预算财政拨款基本支出决算情况说明</w:t>
      </w:r>
    </w:p>
    <w:p w14:paraId="40DBE31E">
      <w:pPr>
        <w:spacing w:line="580" w:lineRule="exact"/>
        <w:ind w:firstLine="640"/>
        <w:jc w:val="both"/>
      </w:pPr>
      <w:r>
        <w:rPr>
          <w:rFonts w:ascii="仿宋_GB2312" w:hAnsi="仿宋_GB2312" w:eastAsia="仿宋_GB2312"/>
          <w:b w:val="0"/>
          <w:sz w:val="32"/>
        </w:rPr>
        <w:t>2024年度一般公共预算财政拨款基本支出341.58万元，其中：</w:t>
      </w:r>
      <w:r>
        <w:rPr>
          <w:rFonts w:ascii="仿宋_GB2312" w:hAnsi="仿宋_GB2312" w:eastAsia="仿宋_GB2312"/>
          <w:b/>
          <w:sz w:val="32"/>
        </w:rPr>
        <w:t>人员经费328.61万元，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31C560F3">
      <w:pPr>
        <w:spacing w:line="580" w:lineRule="exact"/>
        <w:ind w:firstLine="640"/>
        <w:jc w:val="both"/>
      </w:pPr>
      <w:r>
        <w:rPr>
          <w:rFonts w:ascii="仿宋_GB2312" w:hAnsi="仿宋_GB2312" w:eastAsia="仿宋_GB2312"/>
          <w:b/>
          <w:sz w:val="32"/>
        </w:rPr>
        <w:t>公用经费12.97万元，</w:t>
      </w:r>
      <w:r>
        <w:rPr>
          <w:rFonts w:ascii="仿宋_GB2312" w:hAnsi="仿宋_GB2312" w:eastAsia="仿宋_GB2312"/>
          <w:b w:val="0"/>
          <w:sz w:val="32"/>
        </w:rPr>
        <w:t>包括：办公费、水费、邮电费、取暖费、差旅费。</w:t>
      </w:r>
    </w:p>
    <w:p w14:paraId="52A3BB67">
      <w:pPr>
        <w:spacing w:line="640" w:lineRule="exact"/>
        <w:ind w:firstLine="640"/>
        <w:jc w:val="both"/>
        <w:outlineLvl w:val="2"/>
      </w:pPr>
      <w:r>
        <w:rPr>
          <w:rFonts w:ascii="黑体" w:hAnsi="黑体" w:eastAsia="黑体"/>
          <w:sz w:val="32"/>
        </w:rPr>
        <w:t>七、政府性基金预算财政拨款收入支出决算情况说明</w:t>
      </w:r>
    </w:p>
    <w:p w14:paraId="097DAB0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0650CAC">
      <w:pPr>
        <w:spacing w:line="640" w:lineRule="exact"/>
        <w:ind w:firstLine="640"/>
        <w:jc w:val="both"/>
        <w:outlineLvl w:val="2"/>
      </w:pPr>
      <w:r>
        <w:rPr>
          <w:rFonts w:ascii="黑体" w:hAnsi="黑体" w:eastAsia="黑体"/>
          <w:sz w:val="32"/>
        </w:rPr>
        <w:t>八、国有资本经营预算财政拨款收入支出决算情况说明</w:t>
      </w:r>
    </w:p>
    <w:p w14:paraId="6DF183F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87D5B3">
      <w:pPr>
        <w:spacing w:line="640" w:lineRule="exact"/>
        <w:ind w:firstLine="640"/>
        <w:jc w:val="both"/>
        <w:outlineLvl w:val="2"/>
      </w:pPr>
      <w:r>
        <w:rPr>
          <w:rFonts w:ascii="黑体" w:hAnsi="黑体" w:eastAsia="黑体"/>
          <w:sz w:val="32"/>
        </w:rPr>
        <w:t>九、财政拨款“三公”经费支出决算情况说明</w:t>
      </w:r>
    </w:p>
    <w:p w14:paraId="7D5FF68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E56A6DF">
      <w:pPr>
        <w:spacing w:line="580" w:lineRule="exact"/>
        <w:ind w:firstLine="640"/>
        <w:jc w:val="both"/>
      </w:pPr>
      <w:r>
        <w:rPr>
          <w:rFonts w:ascii="仿宋_GB2312" w:hAnsi="仿宋_GB2312" w:eastAsia="仿宋_GB2312"/>
          <w:b/>
          <w:sz w:val="32"/>
        </w:rPr>
        <w:t>具体情况如下：</w:t>
      </w:r>
    </w:p>
    <w:p w14:paraId="2FA483C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5C36E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5AC0E0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36829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72ECE06D">
      <w:pPr>
        <w:spacing w:line="640" w:lineRule="exact"/>
        <w:ind w:firstLine="640"/>
        <w:jc w:val="both"/>
        <w:outlineLvl w:val="2"/>
      </w:pPr>
      <w:r>
        <w:rPr>
          <w:rFonts w:ascii="黑体" w:hAnsi="黑体" w:eastAsia="黑体"/>
          <w:sz w:val="32"/>
        </w:rPr>
        <w:t>十、其他重要事项的情况说明</w:t>
      </w:r>
    </w:p>
    <w:p w14:paraId="22DDE1A0">
      <w:pPr>
        <w:spacing w:line="640" w:lineRule="exact"/>
        <w:ind w:firstLine="640"/>
        <w:jc w:val="both"/>
        <w:outlineLvl w:val="3"/>
      </w:pPr>
      <w:r>
        <w:rPr>
          <w:rFonts w:ascii="楷体_GB2312" w:hAnsi="楷体_GB2312" w:eastAsia="楷体_GB2312"/>
          <w:b/>
          <w:sz w:val="32"/>
        </w:rPr>
        <w:t>（一）机关运行经费及公用经费支出情况</w:t>
      </w:r>
    </w:p>
    <w:p w14:paraId="0D24DDBB">
      <w:pPr>
        <w:spacing w:line="580" w:lineRule="exact"/>
        <w:ind w:firstLine="640"/>
        <w:jc w:val="both"/>
      </w:pPr>
      <w:r>
        <w:rPr>
          <w:rFonts w:ascii="仿宋_GB2312" w:hAnsi="仿宋_GB2312" w:eastAsia="仿宋_GB2312"/>
          <w:b w:val="0"/>
          <w:sz w:val="32"/>
        </w:rPr>
        <w:t>2024年度中共塔什库尔干塔吉克自治县委员会党校（行政单位和参照公务员法管理事业单位）机关运行经费支出12.97万元，比上年增加12.97万元，增长100.00%，主要原因是：本年增加办公费、水电费、办公用房取暖费等，导致经费较上年增加。</w:t>
      </w:r>
    </w:p>
    <w:p w14:paraId="3704B45E">
      <w:pPr>
        <w:spacing w:line="640" w:lineRule="exact"/>
        <w:ind w:firstLine="640"/>
        <w:jc w:val="both"/>
        <w:outlineLvl w:val="3"/>
      </w:pPr>
      <w:r>
        <w:rPr>
          <w:rFonts w:ascii="楷体_GB2312" w:hAnsi="楷体_GB2312" w:eastAsia="楷体_GB2312"/>
          <w:b/>
          <w:sz w:val="32"/>
        </w:rPr>
        <w:t>（二）政府采购情况</w:t>
      </w:r>
    </w:p>
    <w:p w14:paraId="51803B3D">
      <w:pPr>
        <w:spacing w:line="580" w:lineRule="exact"/>
        <w:ind w:firstLine="640"/>
        <w:jc w:val="both"/>
      </w:pPr>
      <w:r>
        <w:rPr>
          <w:rFonts w:ascii="仿宋_GB2312" w:hAnsi="仿宋_GB2312" w:eastAsia="仿宋_GB2312"/>
          <w:b w:val="0"/>
          <w:sz w:val="32"/>
        </w:rPr>
        <w:t>2024年度政府采购支出总额3.20万元，其中：政府采购货物支出3.20万元、政府采购工程支出0.00万元、政府采购服务支出0.00万元。</w:t>
      </w:r>
    </w:p>
    <w:p w14:paraId="5E778BF7">
      <w:pPr>
        <w:spacing w:line="580" w:lineRule="exact"/>
        <w:ind w:firstLine="640"/>
        <w:jc w:val="both"/>
      </w:pPr>
      <w:r>
        <w:rPr>
          <w:rFonts w:ascii="仿宋_GB2312" w:hAnsi="仿宋_GB2312" w:eastAsia="仿宋_GB2312"/>
          <w:b w:val="0"/>
          <w:sz w:val="32"/>
        </w:rPr>
        <w:t>授予中小企业合同金额3.20万元，占政府采购支出总额的100.00%，其中：授予小微企业合同金额3.20万元，占政府采购支出总额的100.00%。</w:t>
      </w:r>
    </w:p>
    <w:p w14:paraId="71DE1728">
      <w:pPr>
        <w:spacing w:line="640" w:lineRule="exact"/>
        <w:ind w:firstLine="640"/>
        <w:jc w:val="both"/>
        <w:outlineLvl w:val="3"/>
      </w:pPr>
      <w:r>
        <w:rPr>
          <w:rFonts w:ascii="楷体_GB2312" w:hAnsi="楷体_GB2312" w:eastAsia="楷体_GB2312"/>
          <w:b/>
          <w:sz w:val="32"/>
        </w:rPr>
        <w:t>（三）国有资产占用情况说明</w:t>
      </w:r>
    </w:p>
    <w:p w14:paraId="378F8F3A">
      <w:pPr>
        <w:spacing w:line="580" w:lineRule="exact"/>
        <w:ind w:firstLine="640"/>
        <w:jc w:val="both"/>
      </w:pPr>
      <w:r>
        <w:rPr>
          <w:rFonts w:ascii="仿宋_GB2312" w:hAnsi="仿宋_GB2312" w:eastAsia="仿宋_GB2312"/>
          <w:b w:val="0"/>
          <w:sz w:val="32"/>
        </w:rPr>
        <w:t>截至2024年12月31日，房屋5,050.00平方米，价值1,074.51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73B5F40">
      <w:pPr>
        <w:spacing w:line="640" w:lineRule="exact"/>
        <w:ind w:firstLine="640"/>
        <w:jc w:val="both"/>
        <w:outlineLvl w:val="2"/>
      </w:pPr>
      <w:r>
        <w:rPr>
          <w:rFonts w:ascii="黑体" w:hAnsi="黑体" w:eastAsia="黑体"/>
          <w:sz w:val="32"/>
        </w:rPr>
        <w:t>十一、预算绩效的情况说明</w:t>
      </w:r>
    </w:p>
    <w:p w14:paraId="2C0C757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429.42万元，实际执行总额429.42万元；预算绩效评价项目2个，全年预算数44.49万元，全年执行数44.15万元。预算绩效管理取得的成效：一是细化预算编制。建立“全口径”政府预算体系，将支出预算细化到功能分类项级科目和经济分类款级科目，将上级提前下达的转移支付数全部编入本级预算，科学编制三年中期财政规划。二是强化绩效目标编报。结合预算编制，细化绩效目标编制、审核、批复、公开四个环节，按照“谁申请财政资金，谁编制绩效目标”的原则，由预算单位编制项目支出绩效目标，财政部门对绩效目标进行审核，不编报绩效目标的项目，不予安排预算。发现的问题及原因：一是绩效管理体制、机制不健全‌。协调机制不够健全，单位内部没有建立绩效评价协调机制，财务人员对绩效指标的基础数据、信息资料不清楚，存在被动应付现象。‌二是项目事前绩效评估与项目评审不协调‌。项目事前绩效评估结果存在滞后性，与项目预算评审不能够协调统一，导致第三方事前绩效评估结果与项目预算评审不一致。‌三是预算绩效监督未形成合力‌。全面实施预算绩效管理是一项综合性系统工程，仅靠财政一个部门难以让监督真正发挥作用，需要多部门协同共治形成合力</w:t>
      </w:r>
      <w:r>
        <w:rPr>
          <w:rFonts w:hint="eastAsia" w:ascii="仿宋_GB2312" w:hAnsi="仿宋_GB2312" w:eastAsia="仿宋_GB2312"/>
          <w:b w:val="0"/>
          <w:sz w:val="32"/>
          <w:lang w:eastAsia="zh-CN"/>
        </w:rPr>
        <w:t>。</w:t>
      </w:r>
      <w:r>
        <w:rPr>
          <w:rFonts w:ascii="仿宋_GB2312" w:hAnsi="仿宋_GB2312" w:eastAsia="仿宋_GB2312"/>
          <w:b w:val="0"/>
          <w:sz w:val="32"/>
        </w:rPr>
        <w:t>下一步改进措施：一是提高‌预算绩效管理的科学性和有效性‌：通过创新工作机制、绩效评估、‌目标编审、绩效评价等措施，提高预算绩效管理的科学性和有效性。二是加强全过程管理‌：将绩效管理贯穿于预算编制、监督、执行、评价全过程，确保绩效管理落到实处。‌三是提升信息化水平‌：利用信息化手段提升预算绩效管理的效率和效果。具体附整体支出绩效自评表，项目支出绩效自评表和评价报告。</w:t>
      </w:r>
    </w:p>
    <w:p w14:paraId="64B228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442588">
        <w:tblPrEx>
          <w:tblCellMar>
            <w:top w:w="0" w:type="dxa"/>
            <w:left w:w="108" w:type="dxa"/>
            <w:bottom w:w="0" w:type="dxa"/>
            <w:right w:w="108" w:type="dxa"/>
          </w:tblCellMar>
        </w:tblPrEx>
        <w:tc>
          <w:tcPr>
            <w:tcW w:w="8847" w:type="dxa"/>
            <w:gridSpan w:val="9"/>
            <w:vAlign w:val="center"/>
          </w:tcPr>
          <w:p w14:paraId="678251F0">
            <w:pPr>
              <w:jc w:val="center"/>
            </w:pPr>
            <w:r>
              <w:rPr>
                <w:rFonts w:ascii="宋体" w:hAnsi="宋体" w:eastAsia="宋体"/>
                <w:sz w:val="24"/>
              </w:rPr>
              <w:t>单位整体支出绩效自评表</w:t>
            </w:r>
          </w:p>
        </w:tc>
      </w:tr>
      <w:tr w14:paraId="5EE2F2D5">
        <w:tblPrEx>
          <w:tblCellMar>
            <w:top w:w="0" w:type="dxa"/>
            <w:left w:w="108" w:type="dxa"/>
            <w:bottom w:w="0" w:type="dxa"/>
            <w:right w:w="108" w:type="dxa"/>
          </w:tblCellMar>
        </w:tblPrEx>
        <w:tc>
          <w:tcPr>
            <w:tcW w:w="8847" w:type="dxa"/>
            <w:gridSpan w:val="9"/>
            <w:vAlign w:val="center"/>
          </w:tcPr>
          <w:p w14:paraId="6D5D0DBD">
            <w:pPr>
              <w:jc w:val="center"/>
            </w:pPr>
            <w:r>
              <w:rPr>
                <w:rFonts w:ascii="宋体" w:hAnsi="宋体" w:eastAsia="宋体"/>
                <w:sz w:val="24"/>
              </w:rPr>
              <w:t>（2024年度）</w:t>
            </w:r>
          </w:p>
        </w:tc>
      </w:tr>
      <w:tr w14:paraId="0459FE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A62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347AC9">
            <w:pPr>
              <w:jc w:val="center"/>
            </w:pPr>
            <w:r>
              <w:rPr>
                <w:rFonts w:ascii="宋体" w:hAnsi="宋体" w:eastAsia="宋体"/>
                <w:sz w:val="16"/>
              </w:rPr>
              <w:t>中共塔什库尔干塔吉克自治县委员会党校</w:t>
            </w:r>
          </w:p>
        </w:tc>
      </w:tr>
      <w:tr w14:paraId="6CBA67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F4CD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248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EE5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6398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BC0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FD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195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1074">
            <w:pPr>
              <w:jc w:val="center"/>
            </w:pPr>
            <w:r>
              <w:rPr>
                <w:rFonts w:ascii="宋体" w:hAnsi="宋体" w:eastAsia="宋体"/>
                <w:sz w:val="16"/>
              </w:rPr>
              <w:t>得分</w:t>
            </w:r>
          </w:p>
        </w:tc>
      </w:tr>
      <w:tr w14:paraId="6F7BC5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17E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628A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ED743">
            <w:pPr>
              <w:jc w:val="center"/>
            </w:pPr>
            <w:r>
              <w:rPr>
                <w:rFonts w:ascii="宋体" w:hAnsi="宋体" w:eastAsia="宋体"/>
                <w:sz w:val="16"/>
              </w:rPr>
              <w:t>305.14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7760B">
            <w:pPr>
              <w:jc w:val="center"/>
            </w:pPr>
            <w:r>
              <w:rPr>
                <w:rFonts w:ascii="宋体" w:hAnsi="宋体" w:eastAsia="宋体"/>
                <w:sz w:val="16"/>
              </w:rPr>
              <w:t>429.42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48EF">
            <w:pPr>
              <w:jc w:val="center"/>
            </w:pPr>
            <w:r>
              <w:rPr>
                <w:rFonts w:ascii="宋体" w:hAnsi="宋体" w:eastAsia="宋体"/>
                <w:sz w:val="16"/>
              </w:rPr>
              <w:t>429.42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25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AE4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AF47">
            <w:pPr>
              <w:jc w:val="center"/>
            </w:pPr>
            <w:r>
              <w:rPr>
                <w:rFonts w:ascii="宋体" w:hAnsi="宋体" w:eastAsia="宋体"/>
                <w:sz w:val="16"/>
              </w:rPr>
              <w:t>10</w:t>
            </w:r>
          </w:p>
        </w:tc>
      </w:tr>
      <w:tr w14:paraId="1B8DDD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D02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9601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9A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D3079">
            <w:pPr>
              <w:jc w:val="center"/>
            </w:pPr>
            <w:r>
              <w:rPr>
                <w:rFonts w:ascii="宋体" w:hAnsi="宋体" w:eastAsia="宋体"/>
                <w:sz w:val="16"/>
              </w:rPr>
              <w:t>98.92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F6C2">
            <w:pPr>
              <w:jc w:val="center"/>
            </w:pPr>
            <w:r>
              <w:rPr>
                <w:rFonts w:ascii="宋体" w:hAnsi="宋体" w:eastAsia="宋体"/>
                <w:sz w:val="16"/>
              </w:rPr>
              <w:t>98.92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A53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8D1D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269C0">
            <w:pPr>
              <w:jc w:val="center"/>
            </w:pPr>
            <w:r>
              <w:rPr>
                <w:rFonts w:ascii="宋体" w:hAnsi="宋体" w:eastAsia="宋体"/>
                <w:sz w:val="16"/>
              </w:rPr>
              <w:t>—</w:t>
            </w:r>
          </w:p>
        </w:tc>
      </w:tr>
      <w:tr w14:paraId="166EB2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494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74F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CFFBE">
            <w:pPr>
              <w:jc w:val="center"/>
            </w:pPr>
            <w:r>
              <w:rPr>
                <w:rFonts w:ascii="宋体" w:hAnsi="宋体" w:eastAsia="宋体"/>
                <w:sz w:val="16"/>
              </w:rPr>
              <w:t>305.14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2EFB">
            <w:pPr>
              <w:jc w:val="center"/>
            </w:pPr>
            <w:r>
              <w:rPr>
                <w:rFonts w:ascii="宋体" w:hAnsi="宋体" w:eastAsia="宋体"/>
                <w:sz w:val="16"/>
              </w:rPr>
              <w:t>330.50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0F713">
            <w:pPr>
              <w:jc w:val="center"/>
            </w:pPr>
            <w:r>
              <w:rPr>
                <w:rFonts w:ascii="宋体" w:hAnsi="宋体" w:eastAsia="宋体"/>
                <w:sz w:val="16"/>
              </w:rPr>
              <w:t>330.50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A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6166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5561">
            <w:pPr>
              <w:jc w:val="center"/>
            </w:pPr>
            <w:r>
              <w:rPr>
                <w:rFonts w:ascii="宋体" w:hAnsi="宋体" w:eastAsia="宋体"/>
                <w:sz w:val="16"/>
              </w:rPr>
              <w:t>—</w:t>
            </w:r>
          </w:p>
        </w:tc>
      </w:tr>
      <w:tr w14:paraId="4581D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E5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7557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09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586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24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92E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BB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7ED1">
            <w:pPr>
              <w:jc w:val="center"/>
            </w:pPr>
            <w:r>
              <w:rPr>
                <w:rFonts w:ascii="宋体" w:hAnsi="宋体" w:eastAsia="宋体"/>
                <w:sz w:val="16"/>
              </w:rPr>
              <w:t>—</w:t>
            </w:r>
          </w:p>
        </w:tc>
      </w:tr>
      <w:tr w14:paraId="3B858A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1EA3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A866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0397F">
            <w:pPr>
              <w:jc w:val="center"/>
              <w:rPr>
                <w:rFonts w:hint="eastAsia" w:eastAsia="宋体"/>
                <w:lang w:eastAsia="zh-CN"/>
              </w:rPr>
            </w:pPr>
            <w:r>
              <w:rPr>
                <w:rFonts w:hint="eastAsia" w:ascii="宋体" w:hAnsi="宋体"/>
                <w:sz w:val="16"/>
                <w:lang w:eastAsia="zh-CN"/>
              </w:rPr>
              <w:t>实际完成情况</w:t>
            </w:r>
          </w:p>
        </w:tc>
      </w:tr>
      <w:tr w14:paraId="1553FA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8C7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CFF68C">
            <w:pPr>
              <w:jc w:val="both"/>
            </w:pPr>
            <w:r>
              <w:rPr>
                <w:rFonts w:hint="eastAsia" w:ascii="宋体" w:hAnsi="宋体"/>
                <w:sz w:val="16"/>
                <w:lang w:eastAsia="zh-CN"/>
              </w:rPr>
              <w:t>塔什库尔干塔吉克自治县</w:t>
            </w:r>
            <w:r>
              <w:rPr>
                <w:rFonts w:ascii="宋体" w:hAnsi="宋体" w:eastAsia="宋体"/>
                <w:sz w:val="16"/>
              </w:rPr>
              <w:t>委党校坚持以习近平新时代中国特色社会主义思想为指导，深入贯彻落实《中国共产党党校（行政学院）工作条例》以及自治区党校工作会议精神，紧盯县委中心工作大局和“突出党校内涵、深化党校功能、提升办学质量”的目标，大力倡导“坚定立场、实事求是、奋发有为、博学思辨”的校风学风，聚焦党员干部教育培训主线，创新教学方法，以培养造就忠诚干净担当的高素质专业化干部队伍为最高追求，注重发挥干部培训、思想引领、理论建设、决策咨询作用，不断提升办学质量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F95A14">
            <w:pPr>
              <w:jc w:val="both"/>
            </w:pPr>
            <w:r>
              <w:rPr>
                <w:rFonts w:ascii="宋体" w:hAnsi="宋体" w:eastAsia="宋体"/>
                <w:sz w:val="16"/>
              </w:rPr>
              <w:t>截止自评，</w:t>
            </w:r>
            <w:r>
              <w:rPr>
                <w:rFonts w:hint="eastAsia" w:ascii="宋体" w:hAnsi="宋体"/>
                <w:sz w:val="16"/>
                <w:lang w:val="en-US" w:eastAsia="zh-CN"/>
              </w:rPr>
              <w:t>本</w:t>
            </w:r>
            <w:r>
              <w:rPr>
                <w:rFonts w:ascii="宋体" w:hAnsi="宋体" w:eastAsia="宋体"/>
                <w:sz w:val="16"/>
              </w:rPr>
              <w:t>单位已完成资金的全部拨付，资金执行率为100%，计划举办各类培训班为25期、举办各类培训班人次为1640人次、党性教育现场教学点位为14个，招聘研究生充实教师队伍为2名，选派单位骨干教师及后备干部交流学习为8人。紧盯县委中心工作大局和“突出党校内涵、深化党校功能、提升办学质量”的目标，大力倡导“坚定立场、实事求是、奋发有为、博学思辨”的校风学风，聚焦党员干部教育培训主线，创新教学方法，以培养造就忠诚干净担当的高素质专业化干部队伍为最高追求，注重发挥干部培训、思想引领、理论建设、决策咨询作用，不断提升办学质量水平。</w:t>
            </w:r>
          </w:p>
        </w:tc>
      </w:tr>
      <w:tr w14:paraId="43A48E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7FD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A90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E46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FCF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7380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36B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5C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CF0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2C93">
            <w:pPr>
              <w:jc w:val="center"/>
            </w:pPr>
            <w:r>
              <w:rPr>
                <w:rFonts w:ascii="宋体" w:hAnsi="宋体" w:eastAsia="宋体"/>
                <w:sz w:val="16"/>
              </w:rPr>
              <w:t>得分</w:t>
            </w:r>
          </w:p>
        </w:tc>
      </w:tr>
      <w:tr w14:paraId="36EA3B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4BF0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EB5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F97D7">
            <w:pPr>
              <w:jc w:val="center"/>
            </w:pPr>
            <w:r>
              <w:rPr>
                <w:rFonts w:ascii="宋体" w:hAnsi="宋体" w:eastAsia="宋体"/>
                <w:sz w:val="16"/>
              </w:rPr>
              <w:t>计划举办各类培训班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D072B">
            <w:pPr>
              <w:jc w:val="center"/>
            </w:pPr>
            <w:r>
              <w:rPr>
                <w:rFonts w:ascii="宋体" w:hAnsi="宋体" w:eastAsia="宋体"/>
                <w:sz w:val="16"/>
              </w:rPr>
              <w:t>&gt;=21期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7293">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406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68F6">
            <w:pPr>
              <w:jc w:val="center"/>
            </w:pPr>
            <w:r>
              <w:rPr>
                <w:rFonts w:ascii="宋体" w:hAnsi="宋体" w:eastAsia="宋体"/>
                <w:sz w:val="16"/>
              </w:rPr>
              <w:t>25期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E9D41">
            <w:pPr>
              <w:jc w:val="center"/>
            </w:pPr>
            <w:r>
              <w:rPr>
                <w:rFonts w:ascii="宋体" w:hAnsi="宋体" w:eastAsia="宋体"/>
                <w:sz w:val="16"/>
              </w:rPr>
              <w:t>119.05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D4474">
            <w:pPr>
              <w:jc w:val="center"/>
            </w:pPr>
            <w:r>
              <w:rPr>
                <w:rFonts w:ascii="宋体" w:hAnsi="宋体" w:eastAsia="宋体"/>
                <w:sz w:val="16"/>
              </w:rPr>
              <w:t>20</w:t>
            </w:r>
          </w:p>
        </w:tc>
      </w:tr>
      <w:tr w14:paraId="2E54A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ADD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C53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FC43">
            <w:pPr>
              <w:jc w:val="center"/>
            </w:pPr>
            <w:r>
              <w:rPr>
                <w:rFonts w:ascii="宋体" w:hAnsi="宋体" w:eastAsia="宋体"/>
                <w:sz w:val="16"/>
              </w:rPr>
              <w:t>举办各类培训班人次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E276">
            <w:pPr>
              <w:jc w:val="center"/>
            </w:pPr>
            <w:r>
              <w:rPr>
                <w:rFonts w:ascii="宋体" w:hAnsi="宋体" w:eastAsia="宋体"/>
                <w:sz w:val="16"/>
              </w:rPr>
              <w:t>&gt;=1483人次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6DC0A">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21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25F3">
            <w:pPr>
              <w:jc w:val="center"/>
            </w:pPr>
            <w:r>
              <w:rPr>
                <w:rFonts w:ascii="宋体" w:hAnsi="宋体" w:eastAsia="宋体"/>
                <w:sz w:val="16"/>
              </w:rPr>
              <w:t>1640人次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26079">
            <w:pPr>
              <w:jc w:val="center"/>
            </w:pPr>
            <w:r>
              <w:rPr>
                <w:rFonts w:ascii="宋体" w:hAnsi="宋体" w:eastAsia="宋体"/>
                <w:sz w:val="16"/>
              </w:rPr>
              <w:t>110.59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371A">
            <w:pPr>
              <w:jc w:val="center"/>
            </w:pPr>
            <w:r>
              <w:rPr>
                <w:rFonts w:ascii="宋体" w:hAnsi="宋体" w:eastAsia="宋体"/>
                <w:sz w:val="16"/>
              </w:rPr>
              <w:t>20</w:t>
            </w:r>
          </w:p>
        </w:tc>
      </w:tr>
      <w:tr w14:paraId="6D227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6B3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925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598B">
            <w:pPr>
              <w:jc w:val="center"/>
            </w:pPr>
            <w:r>
              <w:rPr>
                <w:rFonts w:ascii="宋体" w:hAnsi="宋体" w:eastAsia="宋体"/>
                <w:sz w:val="16"/>
              </w:rPr>
              <w:t>党性教育现场教学点位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69395">
            <w:pPr>
              <w:jc w:val="center"/>
            </w:pPr>
            <w:r>
              <w:rPr>
                <w:rFonts w:ascii="宋体" w:hAnsi="宋体" w:eastAsia="宋体"/>
                <w:sz w:val="16"/>
              </w:rPr>
              <w:t>&gt;=14个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7091">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F9C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AEF26">
            <w:pPr>
              <w:jc w:val="center"/>
            </w:pPr>
            <w:r>
              <w:rPr>
                <w:rFonts w:ascii="宋体" w:hAnsi="宋体" w:eastAsia="宋体"/>
                <w:sz w:val="16"/>
              </w:rPr>
              <w: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D8E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81914">
            <w:pPr>
              <w:jc w:val="center"/>
            </w:pPr>
            <w:r>
              <w:rPr>
                <w:rFonts w:ascii="宋体" w:hAnsi="宋体" w:eastAsia="宋体"/>
                <w:sz w:val="16"/>
              </w:rPr>
              <w:t>20</w:t>
            </w:r>
          </w:p>
        </w:tc>
      </w:tr>
      <w:tr w14:paraId="6B29A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135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3FC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A3911">
            <w:pPr>
              <w:jc w:val="center"/>
            </w:pPr>
            <w:r>
              <w:rPr>
                <w:rFonts w:ascii="宋体" w:hAnsi="宋体" w:eastAsia="宋体"/>
                <w:sz w:val="16"/>
              </w:rPr>
              <w:t>招聘研究生充实教师队伍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6A0B1">
            <w:pPr>
              <w:jc w:val="center"/>
            </w:pPr>
            <w:r>
              <w:rPr>
                <w:rFonts w:ascii="宋体" w:hAnsi="宋体" w:eastAsia="宋体"/>
                <w:sz w:val="16"/>
              </w:rPr>
              <w:t>&gt;=2名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5CBD">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C759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F6AB">
            <w:pPr>
              <w:jc w:val="center"/>
            </w:pPr>
            <w:r>
              <w:rPr>
                <w:rFonts w:ascii="宋体" w:hAnsi="宋体" w:eastAsia="宋体"/>
                <w:sz w:val="16"/>
              </w:rPr>
              <w:t>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88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2793">
            <w:pPr>
              <w:jc w:val="center"/>
            </w:pPr>
            <w:r>
              <w:rPr>
                <w:rFonts w:ascii="宋体" w:hAnsi="宋体" w:eastAsia="宋体"/>
                <w:sz w:val="16"/>
              </w:rPr>
              <w:t>15</w:t>
            </w:r>
          </w:p>
        </w:tc>
      </w:tr>
      <w:tr w14:paraId="24EAA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5E7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C61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F5D6">
            <w:pPr>
              <w:jc w:val="center"/>
            </w:pPr>
            <w:r>
              <w:rPr>
                <w:rFonts w:ascii="宋体" w:hAnsi="宋体" w:eastAsia="宋体"/>
                <w:sz w:val="16"/>
              </w:rPr>
              <w:t>选派单位骨干教师及后备干部交流学习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74B6">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DF239">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ACC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6D61D">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2194">
            <w:pPr>
              <w:jc w:val="center"/>
            </w:pPr>
            <w:r>
              <w:rPr>
                <w:rFonts w:ascii="宋体" w:hAnsi="宋体" w:eastAsia="宋体"/>
                <w:sz w:val="16"/>
              </w:rPr>
              <w:t>133.33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9E0D2">
            <w:pPr>
              <w:jc w:val="center"/>
            </w:pPr>
            <w:r>
              <w:rPr>
                <w:rFonts w:ascii="宋体" w:hAnsi="宋体" w:eastAsia="宋体"/>
                <w:sz w:val="16"/>
              </w:rPr>
              <w:t>15</w:t>
            </w:r>
          </w:p>
        </w:tc>
      </w:tr>
    </w:tbl>
    <w:p w14:paraId="74B364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86FD66">
        <w:tblPrEx>
          <w:tblCellMar>
            <w:top w:w="0" w:type="dxa"/>
            <w:left w:w="108" w:type="dxa"/>
            <w:bottom w:w="0" w:type="dxa"/>
            <w:right w:w="108" w:type="dxa"/>
          </w:tblCellMar>
        </w:tblPrEx>
        <w:tc>
          <w:tcPr>
            <w:tcW w:w="8848" w:type="dxa"/>
            <w:gridSpan w:val="14"/>
            <w:vAlign w:val="center"/>
          </w:tcPr>
          <w:p w14:paraId="44200746">
            <w:pPr>
              <w:jc w:val="center"/>
            </w:pPr>
            <w:r>
              <w:rPr>
                <w:rFonts w:ascii="宋体" w:hAnsi="宋体" w:eastAsia="宋体"/>
                <w:sz w:val="24"/>
              </w:rPr>
              <w:t>项目支出绩效自评表</w:t>
            </w:r>
          </w:p>
        </w:tc>
      </w:tr>
      <w:tr w14:paraId="07E765F6">
        <w:tblPrEx>
          <w:tblCellMar>
            <w:top w:w="0" w:type="dxa"/>
            <w:left w:w="108" w:type="dxa"/>
            <w:bottom w:w="0" w:type="dxa"/>
            <w:right w:w="108" w:type="dxa"/>
          </w:tblCellMar>
        </w:tblPrEx>
        <w:tc>
          <w:tcPr>
            <w:tcW w:w="8848" w:type="dxa"/>
            <w:gridSpan w:val="14"/>
            <w:vAlign w:val="center"/>
          </w:tcPr>
          <w:p w14:paraId="4F1F567A">
            <w:pPr>
              <w:jc w:val="center"/>
            </w:pPr>
            <w:r>
              <w:rPr>
                <w:rFonts w:ascii="宋体" w:hAnsi="宋体" w:eastAsia="宋体"/>
                <w:sz w:val="24"/>
              </w:rPr>
              <w:t>(2024年度)</w:t>
            </w:r>
          </w:p>
        </w:tc>
      </w:tr>
      <w:tr w14:paraId="4A3C7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44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C71316">
            <w:pPr>
              <w:jc w:val="center"/>
            </w:pPr>
            <w:r>
              <w:rPr>
                <w:rFonts w:ascii="宋体" w:hAnsi="宋体" w:eastAsia="宋体"/>
                <w:sz w:val="16"/>
              </w:rPr>
              <w:t>“天池英才”引进计划</w:t>
            </w:r>
          </w:p>
        </w:tc>
      </w:tr>
      <w:tr w14:paraId="64CB13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72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62AE9">
            <w:pPr>
              <w:jc w:val="center"/>
            </w:pPr>
            <w:r>
              <w:rPr>
                <w:rFonts w:ascii="宋体" w:hAnsi="宋体" w:eastAsia="宋体"/>
                <w:sz w:val="16"/>
              </w:rPr>
              <w:t>中共塔什库尔干塔吉克自治县委员会党校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02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F0E73">
            <w:pPr>
              <w:jc w:val="center"/>
            </w:pPr>
            <w:r>
              <w:rPr>
                <w:rFonts w:ascii="宋体" w:hAnsi="宋体" w:eastAsia="宋体"/>
                <w:sz w:val="16"/>
              </w:rPr>
              <w:t>中共塔什库尔干塔吉克自治县委员会党校</w:t>
            </w:r>
          </w:p>
        </w:tc>
      </w:tr>
      <w:tr w14:paraId="40AB7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5A8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A91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E6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02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16E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85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1A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1C1A">
            <w:pPr>
              <w:jc w:val="center"/>
            </w:pPr>
            <w:r>
              <w:rPr>
                <w:rFonts w:ascii="宋体" w:hAnsi="宋体" w:eastAsia="宋体"/>
                <w:sz w:val="16"/>
              </w:rPr>
              <w:t>得分</w:t>
            </w:r>
          </w:p>
        </w:tc>
      </w:tr>
      <w:tr w14:paraId="7ED377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F4D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01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13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48D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C95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0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9A6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0585">
            <w:pPr>
              <w:jc w:val="center"/>
            </w:pPr>
            <w:r>
              <w:rPr>
                <w:rFonts w:ascii="宋体" w:hAnsi="宋体" w:eastAsia="宋体"/>
                <w:sz w:val="16"/>
              </w:rPr>
              <w:t>10.00分</w:t>
            </w:r>
          </w:p>
        </w:tc>
      </w:tr>
      <w:tr w14:paraId="40404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C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507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F42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3E6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C3F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733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6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206A">
            <w:pPr>
              <w:jc w:val="center"/>
            </w:pPr>
            <w:r>
              <w:rPr>
                <w:rFonts w:ascii="宋体" w:hAnsi="宋体" w:eastAsia="宋体"/>
                <w:sz w:val="16"/>
              </w:rPr>
              <w:t>—</w:t>
            </w:r>
          </w:p>
        </w:tc>
      </w:tr>
      <w:tr w14:paraId="26E4F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66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A2A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C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B3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2F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39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6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AE82">
            <w:pPr>
              <w:jc w:val="center"/>
            </w:pPr>
            <w:r>
              <w:rPr>
                <w:rFonts w:ascii="宋体" w:hAnsi="宋体" w:eastAsia="宋体"/>
                <w:sz w:val="16"/>
              </w:rPr>
              <w:t>—</w:t>
            </w:r>
          </w:p>
        </w:tc>
      </w:tr>
      <w:tr w14:paraId="0FD166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BEF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431D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A0D54">
            <w:pPr>
              <w:jc w:val="center"/>
            </w:pPr>
            <w:r>
              <w:rPr>
                <w:rFonts w:ascii="宋体" w:hAnsi="宋体" w:eastAsia="宋体"/>
                <w:sz w:val="16"/>
              </w:rPr>
              <w:t>实际完成情况</w:t>
            </w:r>
          </w:p>
        </w:tc>
      </w:tr>
      <w:tr w14:paraId="45945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A3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52D85">
            <w:pPr>
              <w:jc w:val="both"/>
            </w:pPr>
            <w:r>
              <w:rPr>
                <w:rFonts w:ascii="宋体" w:hAnsi="宋体" w:eastAsia="宋体"/>
                <w:sz w:val="16"/>
              </w:rPr>
              <w:t>预算安排20万元，用于我校引进特聘专家1名，拨付经费生活补助20万元，项目的实施主要是为了培养造就大批德才兼备的高素质人才，为</w:t>
            </w:r>
            <w:r>
              <w:rPr>
                <w:rFonts w:hint="eastAsia" w:ascii="宋体" w:hAnsi="宋体"/>
                <w:sz w:val="16"/>
                <w:lang w:eastAsia="zh-CN"/>
              </w:rPr>
              <w:t>塔什库尔干塔吉克自治县</w:t>
            </w:r>
            <w:r>
              <w:rPr>
                <w:rFonts w:ascii="宋体" w:hAnsi="宋体" w:eastAsia="宋体"/>
                <w:sz w:val="16"/>
              </w:rPr>
              <w:t>的发展提供人才储备。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8912D">
            <w:pPr>
              <w:jc w:val="both"/>
            </w:pPr>
            <w:r>
              <w:rPr>
                <w:rFonts w:ascii="宋体" w:hAnsi="宋体" w:eastAsia="宋体"/>
                <w:sz w:val="16"/>
              </w:rPr>
              <w:t>该项目预算资金20万元，实际支出20万元，完成了1名特聘专家的引进，资金主要用于特聘专家的生活补助，目前该名特聘专家已开展专题讲座3次，分别面向</w:t>
            </w:r>
            <w:r>
              <w:rPr>
                <w:rFonts w:hint="eastAsia" w:ascii="宋体" w:hAnsi="宋体"/>
                <w:sz w:val="16"/>
                <w:lang w:eastAsia="zh-CN"/>
              </w:rPr>
              <w:t>塔什库尔干塔吉克自治县</w:t>
            </w:r>
            <w:r>
              <w:rPr>
                <w:rFonts w:hint="eastAsia" w:ascii="宋体" w:hAnsi="宋体"/>
                <w:sz w:val="16"/>
                <w:lang w:val="en-US" w:eastAsia="zh-CN"/>
              </w:rPr>
              <w:t>委员会</w:t>
            </w:r>
            <w:r>
              <w:rPr>
                <w:rFonts w:ascii="宋体" w:hAnsi="宋体" w:eastAsia="宋体"/>
                <w:sz w:val="16"/>
              </w:rPr>
              <w:t>党校全体教师、</w:t>
            </w:r>
            <w:r>
              <w:rPr>
                <w:rFonts w:hint="eastAsia" w:ascii="宋体" w:hAnsi="宋体"/>
                <w:sz w:val="16"/>
                <w:lang w:eastAsia="zh-CN"/>
              </w:rPr>
              <w:t>塔什库尔干塔吉克自治县县委、县政府</w:t>
            </w:r>
            <w:r>
              <w:rPr>
                <w:rFonts w:ascii="宋体" w:hAnsi="宋体" w:eastAsia="宋体"/>
                <w:sz w:val="16"/>
              </w:rPr>
              <w:t>的部分工作人员，以及塔县教育局的主要工作人员。补助发放准确率达100%，补助发放及时率达100%，通过该项目的实施，吸引高端人才来塔县工作，可培养造就大批德才兼备的高素质人才，为塔县的发展提供人才储备。</w:t>
            </w:r>
          </w:p>
        </w:tc>
      </w:tr>
      <w:tr w14:paraId="3525E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0D6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A1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2C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88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4F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8E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EE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9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65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27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DA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E0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8169">
            <w:pPr>
              <w:jc w:val="center"/>
            </w:pPr>
            <w:r>
              <w:rPr>
                <w:rFonts w:ascii="宋体" w:hAnsi="宋体" w:eastAsia="宋体"/>
                <w:sz w:val="16"/>
              </w:rPr>
              <w:t>偏差原因分析及改进措施</w:t>
            </w:r>
          </w:p>
        </w:tc>
      </w:tr>
      <w:tr w14:paraId="7F128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A98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A9C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7B2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CF8C">
            <w:pPr>
              <w:jc w:val="center"/>
            </w:pPr>
            <w:r>
              <w:rPr>
                <w:rFonts w:ascii="宋体" w:hAnsi="宋体" w:eastAsia="宋体"/>
                <w:sz w:val="16"/>
              </w:rPr>
              <w:t>引进特聘专家人数（人）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140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3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C9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A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45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A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966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89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3DE9B">
            <w:pPr>
              <w:jc w:val="center"/>
            </w:pPr>
          </w:p>
        </w:tc>
      </w:tr>
      <w:tr w14:paraId="668ED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F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8E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9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5875">
            <w:pPr>
              <w:jc w:val="center"/>
            </w:pPr>
            <w:r>
              <w:rPr>
                <w:rFonts w:ascii="宋体" w:hAnsi="宋体" w:eastAsia="宋体"/>
                <w:sz w:val="16"/>
              </w:rPr>
              <w:t>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140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0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5B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1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90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7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D4E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C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6ED4A">
            <w:pPr>
              <w:jc w:val="center"/>
            </w:pPr>
          </w:p>
        </w:tc>
      </w:tr>
      <w:tr w14:paraId="1D5EA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AF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3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87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FBD">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A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2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2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0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4A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9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C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F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74C2F">
            <w:pPr>
              <w:jc w:val="center"/>
            </w:pPr>
          </w:p>
        </w:tc>
      </w:tr>
      <w:tr w14:paraId="250E4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F1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08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95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740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4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9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25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C0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2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2A9B">
            <w:pPr>
              <w:jc w:val="center"/>
            </w:pPr>
          </w:p>
        </w:tc>
      </w:tr>
      <w:tr w14:paraId="6E256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00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DB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4B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5339">
            <w:pPr>
              <w:jc w:val="center"/>
            </w:pPr>
            <w:r>
              <w:rPr>
                <w:rFonts w:ascii="宋体" w:hAnsi="宋体" w:eastAsia="宋体"/>
                <w:sz w:val="16"/>
              </w:rPr>
              <w:t>补助发放标准（万元/人/年）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6D5A">
            <w:pPr>
              <w:jc w:val="center"/>
            </w:pPr>
            <w:r>
              <w:rPr>
                <w:rFonts w:ascii="宋体" w:hAnsi="宋体" w:eastAsia="宋体"/>
                <w:sz w:val="16"/>
              </w:rPr>
              <w:t>&lt;=20万元/人/年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E0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C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6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0B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F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E6B1">
            <w:pPr>
              <w:jc w:val="center"/>
            </w:pPr>
            <w:r>
              <w:rPr>
                <w:rFonts w:ascii="宋体" w:hAnsi="宋体" w:eastAsia="宋体"/>
                <w:sz w:val="16"/>
              </w:rPr>
              <w:t>=20万元/人/年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81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71BC">
            <w:pPr>
              <w:jc w:val="center"/>
            </w:pPr>
          </w:p>
        </w:tc>
      </w:tr>
      <w:tr w14:paraId="26397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EC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5A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89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E293">
            <w:pPr>
              <w:jc w:val="center"/>
            </w:pPr>
            <w:r>
              <w:rPr>
                <w:rFonts w:ascii="宋体" w:hAnsi="宋体" w:eastAsia="宋体"/>
                <w:sz w:val="16"/>
              </w:rPr>
              <w:t>有效培养大批德才兼备的高素质人才，为塔县的发展提供人才储备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4B79">
            <w:pPr>
              <w:jc w:val="center"/>
            </w:pPr>
            <w:r>
              <w:rPr>
                <w:rFonts w:ascii="宋体" w:hAnsi="宋体" w:eastAsia="宋体"/>
                <w:sz w:val="16"/>
              </w:rPr>
              <w:t>有效培养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1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0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F5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5C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1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012B">
            <w:pPr>
              <w:jc w:val="center"/>
            </w:pPr>
            <w:r>
              <w:rPr>
                <w:rFonts w:ascii="宋体" w:hAnsi="宋体" w:eastAsia="宋体"/>
                <w:sz w:val="16"/>
              </w:rPr>
              <w:t>有效培养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21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ADC10">
            <w:pPr>
              <w:jc w:val="center"/>
            </w:pPr>
          </w:p>
        </w:tc>
      </w:tr>
      <w:tr w14:paraId="4E41B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46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73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E4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C5DB">
            <w:pPr>
              <w:jc w:val="center"/>
            </w:pPr>
            <w:r>
              <w:rPr>
                <w:rFonts w:ascii="宋体" w:hAnsi="宋体" w:eastAsia="宋体"/>
                <w:sz w:val="16"/>
              </w:rPr>
              <w:t>特聘专家满意度（%）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7F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0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E1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B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90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6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3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4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2981B">
            <w:pPr>
              <w:jc w:val="center"/>
            </w:pPr>
            <w:r>
              <w:rPr>
                <w:rFonts w:ascii="宋体" w:hAnsi="宋体" w:eastAsia="宋体"/>
                <w:sz w:val="16"/>
              </w:rPr>
              <w:t>偏差原因分析：项目实施情况较好，特聘专家满意度高于预期导致出现正偏差，改进措施：基于当前良好表现，重新审视绩效目标，在以后绩效目标设置时设置更具挑战性的目标，以推动业务持续发展。</w:t>
            </w:r>
          </w:p>
        </w:tc>
      </w:tr>
      <w:tr w14:paraId="38B430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74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07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40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1F5B80">
            <w:pPr>
              <w:jc w:val="center"/>
            </w:pPr>
            <w:r>
              <w:rPr>
                <w:rFonts w:ascii="宋体" w:hAnsi="宋体" w:eastAsia="宋体"/>
                <w:sz w:val="16"/>
              </w:rPr>
              <w:t>100分</w:t>
            </w:r>
          </w:p>
        </w:tc>
      </w:tr>
    </w:tbl>
    <w:p w14:paraId="2C87E7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EAD006D">
        <w:tblPrEx>
          <w:tblCellMar>
            <w:top w:w="0" w:type="dxa"/>
            <w:left w:w="108" w:type="dxa"/>
            <w:bottom w:w="0" w:type="dxa"/>
            <w:right w:w="108" w:type="dxa"/>
          </w:tblCellMar>
        </w:tblPrEx>
        <w:tc>
          <w:tcPr>
            <w:tcW w:w="8848" w:type="dxa"/>
            <w:gridSpan w:val="14"/>
            <w:vAlign w:val="center"/>
          </w:tcPr>
          <w:p w14:paraId="3EBECF48">
            <w:pPr>
              <w:jc w:val="center"/>
            </w:pPr>
            <w:r>
              <w:rPr>
                <w:rFonts w:ascii="宋体" w:hAnsi="宋体" w:eastAsia="宋体"/>
                <w:sz w:val="24"/>
              </w:rPr>
              <w:t>项目支出绩效自评表</w:t>
            </w:r>
          </w:p>
        </w:tc>
      </w:tr>
      <w:tr w14:paraId="488545F7">
        <w:tblPrEx>
          <w:tblCellMar>
            <w:top w:w="0" w:type="dxa"/>
            <w:left w:w="108" w:type="dxa"/>
            <w:bottom w:w="0" w:type="dxa"/>
            <w:right w:w="108" w:type="dxa"/>
          </w:tblCellMar>
        </w:tblPrEx>
        <w:tc>
          <w:tcPr>
            <w:tcW w:w="8848" w:type="dxa"/>
            <w:gridSpan w:val="14"/>
            <w:vAlign w:val="center"/>
          </w:tcPr>
          <w:p w14:paraId="5476A99E">
            <w:pPr>
              <w:jc w:val="center"/>
            </w:pPr>
            <w:r>
              <w:rPr>
                <w:rFonts w:ascii="宋体" w:hAnsi="宋体" w:eastAsia="宋体"/>
                <w:sz w:val="24"/>
              </w:rPr>
              <w:t>(2024年度)</w:t>
            </w:r>
          </w:p>
        </w:tc>
      </w:tr>
      <w:tr w14:paraId="46235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8B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E0002E">
            <w:pPr>
              <w:jc w:val="center"/>
            </w:pPr>
            <w:r>
              <w:rPr>
                <w:rFonts w:ascii="宋体" w:hAnsi="宋体" w:eastAsia="宋体"/>
                <w:sz w:val="16"/>
              </w:rPr>
              <w:t>县委党校党性教育现场教学培训费</w:t>
            </w:r>
          </w:p>
        </w:tc>
      </w:tr>
      <w:tr w14:paraId="69ED4E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52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69EA1">
            <w:pPr>
              <w:jc w:val="center"/>
            </w:pPr>
            <w:r>
              <w:rPr>
                <w:rFonts w:ascii="宋体" w:hAnsi="宋体" w:eastAsia="宋体"/>
                <w:sz w:val="16"/>
              </w:rPr>
              <w:t>中共塔什库尔干塔吉克自治县委员会党校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23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E50182">
            <w:pPr>
              <w:jc w:val="center"/>
            </w:pPr>
            <w:r>
              <w:rPr>
                <w:rFonts w:ascii="宋体" w:hAnsi="宋体" w:eastAsia="宋体"/>
                <w:sz w:val="16"/>
              </w:rPr>
              <w:t>中共塔什库尔干塔吉克自治县委员会党校</w:t>
            </w:r>
          </w:p>
        </w:tc>
      </w:tr>
      <w:tr w14:paraId="00BE5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2741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ACB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BF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26C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4A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BB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1E6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EBA9">
            <w:pPr>
              <w:jc w:val="center"/>
            </w:pPr>
            <w:r>
              <w:rPr>
                <w:rFonts w:ascii="宋体" w:hAnsi="宋体" w:eastAsia="宋体"/>
                <w:sz w:val="16"/>
              </w:rPr>
              <w:t>得分</w:t>
            </w:r>
          </w:p>
        </w:tc>
      </w:tr>
      <w:tr w14:paraId="4E1F3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75B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F9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9479">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0C08">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CB00">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BB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EBC2C">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94C3">
            <w:pPr>
              <w:jc w:val="center"/>
            </w:pPr>
            <w:r>
              <w:rPr>
                <w:rFonts w:ascii="宋体" w:hAnsi="宋体" w:eastAsia="宋体"/>
                <w:sz w:val="16"/>
              </w:rPr>
              <w:t>9.65分</w:t>
            </w:r>
          </w:p>
        </w:tc>
      </w:tr>
      <w:tr w14:paraId="59871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4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5F1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DA3AF">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1B927">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C8D12">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F54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0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FB81">
            <w:pPr>
              <w:jc w:val="center"/>
            </w:pPr>
            <w:r>
              <w:rPr>
                <w:rFonts w:ascii="宋体" w:hAnsi="宋体" w:eastAsia="宋体"/>
                <w:sz w:val="16"/>
              </w:rPr>
              <w:t>—</w:t>
            </w:r>
          </w:p>
        </w:tc>
      </w:tr>
      <w:tr w14:paraId="72BEB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C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AC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14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6B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B8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4D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2B7F">
            <w:pPr>
              <w:jc w:val="center"/>
            </w:pPr>
            <w:r>
              <w:rPr>
                <w:rFonts w:ascii="宋体" w:hAnsi="宋体" w:eastAsia="宋体"/>
                <w:sz w:val="16"/>
              </w:rPr>
              <w:t>—</w:t>
            </w:r>
          </w:p>
        </w:tc>
      </w:tr>
      <w:tr w14:paraId="6D307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E33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0C0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8F2E95">
            <w:pPr>
              <w:jc w:val="center"/>
            </w:pPr>
            <w:r>
              <w:rPr>
                <w:rFonts w:ascii="宋体" w:hAnsi="宋体" w:eastAsia="宋体"/>
                <w:sz w:val="16"/>
              </w:rPr>
              <w:t>实际完成情况</w:t>
            </w:r>
          </w:p>
        </w:tc>
      </w:tr>
      <w:tr w14:paraId="09F35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335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7EF90">
            <w:pPr>
              <w:jc w:val="both"/>
            </w:pPr>
            <w:r>
              <w:rPr>
                <w:rFonts w:ascii="宋体" w:hAnsi="宋体" w:eastAsia="宋体"/>
                <w:sz w:val="16"/>
              </w:rPr>
              <w:t>该项目主要用于支付根据协议开展党性教育现场教学的乙方指定酒店食宿，从而产生食宿费、现场教学费、场地费、车辆租赁费等。项目投入24.49万元，通过开展党性教育现场培训80人次、购买1批教学培训设备、维修改造县委党校2次，预期可改善教学培训环境，</w:t>
            </w:r>
            <w:r>
              <w:rPr>
                <w:rFonts w:hint="eastAsia" w:ascii="宋体" w:hAnsi="宋体"/>
                <w:sz w:val="16"/>
                <w:lang w:eastAsia="zh-CN"/>
              </w:rPr>
              <w:t>增强培训效果</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E6489">
            <w:pPr>
              <w:jc w:val="both"/>
            </w:pPr>
            <w:r>
              <w:rPr>
                <w:rFonts w:ascii="宋体" w:hAnsi="宋体" w:eastAsia="宋体"/>
                <w:sz w:val="16"/>
              </w:rPr>
              <w:t>该项目预算资金24.49万元，实际支出24.15万元，主要用于支付根据协议开展党性教育现场教学的乙方指定酒店食宿，从而产生的食宿费、现场教学费、场地费、车辆租赁费等，其中支付喀什地区第一人民医院广东援疆专家组赴塔县开展党性教育35人食宿费用，共计2.85万元；支付广东省委党校（广东行政学院）秋季中青班45人食宿费用，共计2.07万元；支付广东省委党校（广东行政学院）中青班车辆保障费用，共计3.60万元；支付广东省委党校（广东行政学院）中青班伽师县现场教学餐饮费用，共计0.30万元；支付制作楼顶标语、制度牌共计1.17万元；支付排水维修、更换灯具、热水器安装、疏通管道等费用共计1.51万元；支付制作展板、制度牌、党性教育精品课程手册等费用1.46万元；支付购买文体用品及低值消耗品共计1.50万元；支付原党校学员公寓楼整体维修改造费用3万元；支付原党校保密室改造费用2万元；支付2024年1月购买教学培训使用投影仪5台、会议音箱5套等设备共计4.69万元。设备采购合格率达100%，党校维修改造验收合格率达100%，资金支付及时性达100%，通过该项目的实施改善了教学培训环境，提高了培训质量和效果，为学员提供了更丰富更先进的学习体验，为师生创造了一个舒适、怡人的学习和工作空间，提高了师生工作和学习的积极性，使师生对项目实施的满意度达到了100%。</w:t>
            </w:r>
          </w:p>
        </w:tc>
      </w:tr>
      <w:tr w14:paraId="2D9317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EF1E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B7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B8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65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EE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B9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47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6F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63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14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7C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3C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F4EC">
            <w:pPr>
              <w:jc w:val="center"/>
            </w:pPr>
            <w:r>
              <w:rPr>
                <w:rFonts w:ascii="宋体" w:hAnsi="宋体" w:eastAsia="宋体"/>
                <w:sz w:val="16"/>
              </w:rPr>
              <w:t>偏差原因分析及改进措施</w:t>
            </w:r>
          </w:p>
        </w:tc>
      </w:tr>
      <w:tr w14:paraId="64979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D6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C5B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2CF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4E39">
            <w:pPr>
              <w:jc w:val="center"/>
            </w:pPr>
            <w:r>
              <w:rPr>
                <w:rFonts w:ascii="宋体" w:hAnsi="宋体" w:eastAsia="宋体"/>
                <w:sz w:val="16"/>
              </w:rPr>
              <w:t>开展党性教育现场培训人次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02DF">
            <w:pPr>
              <w:jc w:val="center"/>
            </w:pPr>
            <w:r>
              <w:rPr>
                <w:rFonts w:ascii="宋体" w:hAnsi="宋体" w:eastAsia="宋体"/>
                <w:sz w:val="16"/>
              </w:rPr>
              <w:t>&gt;=80人次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1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C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66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C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1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8324">
            <w:pPr>
              <w:jc w:val="center"/>
            </w:pPr>
            <w:r>
              <w:rPr>
                <w:rFonts w:ascii="宋体" w:hAnsi="宋体" w:eastAsia="宋体"/>
                <w:sz w:val="16"/>
              </w:rPr>
              <w:t>=80人次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89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A0D9E">
            <w:pPr>
              <w:jc w:val="center"/>
            </w:pPr>
          </w:p>
        </w:tc>
      </w:tr>
      <w:tr w14:paraId="50D4D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AB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DA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3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D9E8">
            <w:pPr>
              <w:jc w:val="center"/>
            </w:pPr>
            <w:r>
              <w:rPr>
                <w:rFonts w:ascii="宋体" w:hAnsi="宋体" w:eastAsia="宋体"/>
                <w:sz w:val="16"/>
              </w:rPr>
              <w:t>购买教学培训使用设备数量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B935">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1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8A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6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9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C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92F9">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0D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C299">
            <w:pPr>
              <w:jc w:val="center"/>
            </w:pPr>
          </w:p>
        </w:tc>
      </w:tr>
      <w:tr w14:paraId="57912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8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AB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1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0FDE">
            <w:pPr>
              <w:jc w:val="center"/>
            </w:pPr>
            <w:r>
              <w:rPr>
                <w:rFonts w:ascii="宋体" w:hAnsi="宋体" w:eastAsia="宋体"/>
                <w:sz w:val="16"/>
              </w:rPr>
              <w:t>县委党校维修改造次数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79D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E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41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47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F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0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C9A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D4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3306A">
            <w:pPr>
              <w:jc w:val="center"/>
            </w:pPr>
          </w:p>
        </w:tc>
      </w:tr>
      <w:tr w14:paraId="56CDF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06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06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268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18AF">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9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3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EA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6B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4F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A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B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61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97A4">
            <w:pPr>
              <w:jc w:val="center"/>
            </w:pPr>
          </w:p>
        </w:tc>
      </w:tr>
      <w:tr w14:paraId="353D0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D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EA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4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C765">
            <w:pPr>
              <w:jc w:val="center"/>
            </w:pPr>
            <w:r>
              <w:rPr>
                <w:rFonts w:ascii="宋体" w:hAnsi="宋体" w:eastAsia="宋体"/>
                <w:sz w:val="16"/>
              </w:rPr>
              <w:t>党校维修改造验收合格率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C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E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4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B0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68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D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67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CE60">
            <w:pPr>
              <w:jc w:val="center"/>
            </w:pPr>
          </w:p>
        </w:tc>
      </w:tr>
      <w:tr w14:paraId="76178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F5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6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FD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1B73">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4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0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1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37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6E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4D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B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AA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72DB3">
            <w:pPr>
              <w:jc w:val="center"/>
            </w:pPr>
          </w:p>
        </w:tc>
      </w:tr>
      <w:tr w14:paraId="20C69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7D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3CB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4DB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635E">
            <w:pPr>
              <w:jc w:val="center"/>
            </w:pPr>
            <w:r>
              <w:rPr>
                <w:rFonts w:ascii="宋体" w:hAnsi="宋体" w:eastAsia="宋体"/>
                <w:sz w:val="16"/>
              </w:rPr>
              <w:t>开展党性教育现场教学食宿、车辆保障、餐饮等费用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5B7F">
            <w:pPr>
              <w:jc w:val="center"/>
            </w:pPr>
            <w:r>
              <w:rPr>
                <w:rFonts w:ascii="宋体" w:hAnsi="宋体" w:eastAsia="宋体"/>
                <w:sz w:val="16"/>
              </w:rPr>
              <w:t>&lt;=9.14万元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04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8D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D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B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0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C226">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D4AE">
            <w:pPr>
              <w:jc w:val="center"/>
            </w:pPr>
            <w:r>
              <w:rPr>
                <w:rFonts w:ascii="宋体" w:hAnsi="宋体" w:eastAsia="宋体"/>
                <w:sz w:val="16"/>
              </w:rPr>
              <w:t>9.07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0752">
            <w:pPr>
              <w:jc w:val="center"/>
            </w:pPr>
            <w:r>
              <w:rPr>
                <w:rFonts w:ascii="宋体" w:hAnsi="宋体" w:eastAsia="宋体"/>
                <w:sz w:val="16"/>
              </w:rPr>
              <w:t>偏差原因分析：本项目通过拨付资金24.15万元，已确保完成本年度工作任务，导致出现正偏差，改进措施：根据项目需求，后续合理设置绩效指标，合理规划和调配资金，保障工作按时按量进行，避免资金闲置，提高资金使用效率。</w:t>
            </w:r>
          </w:p>
        </w:tc>
      </w:tr>
      <w:tr w14:paraId="12E28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3F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49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2D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E94D">
            <w:pPr>
              <w:jc w:val="center"/>
            </w:pPr>
            <w:r>
              <w:rPr>
                <w:rFonts w:ascii="宋体" w:hAnsi="宋体" w:eastAsia="宋体"/>
                <w:sz w:val="16"/>
              </w:rPr>
              <w:t>购买教学培训使用设备费用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98BD">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4A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BC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F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E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2F20">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2F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2A31B">
            <w:pPr>
              <w:jc w:val="center"/>
            </w:pPr>
          </w:p>
        </w:tc>
      </w:tr>
      <w:tr w14:paraId="7E532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1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9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7C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C1BE">
            <w:pPr>
              <w:jc w:val="center"/>
            </w:pPr>
            <w:r>
              <w:rPr>
                <w:rFonts w:ascii="宋体" w:hAnsi="宋体" w:eastAsia="宋体"/>
                <w:sz w:val="16"/>
              </w:rPr>
              <w:t>县委党校维修改造费用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4654">
            <w:pPr>
              <w:jc w:val="center"/>
            </w:pPr>
            <w:r>
              <w:rPr>
                <w:rFonts w:ascii="宋体" w:hAnsi="宋体" w:eastAsia="宋体"/>
                <w:sz w:val="16"/>
              </w:rPr>
              <w:t>&lt;=10.65万元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CD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2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B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7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8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DBE6">
            <w:pPr>
              <w:jc w:val="center"/>
            </w:pPr>
            <w:r>
              <w:rPr>
                <w:rFonts w:ascii="宋体" w:hAnsi="宋体" w:eastAsia="宋体"/>
                <w:sz w:val="16"/>
              </w:rPr>
              <w:t>=10.65万元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6D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DDDA7">
            <w:pPr>
              <w:jc w:val="center"/>
            </w:pPr>
          </w:p>
        </w:tc>
      </w:tr>
      <w:tr w14:paraId="5EB9C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6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37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F7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6F6A">
            <w:pPr>
              <w:jc w:val="center"/>
            </w:pPr>
            <w:r>
              <w:rPr>
                <w:rFonts w:ascii="宋体" w:hAnsi="宋体" w:eastAsia="宋体"/>
                <w:sz w:val="16"/>
              </w:rPr>
              <w:t>改善教学培训环境，</w:t>
            </w:r>
            <w:r>
              <w:rPr>
                <w:rFonts w:hint="eastAsia" w:ascii="宋体" w:hAnsi="宋体"/>
                <w:sz w:val="16"/>
                <w:lang w:eastAsia="zh-CN"/>
              </w:rPr>
              <w:t>增强培训效果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C58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5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47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38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B6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3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ED3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88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C75C">
            <w:pPr>
              <w:jc w:val="center"/>
            </w:pPr>
          </w:p>
        </w:tc>
      </w:tr>
      <w:tr w14:paraId="658A9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D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48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D1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D05C">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D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3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AD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D2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48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0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2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85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3F47">
            <w:pPr>
              <w:jc w:val="center"/>
            </w:pPr>
          </w:p>
        </w:tc>
      </w:tr>
      <w:tr w14:paraId="01CFE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4A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2B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73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174C7D">
            <w:pPr>
              <w:jc w:val="center"/>
            </w:pPr>
            <w:r>
              <w:rPr>
                <w:rFonts w:ascii="宋体" w:hAnsi="宋体" w:eastAsia="宋体"/>
                <w:sz w:val="16"/>
              </w:rPr>
              <w:t>98.72分</w:t>
            </w:r>
          </w:p>
        </w:tc>
      </w:tr>
    </w:tbl>
    <w:p w14:paraId="02CA9858">
      <w:r>
        <w:br w:type="page"/>
      </w:r>
    </w:p>
    <w:p w14:paraId="6745E89C">
      <w:pPr>
        <w:spacing w:line="640" w:lineRule="exact"/>
        <w:ind w:firstLine="640"/>
        <w:jc w:val="both"/>
        <w:outlineLvl w:val="2"/>
      </w:pPr>
      <w:r>
        <w:rPr>
          <w:rFonts w:ascii="黑体" w:hAnsi="黑体" w:eastAsia="黑体"/>
          <w:sz w:val="32"/>
        </w:rPr>
        <w:t>十二、其他需说明的事项</w:t>
      </w:r>
    </w:p>
    <w:p w14:paraId="00EBB81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41A67B2">
      <w:r>
        <w:br w:type="page"/>
      </w:r>
    </w:p>
    <w:p w14:paraId="45C03A2D">
      <w:pPr>
        <w:spacing w:line="240" w:lineRule="auto"/>
        <w:jc w:val="center"/>
        <w:outlineLvl w:val="1"/>
      </w:pPr>
      <w:r>
        <w:rPr>
          <w:rFonts w:ascii="黑体" w:hAnsi="黑体" w:eastAsia="黑体"/>
          <w:sz w:val="32"/>
        </w:rPr>
        <w:t>第三部分 专业名词解释</w:t>
      </w:r>
    </w:p>
    <w:p w14:paraId="1DD6270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E030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16E01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99C07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0C395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98A01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AE6A7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71C53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64E4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0104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7D49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8AAA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AD1FC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A8CC5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12AC9F">
      <w:r>
        <w:br w:type="page"/>
      </w:r>
    </w:p>
    <w:p w14:paraId="643B2DA4">
      <w:pPr>
        <w:spacing w:line="240" w:lineRule="auto"/>
        <w:jc w:val="center"/>
        <w:outlineLvl w:val="1"/>
      </w:pPr>
      <w:r>
        <w:rPr>
          <w:rFonts w:ascii="黑体" w:hAnsi="黑体" w:eastAsia="黑体"/>
          <w:sz w:val="32"/>
        </w:rPr>
        <w:t>第四部分 部门决算报表（见附表）</w:t>
      </w:r>
    </w:p>
    <w:p w14:paraId="62885CAC">
      <w:pPr>
        <w:spacing w:line="240" w:lineRule="auto"/>
        <w:ind w:firstLine="640"/>
        <w:jc w:val="both"/>
      </w:pPr>
      <w:r>
        <w:rPr>
          <w:rFonts w:ascii="仿宋_GB2312" w:hAnsi="仿宋_GB2312" w:eastAsia="仿宋_GB2312"/>
          <w:b w:val="0"/>
          <w:sz w:val="32"/>
        </w:rPr>
        <w:t>一、《收入支出决算总表》</w:t>
      </w:r>
    </w:p>
    <w:p w14:paraId="56961CA7">
      <w:pPr>
        <w:spacing w:line="240" w:lineRule="auto"/>
        <w:ind w:firstLine="640"/>
        <w:jc w:val="both"/>
      </w:pPr>
      <w:r>
        <w:rPr>
          <w:rFonts w:ascii="仿宋_GB2312" w:hAnsi="仿宋_GB2312" w:eastAsia="仿宋_GB2312"/>
          <w:b w:val="0"/>
          <w:sz w:val="32"/>
        </w:rPr>
        <w:t>二、《收入决算表》</w:t>
      </w:r>
    </w:p>
    <w:p w14:paraId="676C9C4A">
      <w:pPr>
        <w:spacing w:line="240" w:lineRule="auto"/>
        <w:ind w:firstLine="640"/>
        <w:jc w:val="both"/>
      </w:pPr>
      <w:r>
        <w:rPr>
          <w:rFonts w:ascii="仿宋_GB2312" w:hAnsi="仿宋_GB2312" w:eastAsia="仿宋_GB2312"/>
          <w:b w:val="0"/>
          <w:sz w:val="32"/>
        </w:rPr>
        <w:t>三、《支出决算表》</w:t>
      </w:r>
    </w:p>
    <w:p w14:paraId="55AD9F28">
      <w:pPr>
        <w:spacing w:line="240" w:lineRule="auto"/>
        <w:ind w:firstLine="640"/>
        <w:jc w:val="both"/>
      </w:pPr>
      <w:r>
        <w:rPr>
          <w:rFonts w:ascii="仿宋_GB2312" w:hAnsi="仿宋_GB2312" w:eastAsia="仿宋_GB2312"/>
          <w:b w:val="0"/>
          <w:sz w:val="32"/>
        </w:rPr>
        <w:t>四、《财政拨款收入支出决算总表》</w:t>
      </w:r>
    </w:p>
    <w:p w14:paraId="5B789A54">
      <w:pPr>
        <w:spacing w:line="240" w:lineRule="auto"/>
        <w:ind w:firstLine="640"/>
        <w:jc w:val="both"/>
      </w:pPr>
      <w:r>
        <w:rPr>
          <w:rFonts w:ascii="仿宋_GB2312" w:hAnsi="仿宋_GB2312" w:eastAsia="仿宋_GB2312"/>
          <w:b w:val="0"/>
          <w:sz w:val="32"/>
        </w:rPr>
        <w:t>五、《一般公共预算财政拨款支出决算表》</w:t>
      </w:r>
    </w:p>
    <w:p w14:paraId="66AD7FCC">
      <w:pPr>
        <w:spacing w:line="240" w:lineRule="auto"/>
        <w:ind w:firstLine="640"/>
        <w:jc w:val="both"/>
      </w:pPr>
      <w:r>
        <w:rPr>
          <w:rFonts w:ascii="仿宋_GB2312" w:hAnsi="仿宋_GB2312" w:eastAsia="仿宋_GB2312"/>
          <w:b w:val="0"/>
          <w:sz w:val="32"/>
        </w:rPr>
        <w:t>六、《一般公共预算财政拨款基本支出决算表》</w:t>
      </w:r>
    </w:p>
    <w:p w14:paraId="7A37F59B">
      <w:pPr>
        <w:spacing w:line="240" w:lineRule="auto"/>
        <w:ind w:firstLine="640"/>
        <w:jc w:val="both"/>
      </w:pPr>
      <w:r>
        <w:rPr>
          <w:rFonts w:ascii="仿宋_GB2312" w:hAnsi="仿宋_GB2312" w:eastAsia="仿宋_GB2312"/>
          <w:b w:val="0"/>
          <w:sz w:val="32"/>
        </w:rPr>
        <w:t>七、《政府性基金预算财政拨款收入支出决算表》</w:t>
      </w:r>
    </w:p>
    <w:p w14:paraId="14DAA928">
      <w:pPr>
        <w:spacing w:line="240" w:lineRule="auto"/>
        <w:ind w:firstLine="640"/>
        <w:jc w:val="both"/>
      </w:pPr>
      <w:r>
        <w:rPr>
          <w:rFonts w:ascii="仿宋_GB2312" w:hAnsi="仿宋_GB2312" w:eastAsia="仿宋_GB2312"/>
          <w:b w:val="0"/>
          <w:sz w:val="32"/>
        </w:rPr>
        <w:t>八、《国有资本经营预算财政拨款收入支出决算表》</w:t>
      </w:r>
    </w:p>
    <w:p w14:paraId="12AF94F6">
      <w:pPr>
        <w:spacing w:line="240" w:lineRule="auto"/>
        <w:ind w:firstLine="640"/>
        <w:jc w:val="both"/>
      </w:pPr>
      <w:r>
        <w:rPr>
          <w:rFonts w:ascii="仿宋_GB2312" w:hAnsi="仿宋_GB2312" w:eastAsia="仿宋_GB2312"/>
          <w:b w:val="0"/>
          <w:sz w:val="32"/>
        </w:rPr>
        <w:t>九、《财政拨款“三公”经费支出决算表》</w:t>
      </w:r>
    </w:p>
    <w:p w14:paraId="1ADFB78F">
      <w:pPr>
        <w:spacing w:line="240" w:lineRule="auto"/>
        <w:ind w:firstLine="640"/>
        <w:jc w:val="both"/>
      </w:pPr>
    </w:p>
    <w:p w14:paraId="71B3DD90">
      <w:pPr>
        <w:spacing w:line="240" w:lineRule="auto"/>
        <w:ind w:firstLine="640"/>
        <w:jc w:val="both"/>
      </w:pPr>
    </w:p>
    <w:p w14:paraId="03968AB2">
      <w:pPr>
        <w:spacing w:line="240" w:lineRule="auto"/>
        <w:ind w:firstLine="640"/>
        <w:jc w:val="both"/>
      </w:pPr>
    </w:p>
    <w:p w14:paraId="0DB6B4DE">
      <w:pPr>
        <w:spacing w:line="240" w:lineRule="auto"/>
        <w:ind w:firstLine="640"/>
        <w:jc w:val="both"/>
      </w:pPr>
    </w:p>
    <w:p w14:paraId="5A820A4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553BA7"/>
    <w:rsid w:val="02F73D26"/>
    <w:rsid w:val="034D4FEF"/>
    <w:rsid w:val="043E5B56"/>
    <w:rsid w:val="06792773"/>
    <w:rsid w:val="09A729D8"/>
    <w:rsid w:val="0A3C58E8"/>
    <w:rsid w:val="0A7B4867"/>
    <w:rsid w:val="0B8C3ECC"/>
    <w:rsid w:val="0C3613A3"/>
    <w:rsid w:val="0C7227A7"/>
    <w:rsid w:val="0CE74526"/>
    <w:rsid w:val="0DCA6EF7"/>
    <w:rsid w:val="0E0A76B4"/>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C26E79"/>
    <w:rsid w:val="3D5275AC"/>
    <w:rsid w:val="3EA7725F"/>
    <w:rsid w:val="3EC014A1"/>
    <w:rsid w:val="40834692"/>
    <w:rsid w:val="423A32B2"/>
    <w:rsid w:val="423C0CB4"/>
    <w:rsid w:val="427B5743"/>
    <w:rsid w:val="42E64542"/>
    <w:rsid w:val="46376036"/>
    <w:rsid w:val="464B7E04"/>
    <w:rsid w:val="464F7E64"/>
    <w:rsid w:val="46901EEE"/>
    <w:rsid w:val="469C74D2"/>
    <w:rsid w:val="47445515"/>
    <w:rsid w:val="4B4C0111"/>
    <w:rsid w:val="4BB23021"/>
    <w:rsid w:val="4F3F074E"/>
    <w:rsid w:val="50DB5F45"/>
    <w:rsid w:val="52F92565"/>
    <w:rsid w:val="543D17CB"/>
    <w:rsid w:val="55DA564E"/>
    <w:rsid w:val="56E07045"/>
    <w:rsid w:val="573A124C"/>
    <w:rsid w:val="583059FA"/>
    <w:rsid w:val="587E6212"/>
    <w:rsid w:val="596D3AB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A72C63"/>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4681</Words>
  <Characters>5304</Characters>
  <Lines>0</Lines>
  <Paragraphs>0</Paragraphs>
  <TotalTime>2</TotalTime>
  <ScaleCrop>false</ScaleCrop>
  <LinksUpToDate>false</LinksUpToDate>
  <CharactersWithSpaces>5312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