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754ED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0F95F1">
      <w:r>
        <w:br w:type="page"/>
      </w:r>
    </w:p>
    <w:p w14:paraId="0CA0CC79">
      <w:pPr>
        <w:spacing w:line="640" w:lineRule="exact"/>
        <w:jc w:val="center"/>
        <w:outlineLvl w:val="1"/>
      </w:pPr>
      <w:r>
        <w:rPr>
          <w:rFonts w:ascii="黑体" w:hAnsi="黑体" w:eastAsia="黑体"/>
          <w:sz w:val="32"/>
        </w:rPr>
        <w:t>第一部分 单位概况</w:t>
      </w:r>
    </w:p>
    <w:p w14:paraId="5596440F">
      <w:pPr>
        <w:spacing w:line="640" w:lineRule="exact"/>
        <w:ind w:firstLine="640"/>
        <w:jc w:val="both"/>
        <w:outlineLvl w:val="2"/>
      </w:pPr>
      <w:r>
        <w:rPr>
          <w:rFonts w:ascii="黑体" w:hAnsi="黑体" w:eastAsia="黑体"/>
          <w:sz w:val="32"/>
        </w:rPr>
        <w:t>一、主要职能</w:t>
      </w:r>
    </w:p>
    <w:p w14:paraId="1E2067E6">
      <w:pPr>
        <w:spacing w:line="580" w:lineRule="exact"/>
        <w:ind w:firstLine="640"/>
        <w:jc w:val="both"/>
      </w:pPr>
      <w:r>
        <w:rPr>
          <w:rFonts w:ascii="仿宋_GB2312" w:hAnsi="仿宋_GB2312" w:eastAsia="仿宋_GB2312"/>
          <w:sz w:val="32"/>
        </w:rPr>
        <w:t>1.德育教育：幼儿园高度重视幼儿的德育教育，通过开展主题班会、组织德育活动等形式，培养幼儿的良好品德。幼儿们在德育教育活动中，学会了尊重他人、团结互助，形成了良好的道德风尚。</w:t>
      </w:r>
    </w:p>
    <w:p w14:paraId="3C404F08">
      <w:pPr>
        <w:spacing w:line="580" w:lineRule="exact"/>
        <w:ind w:firstLine="640"/>
        <w:jc w:val="both"/>
      </w:pPr>
      <w:r>
        <w:rPr>
          <w:rFonts w:ascii="仿宋_GB2312" w:hAnsi="仿宋_GB2312" w:eastAsia="仿宋_GB2312"/>
          <w:sz w:val="32"/>
        </w:rPr>
        <w:t>2.素质教育：积极推行素质教育，关注幼儿全面发展。幼儿园开展了一系列社团活动，如语言、美术、音乐、体育等，让幼儿在兴趣爱好中发掘潜能，培养特长。</w:t>
      </w:r>
    </w:p>
    <w:p w14:paraId="6156E19D">
      <w:pPr>
        <w:spacing w:line="580" w:lineRule="exact"/>
        <w:ind w:firstLine="640"/>
        <w:jc w:val="both"/>
      </w:pPr>
      <w:r>
        <w:rPr>
          <w:rFonts w:ascii="仿宋_GB2312" w:hAnsi="仿宋_GB2312" w:eastAsia="仿宋_GB2312"/>
          <w:sz w:val="32"/>
        </w:rPr>
        <w:t>3.课堂教学：幼儿园深入实施课程改革，优化课堂教学，注重幼儿主体地位，激发幼儿学习兴趣。教师们充分发挥自身专业素养，提高教学质量，为幼儿的成长奠定坚实基础。</w:t>
      </w:r>
    </w:p>
    <w:p w14:paraId="118F194B">
      <w:pPr>
        <w:spacing w:line="580" w:lineRule="exact"/>
        <w:ind w:firstLine="640"/>
        <w:jc w:val="both"/>
      </w:pPr>
      <w:r>
        <w:rPr>
          <w:rFonts w:ascii="仿宋_GB2312" w:hAnsi="仿宋_GB2312" w:eastAsia="仿宋_GB2312"/>
          <w:sz w:val="32"/>
        </w:rPr>
        <w:t>4.家校合作：幼儿园高度重视家校沟通与合作，定期举行家长会，搭建家校共育平台。家长们积极参与幼儿园教育教学活动，共同促进幼儿的健康成长。</w:t>
      </w:r>
    </w:p>
    <w:p w14:paraId="652C0629">
      <w:pPr>
        <w:spacing w:line="640" w:lineRule="exact"/>
        <w:ind w:firstLine="640"/>
        <w:jc w:val="both"/>
        <w:outlineLvl w:val="2"/>
      </w:pPr>
      <w:r>
        <w:rPr>
          <w:rFonts w:ascii="黑体" w:hAnsi="黑体" w:eastAsia="黑体"/>
          <w:sz w:val="32"/>
        </w:rPr>
        <w:t>二、机构设置及人员情况</w:t>
      </w:r>
    </w:p>
    <w:p w14:paraId="0F790959">
      <w:pPr>
        <w:spacing w:line="580" w:lineRule="exact"/>
        <w:ind w:firstLine="640"/>
        <w:jc w:val="both"/>
      </w:pPr>
      <w:r>
        <w:rPr>
          <w:rFonts w:ascii="仿宋_GB2312" w:hAnsi="仿宋_GB2312" w:eastAsia="仿宋_GB2312"/>
          <w:sz w:val="32"/>
        </w:rPr>
        <w:t>塔什库尔干塔吉克自治县中心幼儿园2024年度，实有人数50人，其中：在职人员45人，减少86人；离休人员0人，增加0人；退休人员5人,增加1人。</w:t>
      </w:r>
    </w:p>
    <w:p w14:paraId="40972068">
      <w:pPr>
        <w:spacing w:line="580" w:lineRule="exact"/>
        <w:ind w:firstLine="640"/>
        <w:jc w:val="both"/>
      </w:pPr>
      <w:r>
        <w:rPr>
          <w:rFonts w:ascii="仿宋_GB2312" w:hAnsi="仿宋_GB2312" w:eastAsia="仿宋_GB2312"/>
          <w:sz w:val="32"/>
        </w:rPr>
        <w:t>单位无下属预算单位，下设4个科室，分别是：书记办、保教办、党建办、后勤办。</w:t>
      </w:r>
    </w:p>
    <w:p w14:paraId="28C4BFE1">
      <w:r>
        <w:br w:type="page"/>
      </w:r>
    </w:p>
    <w:p w14:paraId="6669DA41">
      <w:pPr>
        <w:spacing w:line="240" w:lineRule="auto"/>
        <w:jc w:val="center"/>
        <w:outlineLvl w:val="1"/>
      </w:pPr>
      <w:r>
        <w:rPr>
          <w:rFonts w:ascii="黑体" w:hAnsi="黑体" w:eastAsia="黑体"/>
          <w:sz w:val="32"/>
        </w:rPr>
        <w:t>第二部分 部门决算情况说明</w:t>
      </w:r>
    </w:p>
    <w:p w14:paraId="29FDCA8D">
      <w:pPr>
        <w:spacing w:line="640" w:lineRule="exact"/>
        <w:ind w:firstLine="640"/>
        <w:jc w:val="both"/>
        <w:outlineLvl w:val="2"/>
      </w:pPr>
      <w:r>
        <w:rPr>
          <w:rFonts w:ascii="黑体" w:hAnsi="黑体" w:eastAsia="黑体"/>
          <w:sz w:val="32"/>
        </w:rPr>
        <w:t>一、收入支出决算总体情况说明</w:t>
      </w:r>
    </w:p>
    <w:p w14:paraId="5DA12C7B">
      <w:pPr>
        <w:spacing w:line="580" w:lineRule="exact"/>
        <w:ind w:firstLine="640"/>
        <w:jc w:val="both"/>
      </w:pPr>
      <w:r>
        <w:rPr>
          <w:rFonts w:ascii="仿宋_GB2312" w:hAnsi="仿宋_GB2312" w:eastAsia="仿宋_GB2312"/>
          <w:b/>
          <w:sz w:val="32"/>
        </w:rPr>
        <w:t>2024年度收入总计1,768.65万元，</w:t>
      </w:r>
      <w:r>
        <w:rPr>
          <w:rFonts w:ascii="仿宋_GB2312" w:hAnsi="仿宋_GB2312" w:eastAsia="仿宋_GB2312"/>
          <w:b w:val="0"/>
          <w:sz w:val="32"/>
        </w:rPr>
        <w:t>其中：本年收入合计1,768.65万元，使用非财政拨款结余（含专用结余）0.00万元，年初结转和结余0.00万元。</w:t>
      </w:r>
    </w:p>
    <w:p w14:paraId="78E82A02">
      <w:pPr>
        <w:spacing w:line="580" w:lineRule="exact"/>
        <w:ind w:firstLine="640"/>
        <w:jc w:val="both"/>
      </w:pPr>
      <w:r>
        <w:rPr>
          <w:rFonts w:ascii="仿宋_GB2312" w:hAnsi="仿宋_GB2312" w:eastAsia="仿宋_GB2312"/>
          <w:b/>
          <w:sz w:val="32"/>
        </w:rPr>
        <w:t>2024年度支出总计1,768.65万元，</w:t>
      </w:r>
      <w:r>
        <w:rPr>
          <w:rFonts w:ascii="仿宋_GB2312" w:hAnsi="仿宋_GB2312" w:eastAsia="仿宋_GB2312"/>
          <w:b w:val="0"/>
          <w:sz w:val="32"/>
        </w:rPr>
        <w:t>其中：本年支出合计1,768.65万元，结余分配0.00万元，年末结转和结余0.00万元。</w:t>
      </w:r>
    </w:p>
    <w:p w14:paraId="08EE9711">
      <w:pPr>
        <w:spacing w:line="580" w:lineRule="exact"/>
        <w:ind w:firstLine="640"/>
        <w:jc w:val="both"/>
      </w:pPr>
      <w:r>
        <w:rPr>
          <w:rFonts w:ascii="仿宋_GB2312" w:hAnsi="仿宋_GB2312" w:eastAsia="仿宋_GB2312"/>
          <w:b w:val="0"/>
          <w:sz w:val="32"/>
        </w:rPr>
        <w:t>收入支出总体与上年相比，增加114.59万元，增长6.93%，主要原因是：1、增加2024年自治区教育项目经费中小学幼儿园配备保安人员工资补助、历年取暖费等项目。2、本年在职人员工资调增，社保、公积金基数调增，人员经费增加。</w:t>
      </w:r>
    </w:p>
    <w:p w14:paraId="6F03A290">
      <w:pPr>
        <w:spacing w:line="640" w:lineRule="exact"/>
        <w:ind w:firstLine="640"/>
        <w:jc w:val="both"/>
        <w:outlineLvl w:val="2"/>
      </w:pPr>
      <w:r>
        <w:rPr>
          <w:rFonts w:ascii="黑体" w:hAnsi="黑体" w:eastAsia="黑体"/>
          <w:sz w:val="32"/>
        </w:rPr>
        <w:t>二、收入决算情况说明</w:t>
      </w:r>
    </w:p>
    <w:p w14:paraId="5C840035">
      <w:pPr>
        <w:spacing w:line="580" w:lineRule="exact"/>
        <w:ind w:firstLine="640"/>
        <w:jc w:val="both"/>
      </w:pPr>
      <w:r>
        <w:rPr>
          <w:rFonts w:ascii="仿宋_GB2312" w:hAnsi="仿宋_GB2312" w:eastAsia="仿宋_GB2312"/>
          <w:b/>
          <w:sz w:val="32"/>
        </w:rPr>
        <w:t>本年收入1,768.65万元，</w:t>
      </w:r>
      <w:r>
        <w:rPr>
          <w:rFonts w:ascii="仿宋_GB2312" w:hAnsi="仿宋_GB2312" w:eastAsia="仿宋_GB2312"/>
          <w:b w:val="0"/>
          <w:sz w:val="32"/>
        </w:rPr>
        <w:t>其中：财政拨款收入1,768.65万元，占100.00%；上级补助收入0.00万元，占0.00%；事业收入0.00万元，占0.00%；经营收入0.00万元，占0.00%；附属单位上缴收入0.00万元，占0.00%；其他收入0.00万元，占0.00%。</w:t>
      </w:r>
    </w:p>
    <w:p w14:paraId="7B4399F8">
      <w:pPr>
        <w:spacing w:line="640" w:lineRule="exact"/>
        <w:ind w:firstLine="640"/>
        <w:jc w:val="both"/>
        <w:outlineLvl w:val="2"/>
      </w:pPr>
      <w:r>
        <w:rPr>
          <w:rFonts w:ascii="黑体" w:hAnsi="黑体" w:eastAsia="黑体"/>
          <w:sz w:val="32"/>
        </w:rPr>
        <w:t>三、支出决算情况说明</w:t>
      </w:r>
    </w:p>
    <w:p w14:paraId="15D6EDD4">
      <w:pPr>
        <w:spacing w:line="580" w:lineRule="exact"/>
        <w:ind w:firstLine="640"/>
        <w:jc w:val="both"/>
      </w:pPr>
      <w:r>
        <w:rPr>
          <w:rFonts w:ascii="仿宋_GB2312" w:hAnsi="仿宋_GB2312" w:eastAsia="仿宋_GB2312"/>
          <w:b/>
          <w:sz w:val="32"/>
        </w:rPr>
        <w:t>本年支出1,768.65万元，</w:t>
      </w:r>
      <w:r>
        <w:rPr>
          <w:rFonts w:ascii="仿宋_GB2312" w:hAnsi="仿宋_GB2312" w:eastAsia="仿宋_GB2312"/>
          <w:b w:val="0"/>
          <w:sz w:val="32"/>
        </w:rPr>
        <w:t>其中：基本支出1,429.52万元，占80.83%；项目支出339.12万元，占19.17%；上缴上级支出0.00万元，占0.00%；经营支出0.00万元，占0.00%；对附属单位补助支出0.00万元，占0.00%。</w:t>
      </w:r>
    </w:p>
    <w:p w14:paraId="52E9BF3E">
      <w:pPr>
        <w:spacing w:line="640" w:lineRule="exact"/>
        <w:ind w:firstLine="640"/>
        <w:jc w:val="both"/>
        <w:outlineLvl w:val="2"/>
      </w:pPr>
      <w:r>
        <w:rPr>
          <w:rFonts w:ascii="黑体" w:hAnsi="黑体" w:eastAsia="黑体"/>
          <w:sz w:val="32"/>
        </w:rPr>
        <w:t>四、财政拨款收入支出决算总体情况说明</w:t>
      </w:r>
    </w:p>
    <w:p w14:paraId="54A39064">
      <w:pPr>
        <w:spacing w:line="580" w:lineRule="exact"/>
        <w:ind w:firstLine="640"/>
        <w:jc w:val="both"/>
      </w:pPr>
      <w:r>
        <w:rPr>
          <w:rFonts w:ascii="仿宋_GB2312" w:hAnsi="仿宋_GB2312" w:eastAsia="仿宋_GB2312"/>
          <w:b/>
          <w:sz w:val="32"/>
        </w:rPr>
        <w:t>2024年度财政拨款收入总计1,768.65万元，</w:t>
      </w:r>
      <w:r>
        <w:rPr>
          <w:rFonts w:ascii="仿宋_GB2312" w:hAnsi="仿宋_GB2312" w:eastAsia="仿宋_GB2312"/>
          <w:b w:val="0"/>
          <w:sz w:val="32"/>
        </w:rPr>
        <w:t>其中：年初财政拨款结转和结余0.00万元，本年财政拨款收入1,768.65万元。</w:t>
      </w:r>
      <w:r>
        <w:rPr>
          <w:rFonts w:ascii="仿宋_GB2312" w:hAnsi="仿宋_GB2312" w:eastAsia="仿宋_GB2312"/>
          <w:b/>
          <w:sz w:val="32"/>
        </w:rPr>
        <w:t>财政拨款支出总计1,768.65万元，</w:t>
      </w:r>
      <w:r>
        <w:rPr>
          <w:rFonts w:ascii="仿宋_GB2312" w:hAnsi="仿宋_GB2312" w:eastAsia="仿宋_GB2312"/>
          <w:b w:val="0"/>
          <w:sz w:val="32"/>
        </w:rPr>
        <w:t>其中：年末财政拨款结转和结余0.00万元，本年财政拨款支出1,768.65万元。</w:t>
      </w:r>
    </w:p>
    <w:p w14:paraId="2B4A0FA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增加114.59万元，增长6.93%，主要原因是：1、增加2024年自治区教育项目经费中小学幼儿园配备保安人员工资补助、历年取暖费等项目。2、本年在职人员工资调增，社保、公积金基数调增，人员经费增加。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年初预算数1,436.23万元，决算数1,768.65万元，预决算差异率23.15%，主要原因是：年中追加2024年自治区教育项目经费中小学幼儿园配备保安人员工资补助、历年取暖费。</w:t>
      </w:r>
    </w:p>
    <w:p w14:paraId="19CFB241">
      <w:pPr>
        <w:spacing w:line="640" w:lineRule="exact"/>
        <w:ind w:firstLine="640"/>
        <w:jc w:val="both"/>
        <w:outlineLvl w:val="2"/>
      </w:pPr>
      <w:r>
        <w:rPr>
          <w:rFonts w:ascii="黑体" w:hAnsi="黑体" w:eastAsia="黑体"/>
          <w:sz w:val="32"/>
        </w:rPr>
        <w:t>五、一般公共预算财政拨款支出决算情况说明</w:t>
      </w:r>
    </w:p>
    <w:p w14:paraId="516D0854">
      <w:pPr>
        <w:spacing w:line="640" w:lineRule="exact"/>
        <w:ind w:firstLine="640"/>
        <w:jc w:val="both"/>
        <w:outlineLvl w:val="3"/>
      </w:pPr>
      <w:r>
        <w:rPr>
          <w:rFonts w:ascii="楷体_GB2312" w:hAnsi="楷体_GB2312" w:eastAsia="楷体_GB2312"/>
          <w:b/>
          <w:sz w:val="32"/>
        </w:rPr>
        <w:t>（一）一般公共预算财政拨款支出决算总体情况</w:t>
      </w:r>
    </w:p>
    <w:p w14:paraId="2F81ECAF">
      <w:pPr>
        <w:spacing w:line="580" w:lineRule="exact"/>
        <w:ind w:firstLine="640"/>
        <w:jc w:val="both"/>
      </w:pPr>
      <w:r>
        <w:rPr>
          <w:rFonts w:ascii="仿宋_GB2312" w:hAnsi="仿宋_GB2312" w:eastAsia="仿宋_GB2312"/>
          <w:b/>
          <w:sz w:val="32"/>
        </w:rPr>
        <w:t>2024年度一般公共预算财政拨款支出1,768.65万元，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增加114.59万元，增长6.93%，主要原因是：1、增加2024年自治区教育项目经费中小学幼儿园配备保安人员工资补助、历年取暖费等项目。2、本年在职人员工资调增，社保、公积金基数调增，人员经费增加。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年初预算数1,436.23万元，决算数1,768.65万元，预决算差异率23.15%，主要原因是：年中追加2024年自治区教育项目经费中小学幼儿园配备保安人员工资补助、历年取暖费。</w:t>
      </w:r>
    </w:p>
    <w:p w14:paraId="4B9567EB">
      <w:pPr>
        <w:spacing w:line="640" w:lineRule="exact"/>
        <w:ind w:firstLine="640"/>
        <w:jc w:val="both"/>
        <w:outlineLvl w:val="3"/>
      </w:pPr>
      <w:r>
        <w:rPr>
          <w:rFonts w:ascii="楷体_GB2312" w:hAnsi="楷体_GB2312" w:eastAsia="楷体_GB2312"/>
          <w:b/>
          <w:sz w:val="32"/>
        </w:rPr>
        <w:t>（二）一般公共预算财政拨款支出决算结构情况</w:t>
      </w:r>
    </w:p>
    <w:p w14:paraId="63A101CE">
      <w:pPr>
        <w:spacing w:line="580" w:lineRule="exact"/>
        <w:ind w:firstLine="640"/>
        <w:jc w:val="both"/>
      </w:pPr>
      <w:r>
        <w:rPr>
          <w:rFonts w:ascii="仿宋_GB2312" w:hAnsi="仿宋_GB2312" w:eastAsia="仿宋_GB2312"/>
          <w:b w:val="0"/>
          <w:sz w:val="32"/>
        </w:rPr>
        <w:t>1.教育支出(类)1,669.34万元,占94.38%。</w:t>
      </w:r>
    </w:p>
    <w:p w14:paraId="2E921F36">
      <w:pPr>
        <w:spacing w:line="580" w:lineRule="exact"/>
        <w:ind w:firstLine="640"/>
        <w:jc w:val="both"/>
      </w:pPr>
      <w:r>
        <w:rPr>
          <w:rFonts w:ascii="仿宋_GB2312" w:hAnsi="仿宋_GB2312" w:eastAsia="仿宋_GB2312"/>
          <w:b w:val="0"/>
          <w:sz w:val="32"/>
        </w:rPr>
        <w:t>2.社会保障和就业支出(类)99.31万元,占5.62%。</w:t>
      </w:r>
    </w:p>
    <w:p w14:paraId="64D91C5F">
      <w:pPr>
        <w:spacing w:line="640" w:lineRule="exact"/>
        <w:ind w:firstLine="640"/>
        <w:jc w:val="both"/>
        <w:outlineLvl w:val="3"/>
      </w:pPr>
      <w:r>
        <w:rPr>
          <w:rFonts w:ascii="楷体_GB2312" w:hAnsi="楷体_GB2312" w:eastAsia="楷体_GB2312"/>
          <w:b/>
          <w:sz w:val="32"/>
        </w:rPr>
        <w:t>（三）一般公共预算财政拨款支出决算具体情况</w:t>
      </w:r>
    </w:p>
    <w:p w14:paraId="719F99D7">
      <w:pPr>
        <w:spacing w:line="580" w:lineRule="exact"/>
        <w:ind w:firstLine="640"/>
        <w:jc w:val="both"/>
      </w:pPr>
      <w:r>
        <w:rPr>
          <w:rFonts w:ascii="仿宋_GB2312" w:hAnsi="仿宋_GB2312" w:eastAsia="仿宋_GB2312"/>
          <w:b w:val="0"/>
          <w:sz w:val="32"/>
        </w:rPr>
        <w:t>1.教育支出(类)普通教育(款)学前教育(项):支出决算数为1,660.74万元，比上年决算增加221.21万元，增长15.37%,主要原因是：1、增加历年取暖费等项目；2、本年在职人员工资调增，公积金基数调增，人员经费增加；三是科目调整，部分职工养老保险缴费调整至主科目列支，故经费支出增加。</w:t>
      </w:r>
    </w:p>
    <w:p w14:paraId="2DA1C723">
      <w:pPr>
        <w:spacing w:line="580" w:lineRule="exact"/>
        <w:ind w:firstLine="640"/>
        <w:jc w:val="both"/>
      </w:pPr>
      <w:r>
        <w:rPr>
          <w:rFonts w:ascii="仿宋_GB2312" w:hAnsi="仿宋_GB2312" w:eastAsia="仿宋_GB2312"/>
          <w:b w:val="0"/>
          <w:sz w:val="32"/>
        </w:rPr>
        <w:t>2.教育支出(类)普通教育(款)其他普通教育支出(项):支出决算数为8.60万元，比上年决算增加8.60万元，增长100.00%,主要原因是：增加2024年自治区教育项目经费中小学幼儿园配备保安人员工资补助资金项目。</w:t>
      </w:r>
    </w:p>
    <w:p w14:paraId="3184D479">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3.教育支出(类)其他教育支出(款)其他教育支出(项):支出决算数为0.00万元，比上年决算减少90.02万元，下降100.00%,主要原因是：本年减少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w:t>
      </w:r>
    </w:p>
    <w:p w14:paraId="784BEFC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99.31万元，比上年决算减少25.20万元，下降20.24%,主要原因是：一是本年在职人员减少，单位基本养老保险缴费较上年减少；二是科目调整，部分职工养老保险缴费调整至主科目列支，故经费支出减少。</w:t>
      </w:r>
    </w:p>
    <w:p w14:paraId="283CCE09">
      <w:pPr>
        <w:spacing w:line="640" w:lineRule="exact"/>
        <w:ind w:firstLine="640"/>
        <w:jc w:val="both"/>
        <w:outlineLvl w:val="2"/>
      </w:pPr>
      <w:r>
        <w:rPr>
          <w:rFonts w:ascii="黑体" w:hAnsi="黑体" w:eastAsia="黑体"/>
          <w:sz w:val="32"/>
        </w:rPr>
        <w:t>六、一般公共预算财政拨款基本支出决算情况说明</w:t>
      </w:r>
    </w:p>
    <w:p w14:paraId="53D6EF4D">
      <w:pPr>
        <w:spacing w:line="580" w:lineRule="exact"/>
        <w:ind w:firstLine="640"/>
        <w:jc w:val="both"/>
      </w:pPr>
      <w:r>
        <w:rPr>
          <w:rFonts w:ascii="仿宋_GB2312" w:hAnsi="仿宋_GB2312" w:eastAsia="仿宋_GB2312"/>
          <w:b w:val="0"/>
          <w:sz w:val="32"/>
        </w:rPr>
        <w:t>2024年度一般公共预算财政拨款基本支出1,429.52万元，其中：</w:t>
      </w:r>
      <w:r>
        <w:rPr>
          <w:rFonts w:ascii="仿宋_GB2312" w:hAnsi="仿宋_GB2312" w:eastAsia="仿宋_GB2312"/>
          <w:b/>
          <w:sz w:val="32"/>
        </w:rPr>
        <w:t>人员经费1,429.52万元，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43BB582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CB7B0F5">
      <w:pPr>
        <w:spacing w:line="640" w:lineRule="exact"/>
        <w:ind w:firstLine="640"/>
        <w:jc w:val="both"/>
        <w:outlineLvl w:val="2"/>
      </w:pPr>
      <w:r>
        <w:rPr>
          <w:rFonts w:ascii="黑体" w:hAnsi="黑体" w:eastAsia="黑体"/>
          <w:sz w:val="32"/>
        </w:rPr>
        <w:t>七、政府性基金预算财政拨款收入支出决算情况说明</w:t>
      </w:r>
    </w:p>
    <w:p w14:paraId="5F0FD86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23C549">
      <w:pPr>
        <w:spacing w:line="640" w:lineRule="exact"/>
        <w:ind w:firstLine="640"/>
        <w:jc w:val="both"/>
        <w:outlineLvl w:val="2"/>
      </w:pPr>
      <w:r>
        <w:rPr>
          <w:rFonts w:ascii="黑体" w:hAnsi="黑体" w:eastAsia="黑体"/>
          <w:sz w:val="32"/>
        </w:rPr>
        <w:t>八、国有资本经营预算财政拨款收入支出决算情况说明</w:t>
      </w:r>
    </w:p>
    <w:p w14:paraId="0F9FAC5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5FEDE7">
      <w:pPr>
        <w:spacing w:line="640" w:lineRule="exact"/>
        <w:ind w:firstLine="640"/>
        <w:jc w:val="both"/>
        <w:outlineLvl w:val="2"/>
      </w:pPr>
      <w:r>
        <w:rPr>
          <w:rFonts w:ascii="黑体" w:hAnsi="黑体" w:eastAsia="黑体"/>
          <w:sz w:val="32"/>
        </w:rPr>
        <w:t>九、财政拨款“三公”经费支出决算情况说明</w:t>
      </w:r>
    </w:p>
    <w:p w14:paraId="0E8E213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7E332BB">
      <w:pPr>
        <w:spacing w:line="580" w:lineRule="exact"/>
        <w:ind w:firstLine="640"/>
        <w:jc w:val="both"/>
      </w:pPr>
      <w:r>
        <w:rPr>
          <w:rFonts w:ascii="仿宋_GB2312" w:hAnsi="仿宋_GB2312" w:eastAsia="仿宋_GB2312"/>
          <w:b/>
          <w:sz w:val="32"/>
        </w:rPr>
        <w:t>具体情况如下：</w:t>
      </w:r>
    </w:p>
    <w:p w14:paraId="2A81AD0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B05D5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2A0B5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CA32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0942B09C">
      <w:pPr>
        <w:spacing w:line="640" w:lineRule="exact"/>
        <w:ind w:firstLine="640"/>
        <w:jc w:val="both"/>
        <w:outlineLvl w:val="2"/>
      </w:pPr>
      <w:r>
        <w:rPr>
          <w:rFonts w:ascii="黑体" w:hAnsi="黑体" w:eastAsia="黑体"/>
          <w:sz w:val="32"/>
        </w:rPr>
        <w:t>十、其他重要事项的情况说明</w:t>
      </w:r>
    </w:p>
    <w:p w14:paraId="68497369">
      <w:pPr>
        <w:spacing w:line="640" w:lineRule="exact"/>
        <w:ind w:firstLine="640"/>
        <w:jc w:val="both"/>
        <w:outlineLvl w:val="3"/>
      </w:pPr>
      <w:r>
        <w:rPr>
          <w:rFonts w:ascii="楷体_GB2312" w:hAnsi="楷体_GB2312" w:eastAsia="楷体_GB2312"/>
          <w:b/>
          <w:sz w:val="32"/>
        </w:rPr>
        <w:t>（一）机关运行经费及公用经费支出情况</w:t>
      </w:r>
    </w:p>
    <w:p w14:paraId="4890A07D">
      <w:pPr>
        <w:spacing w:line="580" w:lineRule="exact"/>
        <w:ind w:firstLine="640"/>
        <w:jc w:val="both"/>
      </w:pPr>
      <w:r>
        <w:rPr>
          <w:rFonts w:ascii="仿宋_GB2312" w:hAnsi="仿宋_GB2312" w:eastAsia="仿宋_GB2312"/>
          <w:b w:val="0"/>
          <w:sz w:val="32"/>
        </w:rPr>
        <w:t>2024年度塔什库尔干塔吉克自治县中心幼儿园（事业单位）公用经费支出0.00万元，比上年增加0.00万元，增长0.00%，主要原因是：2023年与2024年均未安排公用经费支出。</w:t>
      </w:r>
    </w:p>
    <w:p w14:paraId="13D2AA89">
      <w:pPr>
        <w:spacing w:line="640" w:lineRule="exact"/>
        <w:ind w:firstLine="640"/>
        <w:jc w:val="both"/>
        <w:outlineLvl w:val="3"/>
      </w:pPr>
      <w:r>
        <w:rPr>
          <w:rFonts w:ascii="楷体_GB2312" w:hAnsi="楷体_GB2312" w:eastAsia="楷体_GB2312"/>
          <w:b/>
          <w:sz w:val="32"/>
        </w:rPr>
        <w:t>（二）政府采购情况</w:t>
      </w:r>
    </w:p>
    <w:p w14:paraId="7144504C">
      <w:pPr>
        <w:spacing w:line="580" w:lineRule="exact"/>
        <w:ind w:firstLine="640"/>
        <w:jc w:val="both"/>
      </w:pPr>
      <w:r>
        <w:rPr>
          <w:rFonts w:ascii="仿宋_GB2312" w:hAnsi="仿宋_GB2312" w:eastAsia="仿宋_GB2312"/>
          <w:b w:val="0"/>
          <w:sz w:val="32"/>
        </w:rPr>
        <w:t>2024年度政府采购支出总额3.56万元，其中：政府采购货物支出3.56万元、政府采购工程支出0.00万元、政府采购服务支出0.00万元。</w:t>
      </w:r>
    </w:p>
    <w:p w14:paraId="5ADF67CD">
      <w:pPr>
        <w:spacing w:line="580" w:lineRule="exact"/>
        <w:ind w:firstLine="640"/>
        <w:jc w:val="both"/>
      </w:pPr>
      <w:r>
        <w:rPr>
          <w:rFonts w:ascii="仿宋_GB2312" w:hAnsi="仿宋_GB2312" w:eastAsia="仿宋_GB2312"/>
          <w:b w:val="0"/>
          <w:sz w:val="32"/>
        </w:rPr>
        <w:t>授予中小企业合同金额2.00万元，占政府采购支出总额的56.18%，其中：授予小微企业合同金额2.00万元，占政府采购支出总额的56.18%。</w:t>
      </w:r>
    </w:p>
    <w:p w14:paraId="0878F0D2">
      <w:pPr>
        <w:spacing w:line="640" w:lineRule="exact"/>
        <w:ind w:firstLine="640"/>
        <w:jc w:val="both"/>
        <w:outlineLvl w:val="3"/>
      </w:pPr>
      <w:r>
        <w:rPr>
          <w:rFonts w:ascii="楷体_GB2312" w:hAnsi="楷体_GB2312" w:eastAsia="楷体_GB2312"/>
          <w:b/>
          <w:sz w:val="32"/>
        </w:rPr>
        <w:t>（三）国有资产占用情况说明</w:t>
      </w:r>
    </w:p>
    <w:p w14:paraId="438DBA2A">
      <w:pPr>
        <w:spacing w:line="580" w:lineRule="exact"/>
        <w:ind w:firstLine="640"/>
        <w:jc w:val="both"/>
      </w:pPr>
      <w:r>
        <w:rPr>
          <w:rFonts w:ascii="仿宋_GB2312" w:hAnsi="仿宋_GB2312" w:eastAsia="仿宋_GB2312"/>
          <w:b w:val="0"/>
          <w:sz w:val="32"/>
        </w:rPr>
        <w:t>截至2024年12月31日，房屋3,019.20平方米，价值299.63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1C12CD7">
      <w:pPr>
        <w:spacing w:line="640" w:lineRule="exact"/>
        <w:ind w:firstLine="640"/>
        <w:jc w:val="both"/>
        <w:outlineLvl w:val="2"/>
      </w:pPr>
      <w:r>
        <w:rPr>
          <w:rFonts w:ascii="黑体" w:hAnsi="黑体" w:eastAsia="黑体"/>
          <w:sz w:val="32"/>
        </w:rPr>
        <w:t>十一、预算绩效的情况说明</w:t>
      </w:r>
    </w:p>
    <w:p w14:paraId="555E0DC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绩效自评项目。发现的问题及原因：2024年我单位无绩效自评项目。下一步改进措施：2024年我单位无绩效自评项目。</w:t>
      </w:r>
    </w:p>
    <w:p w14:paraId="1B54C99D">
      <w:r>
        <w:br w:type="page"/>
      </w:r>
    </w:p>
    <w:p w14:paraId="28495A3A">
      <w:pPr>
        <w:spacing w:line="640" w:lineRule="exact"/>
        <w:ind w:firstLine="640"/>
        <w:jc w:val="both"/>
        <w:outlineLvl w:val="2"/>
      </w:pPr>
      <w:r>
        <w:rPr>
          <w:rFonts w:ascii="黑体" w:hAnsi="黑体" w:eastAsia="黑体"/>
          <w:sz w:val="32"/>
        </w:rPr>
        <w:t>十二、其他需说明的事项</w:t>
      </w:r>
    </w:p>
    <w:p w14:paraId="6FD7BBD4">
      <w:pPr>
        <w:spacing w:line="580" w:lineRule="exact"/>
        <w:ind w:firstLine="640"/>
        <w:jc w:val="both"/>
      </w:pPr>
      <w:r>
        <w:rPr>
          <w:rFonts w:ascii="仿宋_GB2312" w:hAnsi="仿宋_GB2312" w:eastAsia="仿宋_GB2312"/>
          <w:b w:val="0"/>
          <w:sz w:val="32"/>
        </w:rPr>
        <w:t>本年度本单位整体绩效自评表由塔什库尔干塔吉克自治县教育和科学技术局（汇总）编报并公开。</w:t>
      </w:r>
    </w:p>
    <w:p w14:paraId="17007614">
      <w:r>
        <w:br w:type="page"/>
      </w:r>
    </w:p>
    <w:p w14:paraId="61FE33D7">
      <w:pPr>
        <w:spacing w:line="240" w:lineRule="auto"/>
        <w:jc w:val="center"/>
        <w:outlineLvl w:val="1"/>
      </w:pPr>
      <w:r>
        <w:rPr>
          <w:rFonts w:ascii="黑体" w:hAnsi="黑体" w:eastAsia="黑体"/>
          <w:sz w:val="32"/>
        </w:rPr>
        <w:t>第三部分 专业名词解释</w:t>
      </w:r>
    </w:p>
    <w:p w14:paraId="53DB752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D82A3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5B4CEE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B587C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F94D62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02D04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EDF5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2FF891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3AFF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B10C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A3AF6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7EA14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40258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56B8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606842">
      <w:r>
        <w:br w:type="page"/>
      </w:r>
    </w:p>
    <w:p w14:paraId="3B65B025">
      <w:pPr>
        <w:spacing w:line="240" w:lineRule="auto"/>
        <w:jc w:val="center"/>
        <w:outlineLvl w:val="1"/>
      </w:pPr>
      <w:r>
        <w:rPr>
          <w:rFonts w:ascii="黑体" w:hAnsi="黑体" w:eastAsia="黑体"/>
          <w:sz w:val="32"/>
        </w:rPr>
        <w:t>第四部分 部门决算报表（见附表）</w:t>
      </w:r>
    </w:p>
    <w:p w14:paraId="1FF5EAAA">
      <w:pPr>
        <w:spacing w:line="240" w:lineRule="auto"/>
        <w:ind w:firstLine="640"/>
        <w:jc w:val="both"/>
      </w:pPr>
      <w:r>
        <w:rPr>
          <w:rFonts w:ascii="仿宋_GB2312" w:hAnsi="仿宋_GB2312" w:eastAsia="仿宋_GB2312"/>
          <w:b w:val="0"/>
          <w:sz w:val="32"/>
        </w:rPr>
        <w:t>一、《收入支出决算总表》</w:t>
      </w:r>
    </w:p>
    <w:p w14:paraId="0CF25CB7">
      <w:pPr>
        <w:spacing w:line="240" w:lineRule="auto"/>
        <w:ind w:firstLine="640"/>
        <w:jc w:val="both"/>
      </w:pPr>
      <w:r>
        <w:rPr>
          <w:rFonts w:ascii="仿宋_GB2312" w:hAnsi="仿宋_GB2312" w:eastAsia="仿宋_GB2312"/>
          <w:b w:val="0"/>
          <w:sz w:val="32"/>
        </w:rPr>
        <w:t>二、《收入决算表》</w:t>
      </w:r>
    </w:p>
    <w:p w14:paraId="2B126294">
      <w:pPr>
        <w:spacing w:line="240" w:lineRule="auto"/>
        <w:ind w:firstLine="640"/>
        <w:jc w:val="both"/>
      </w:pPr>
      <w:r>
        <w:rPr>
          <w:rFonts w:ascii="仿宋_GB2312" w:hAnsi="仿宋_GB2312" w:eastAsia="仿宋_GB2312"/>
          <w:b w:val="0"/>
          <w:sz w:val="32"/>
        </w:rPr>
        <w:t>三、《支出决算表》</w:t>
      </w:r>
    </w:p>
    <w:p w14:paraId="43A21E52">
      <w:pPr>
        <w:spacing w:line="240" w:lineRule="auto"/>
        <w:ind w:firstLine="640"/>
        <w:jc w:val="both"/>
      </w:pPr>
      <w:r>
        <w:rPr>
          <w:rFonts w:ascii="仿宋_GB2312" w:hAnsi="仿宋_GB2312" w:eastAsia="仿宋_GB2312"/>
          <w:b w:val="0"/>
          <w:sz w:val="32"/>
        </w:rPr>
        <w:t>四、《财政拨款收入支出决算总表》</w:t>
      </w:r>
    </w:p>
    <w:p w14:paraId="45F6527F">
      <w:pPr>
        <w:spacing w:line="240" w:lineRule="auto"/>
        <w:ind w:firstLine="640"/>
        <w:jc w:val="both"/>
      </w:pPr>
      <w:r>
        <w:rPr>
          <w:rFonts w:ascii="仿宋_GB2312" w:hAnsi="仿宋_GB2312" w:eastAsia="仿宋_GB2312"/>
          <w:b w:val="0"/>
          <w:sz w:val="32"/>
        </w:rPr>
        <w:t>五、《一般公共预算财政拨款支出决算表》</w:t>
      </w:r>
    </w:p>
    <w:p w14:paraId="5749222C">
      <w:pPr>
        <w:spacing w:line="240" w:lineRule="auto"/>
        <w:ind w:firstLine="640"/>
        <w:jc w:val="both"/>
      </w:pPr>
      <w:r>
        <w:rPr>
          <w:rFonts w:ascii="仿宋_GB2312" w:hAnsi="仿宋_GB2312" w:eastAsia="仿宋_GB2312"/>
          <w:b w:val="0"/>
          <w:sz w:val="32"/>
        </w:rPr>
        <w:t>六、《一般公共预算财政拨款基本支出决算表》</w:t>
      </w:r>
    </w:p>
    <w:p w14:paraId="3342E48C">
      <w:pPr>
        <w:spacing w:line="240" w:lineRule="auto"/>
        <w:ind w:firstLine="640"/>
        <w:jc w:val="both"/>
      </w:pPr>
      <w:r>
        <w:rPr>
          <w:rFonts w:ascii="仿宋_GB2312" w:hAnsi="仿宋_GB2312" w:eastAsia="仿宋_GB2312"/>
          <w:b w:val="0"/>
          <w:sz w:val="32"/>
        </w:rPr>
        <w:t>七、《政府性基金预算财政拨款收入支出决算表》</w:t>
      </w:r>
    </w:p>
    <w:p w14:paraId="5E726233">
      <w:pPr>
        <w:spacing w:line="240" w:lineRule="auto"/>
        <w:ind w:firstLine="640"/>
        <w:jc w:val="both"/>
      </w:pPr>
      <w:r>
        <w:rPr>
          <w:rFonts w:ascii="仿宋_GB2312" w:hAnsi="仿宋_GB2312" w:eastAsia="仿宋_GB2312"/>
          <w:b w:val="0"/>
          <w:sz w:val="32"/>
        </w:rPr>
        <w:t>八、《国有资本经营预算财政拨款收入支出决算表》</w:t>
      </w:r>
    </w:p>
    <w:p w14:paraId="623235DF">
      <w:pPr>
        <w:spacing w:line="240" w:lineRule="auto"/>
        <w:ind w:firstLine="640"/>
        <w:jc w:val="both"/>
      </w:pPr>
      <w:r>
        <w:rPr>
          <w:rFonts w:ascii="仿宋_GB2312" w:hAnsi="仿宋_GB2312" w:eastAsia="仿宋_GB2312"/>
          <w:b w:val="0"/>
          <w:sz w:val="32"/>
        </w:rPr>
        <w:t>九、《财政拨款“三公”经费支出决算表》</w:t>
      </w:r>
    </w:p>
    <w:p w14:paraId="7B79467C">
      <w:pPr>
        <w:spacing w:line="240" w:lineRule="auto"/>
        <w:ind w:firstLine="640"/>
        <w:jc w:val="both"/>
      </w:pPr>
    </w:p>
    <w:p w14:paraId="74A350FC">
      <w:pPr>
        <w:spacing w:line="240" w:lineRule="auto"/>
        <w:ind w:firstLine="640"/>
        <w:jc w:val="both"/>
      </w:pPr>
    </w:p>
    <w:p w14:paraId="7A6E027D">
      <w:pPr>
        <w:spacing w:line="240" w:lineRule="auto"/>
        <w:ind w:firstLine="640"/>
        <w:jc w:val="both"/>
      </w:pPr>
    </w:p>
    <w:p w14:paraId="59732793">
      <w:pPr>
        <w:spacing w:line="240" w:lineRule="auto"/>
        <w:ind w:firstLine="640"/>
        <w:jc w:val="both"/>
      </w:pPr>
    </w:p>
    <w:p w14:paraId="1420992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A322A2"/>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D6575B"/>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E55B57"/>
    <w:rsid w:val="6E095C03"/>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5053</Words>
  <Characters>5695</Characters>
  <Lines>0</Lines>
  <Paragraphs>0</Paragraphs>
  <TotalTime>2</TotalTime>
  <ScaleCrop>false</ScaleCrop>
  <LinksUpToDate>false</LinksUpToDate>
  <CharactersWithSpaces>5705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