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塔什库尔干塔吉克自治县文化馆2024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3B3EA7">
      <w:r>
        <w:br w:type="page"/>
      </w:r>
    </w:p>
    <w:p w14:paraId="1C103A35">
      <w:pPr>
        <w:spacing w:line="640" w:lineRule="exact"/>
        <w:jc w:val="center"/>
        <w:outlineLvl w:val="1"/>
      </w:pPr>
      <w:r>
        <w:rPr>
          <w:rFonts w:ascii="黑体" w:hAnsi="黑体" w:eastAsia="黑体"/>
          <w:sz w:val="32"/>
        </w:rPr>
        <w:t>第一部分 单位概况</w:t>
      </w:r>
    </w:p>
    <w:p w14:paraId="29464E69">
      <w:pPr>
        <w:spacing w:line="640" w:lineRule="exact"/>
        <w:ind w:firstLine="640"/>
        <w:jc w:val="both"/>
        <w:outlineLvl w:val="2"/>
      </w:pPr>
      <w:r>
        <w:rPr>
          <w:rFonts w:ascii="黑体" w:hAnsi="黑体" w:eastAsia="黑体"/>
          <w:sz w:val="32"/>
        </w:rPr>
        <w:t>一、主要职能</w:t>
      </w:r>
    </w:p>
    <w:p w14:paraId="36064040">
      <w:pPr>
        <w:spacing w:line="580" w:lineRule="exact"/>
        <w:ind w:firstLine="640"/>
        <w:jc w:val="both"/>
      </w:pPr>
      <w:r>
        <w:rPr>
          <w:rFonts w:ascii="仿宋_GB2312" w:hAnsi="仿宋_GB2312" w:eastAsia="仿宋_GB2312"/>
          <w:sz w:val="32"/>
        </w:rPr>
        <w:t>县文化馆</w:t>
      </w:r>
      <w:r>
        <w:rPr>
          <w:rFonts w:hint="eastAsia" w:ascii="仿宋_GB2312" w:hAnsi="仿宋_GB2312" w:eastAsia="仿宋_GB2312"/>
          <w:sz w:val="32"/>
          <w:lang w:eastAsia="zh-CN"/>
        </w:rPr>
        <w:t>贯彻落实</w:t>
      </w:r>
      <w:r>
        <w:rPr>
          <w:rFonts w:ascii="仿宋_GB2312" w:hAnsi="仿宋_GB2312" w:eastAsia="仿宋_GB2312"/>
          <w:sz w:val="32"/>
        </w:rPr>
        <w:t>党中央、自治区党委、地委、县委关于非物质文化遗产保护工作的方针政策和决策部署,在履行职责过程中坚持和加强党对文化体育广播电视和旅游工作的集中统一领导。主要职责是:贯彻执行党和国家、自治区、地区、我县有关非物质文化遗产保护、群众文化</w:t>
      </w:r>
      <w:r>
        <w:rPr>
          <w:rFonts w:hint="eastAsia" w:ascii="仿宋_GB2312" w:hAnsi="仿宋_GB2312" w:eastAsia="仿宋_GB2312"/>
          <w:sz w:val="32"/>
          <w:lang w:eastAsia="zh-CN"/>
        </w:rPr>
        <w:t>等</w:t>
      </w:r>
      <w:r>
        <w:rPr>
          <w:rFonts w:ascii="仿宋_GB2312" w:hAnsi="仿宋_GB2312" w:eastAsia="仿宋_GB2312"/>
          <w:sz w:val="32"/>
        </w:rPr>
        <w:t>工作方面的方针政策和法律法规,牢牢掌握意识形态工作的领导权和主动权。</w:t>
      </w:r>
    </w:p>
    <w:p w14:paraId="78FB12F1">
      <w:pPr>
        <w:spacing w:line="580" w:lineRule="exact"/>
        <w:ind w:firstLine="640"/>
        <w:jc w:val="both"/>
      </w:pPr>
      <w:r>
        <w:rPr>
          <w:rFonts w:ascii="仿宋_GB2312" w:hAnsi="仿宋_GB2312" w:eastAsia="仿宋_GB2312"/>
          <w:sz w:val="32"/>
        </w:rPr>
        <w:t>(一)举办各类展览、讲座、培训等，普及科学文化知识，开展社会教育，提高群众文化素质，促进当地精神文明建设。</w:t>
      </w:r>
    </w:p>
    <w:p w14:paraId="11D615D0">
      <w:pPr>
        <w:spacing w:line="580" w:lineRule="exact"/>
        <w:ind w:firstLine="640"/>
        <w:jc w:val="both"/>
      </w:pPr>
      <w:r>
        <w:rPr>
          <w:rFonts w:ascii="仿宋_GB2312" w:hAnsi="仿宋_GB2312" w:eastAsia="仿宋_GB2312"/>
          <w:sz w:val="32"/>
        </w:rPr>
        <w:t>(二)组织开展丰富多彩的、群众喜闻乐见的文化活动;开展流动文化服务;指导群众业余文艺团队建设，辅导和培训群众文艺骨干。</w:t>
      </w:r>
    </w:p>
    <w:p w14:paraId="37FAB8E9">
      <w:pPr>
        <w:spacing w:line="580" w:lineRule="exact"/>
        <w:ind w:firstLine="640"/>
        <w:jc w:val="both"/>
      </w:pPr>
      <w:r>
        <w:rPr>
          <w:rFonts w:ascii="仿宋_GB2312" w:hAnsi="仿宋_GB2312" w:eastAsia="仿宋_GB2312"/>
          <w:sz w:val="32"/>
        </w:rPr>
        <w:t>(三)组织并指导群众文艺创作，开展群众文化工作理论研究。</w:t>
      </w:r>
    </w:p>
    <w:p w14:paraId="38B4BB57">
      <w:pPr>
        <w:spacing w:line="580" w:lineRule="exact"/>
        <w:ind w:firstLine="640"/>
        <w:jc w:val="both"/>
      </w:pPr>
      <w:r>
        <w:rPr>
          <w:rFonts w:ascii="仿宋_GB2312" w:hAnsi="仿宋_GB2312" w:eastAsia="仿宋_GB2312"/>
          <w:sz w:val="32"/>
        </w:rPr>
        <w:t>(四)收集、整理、研究非物质文化遗产，开展非物质文化遗产的普查、展示、宣传活动，指导传承人开展传习活动。</w:t>
      </w:r>
    </w:p>
    <w:p w14:paraId="29D4E0D5">
      <w:pPr>
        <w:spacing w:line="580" w:lineRule="exact"/>
        <w:ind w:firstLine="640"/>
        <w:jc w:val="both"/>
      </w:pPr>
      <w:r>
        <w:rPr>
          <w:rFonts w:ascii="仿宋_GB2312" w:hAnsi="仿宋_GB2312" w:eastAsia="仿宋_GB2312"/>
          <w:sz w:val="32"/>
        </w:rPr>
        <w:t>(五)建成全国文化信息资源共享工程基层服务点，开展数字文化信息服务。</w:t>
      </w:r>
    </w:p>
    <w:p w14:paraId="793CB8C7">
      <w:pPr>
        <w:spacing w:line="580" w:lineRule="exact"/>
        <w:ind w:firstLine="640"/>
        <w:jc w:val="both"/>
      </w:pPr>
      <w:r>
        <w:rPr>
          <w:rFonts w:ascii="仿宋_GB2312" w:hAnsi="仿宋_GB2312" w:eastAsia="仿宋_GB2312"/>
          <w:sz w:val="32"/>
        </w:rPr>
        <w:t>(六)指导下一级文化馆(文化站、社区文化中心)工作，为下一级文化馆(文化站、社区文化中心)培训人员，并向下一级文化馆(文化站、社区文化中心)配送文化资源和文化服务。</w:t>
      </w:r>
    </w:p>
    <w:p w14:paraId="0CA7C2E7">
      <w:pPr>
        <w:spacing w:line="580" w:lineRule="exact"/>
        <w:ind w:firstLine="640"/>
        <w:jc w:val="both"/>
      </w:pPr>
      <w:r>
        <w:rPr>
          <w:rFonts w:ascii="仿宋_GB2312" w:hAnsi="仿宋_GB2312" w:eastAsia="仿宋_GB2312"/>
          <w:sz w:val="32"/>
        </w:rPr>
        <w:t>(七)指导本地区老年文化、老年教育、少儿文化工作。</w:t>
      </w:r>
    </w:p>
    <w:p w14:paraId="5899D5B8">
      <w:pPr>
        <w:spacing w:line="580" w:lineRule="exact"/>
        <w:ind w:firstLine="640"/>
        <w:jc w:val="both"/>
      </w:pPr>
      <w:r>
        <w:rPr>
          <w:rFonts w:ascii="仿宋_GB2312" w:hAnsi="仿宋_GB2312" w:eastAsia="仿宋_GB2312"/>
          <w:sz w:val="32"/>
        </w:rPr>
        <w:t>(八)开展对外民间文化交流。</w:t>
      </w:r>
    </w:p>
    <w:p w14:paraId="4F54852B">
      <w:pPr>
        <w:spacing w:line="640" w:lineRule="exact"/>
        <w:ind w:firstLine="640"/>
        <w:jc w:val="both"/>
        <w:outlineLvl w:val="2"/>
      </w:pPr>
      <w:r>
        <w:rPr>
          <w:rFonts w:ascii="黑体" w:hAnsi="黑体" w:eastAsia="黑体"/>
          <w:sz w:val="32"/>
        </w:rPr>
        <w:t>二、机构设置及人员情况</w:t>
      </w:r>
    </w:p>
    <w:p w14:paraId="32814FBA">
      <w:pPr>
        <w:spacing w:line="580" w:lineRule="exact"/>
        <w:ind w:firstLine="640"/>
        <w:jc w:val="both"/>
      </w:pPr>
      <w:r>
        <w:rPr>
          <w:rFonts w:ascii="仿宋_GB2312" w:hAnsi="仿宋_GB2312" w:eastAsia="仿宋_GB2312"/>
          <w:sz w:val="32"/>
        </w:rPr>
        <w:t>塔什库尔干塔吉克自治县文化馆2024年度，实有人数19人，其中：在职人员5人，减少5人；离休人员0人，增加0人；退休人员14人,增加0人。</w:t>
      </w:r>
    </w:p>
    <w:p w14:paraId="598561D2">
      <w:pPr>
        <w:spacing w:line="580" w:lineRule="exact"/>
        <w:ind w:firstLine="640"/>
        <w:jc w:val="both"/>
      </w:pPr>
      <w:r>
        <w:rPr>
          <w:rFonts w:ascii="仿宋_GB2312" w:hAnsi="仿宋_GB2312" w:eastAsia="仿宋_GB2312"/>
          <w:sz w:val="32"/>
        </w:rPr>
        <w:t>单位无下属预算单位，下设2个科室，分别是：非物质文化遗产保护中心、财务室。</w:t>
      </w:r>
    </w:p>
    <w:p w14:paraId="767A94CE">
      <w:r>
        <w:br w:type="page"/>
      </w:r>
    </w:p>
    <w:p w14:paraId="3DD482B8">
      <w:pPr>
        <w:spacing w:line="240" w:lineRule="auto"/>
        <w:jc w:val="center"/>
        <w:outlineLvl w:val="1"/>
      </w:pPr>
      <w:r>
        <w:rPr>
          <w:rFonts w:ascii="黑体" w:hAnsi="黑体" w:eastAsia="黑体"/>
          <w:sz w:val="32"/>
        </w:rPr>
        <w:t>第二部分 部门决算情况说明</w:t>
      </w:r>
    </w:p>
    <w:p w14:paraId="375D18D7">
      <w:pPr>
        <w:spacing w:line="640" w:lineRule="exact"/>
        <w:ind w:firstLine="640"/>
        <w:jc w:val="both"/>
        <w:outlineLvl w:val="2"/>
      </w:pPr>
      <w:r>
        <w:rPr>
          <w:rFonts w:ascii="黑体" w:hAnsi="黑体" w:eastAsia="黑体"/>
          <w:sz w:val="32"/>
        </w:rPr>
        <w:t>一、收入支出决算总体情况说明</w:t>
      </w:r>
    </w:p>
    <w:p w14:paraId="3F4E3918">
      <w:pPr>
        <w:spacing w:line="580" w:lineRule="exact"/>
        <w:ind w:firstLine="640"/>
        <w:jc w:val="both"/>
      </w:pPr>
      <w:r>
        <w:rPr>
          <w:rFonts w:ascii="仿宋_GB2312" w:hAnsi="仿宋_GB2312" w:eastAsia="仿宋_GB2312"/>
          <w:b/>
          <w:sz w:val="32"/>
        </w:rPr>
        <w:t>2024年度收入总计313.32万元，</w:t>
      </w:r>
      <w:r>
        <w:rPr>
          <w:rFonts w:ascii="仿宋_GB2312" w:hAnsi="仿宋_GB2312" w:eastAsia="仿宋_GB2312"/>
          <w:b w:val="0"/>
          <w:sz w:val="32"/>
        </w:rPr>
        <w:t>其中：本年收入合计313.32万元，使用非财政拨款结余（含专用结余）0.00万元，年初结转和结余0.00万元。</w:t>
      </w:r>
    </w:p>
    <w:p w14:paraId="2D909F73">
      <w:pPr>
        <w:spacing w:line="580" w:lineRule="exact"/>
        <w:ind w:firstLine="640"/>
        <w:jc w:val="both"/>
      </w:pPr>
      <w:r>
        <w:rPr>
          <w:rFonts w:ascii="仿宋_GB2312" w:hAnsi="仿宋_GB2312" w:eastAsia="仿宋_GB2312"/>
          <w:b/>
          <w:sz w:val="32"/>
        </w:rPr>
        <w:t>2024年度支出总计313.32万元，</w:t>
      </w:r>
      <w:r>
        <w:rPr>
          <w:rFonts w:ascii="仿宋_GB2312" w:hAnsi="仿宋_GB2312" w:eastAsia="仿宋_GB2312"/>
          <w:b w:val="0"/>
          <w:sz w:val="32"/>
        </w:rPr>
        <w:t>其中：本年支出合计313.32万元，结余分配0.00万元，年末结转和结余0.00万元。</w:t>
      </w:r>
    </w:p>
    <w:p w14:paraId="52B160E6">
      <w:pPr>
        <w:spacing w:line="580" w:lineRule="exact"/>
        <w:ind w:firstLine="640"/>
        <w:jc w:val="both"/>
      </w:pPr>
      <w:r>
        <w:rPr>
          <w:rFonts w:ascii="仿宋_GB2312" w:hAnsi="仿宋_GB2312" w:eastAsia="仿宋_GB2312"/>
          <w:b w:val="0"/>
          <w:sz w:val="32"/>
        </w:rPr>
        <w:t>收入支出总体与上年相比，增加37.10万元，增长13.43%，主要原因是：1.本年在职人员工资调增，社保、公积金基数调增，人员经费增加。2.本年2024年国家级非物质文化遗产保护专项资金（塔吉克族婚俗）、2024年中央文化人才专项经费、2024年中央支持地方公共文化服务体系建设补助资金《中国（新疆）民间艺术季开幕式演出及系列竞赛，展演》项目，2024年自治区彩票公益金支持文化和旅游志愿者服务项目，2024年自治区非物质文化遗产保护《肖贡巴哈尔节》等项目资金较上年增加。</w:t>
      </w:r>
    </w:p>
    <w:p w14:paraId="4A786524">
      <w:pPr>
        <w:spacing w:line="640" w:lineRule="exact"/>
        <w:ind w:firstLine="640"/>
        <w:jc w:val="both"/>
        <w:outlineLvl w:val="2"/>
      </w:pPr>
      <w:r>
        <w:rPr>
          <w:rFonts w:ascii="黑体" w:hAnsi="黑体" w:eastAsia="黑体"/>
          <w:sz w:val="32"/>
        </w:rPr>
        <w:t>二、收入决算情况说明</w:t>
      </w:r>
    </w:p>
    <w:p w14:paraId="4FEE2A16">
      <w:pPr>
        <w:spacing w:line="580" w:lineRule="exact"/>
        <w:ind w:firstLine="640"/>
        <w:jc w:val="both"/>
      </w:pPr>
      <w:r>
        <w:rPr>
          <w:rFonts w:ascii="仿宋_GB2312" w:hAnsi="仿宋_GB2312" w:eastAsia="仿宋_GB2312"/>
          <w:b/>
          <w:sz w:val="32"/>
        </w:rPr>
        <w:t>本年收入313.32万元，</w:t>
      </w:r>
      <w:r>
        <w:rPr>
          <w:rFonts w:ascii="仿宋_GB2312" w:hAnsi="仿宋_GB2312" w:eastAsia="仿宋_GB2312"/>
          <w:b w:val="0"/>
          <w:sz w:val="32"/>
        </w:rPr>
        <w:t>其中：财政拨款收入313.32万元，占100.00%；上级补助收入0.00万元，占0.00%；事业收入0.00万元，占0.00%；经营收入0.00万元，占0.00%；附属单位上缴收入0.00万元，占0.00%；其他收入0.00万元，占0.00%。</w:t>
      </w:r>
    </w:p>
    <w:p w14:paraId="157392D7">
      <w:pPr>
        <w:spacing w:line="640" w:lineRule="exact"/>
        <w:ind w:firstLine="640"/>
        <w:jc w:val="both"/>
        <w:outlineLvl w:val="2"/>
      </w:pPr>
      <w:r>
        <w:rPr>
          <w:rFonts w:ascii="黑体" w:hAnsi="黑体" w:eastAsia="黑体"/>
          <w:sz w:val="32"/>
        </w:rPr>
        <w:t>三、支出决算情况说明</w:t>
      </w:r>
    </w:p>
    <w:p w14:paraId="51C84DFD">
      <w:pPr>
        <w:spacing w:line="580" w:lineRule="exact"/>
        <w:ind w:firstLine="640"/>
        <w:jc w:val="both"/>
      </w:pPr>
      <w:r>
        <w:rPr>
          <w:rFonts w:ascii="仿宋_GB2312" w:hAnsi="仿宋_GB2312" w:eastAsia="仿宋_GB2312"/>
          <w:b/>
          <w:sz w:val="32"/>
        </w:rPr>
        <w:t>本年支出313.32万元，</w:t>
      </w:r>
      <w:r>
        <w:rPr>
          <w:rFonts w:ascii="仿宋_GB2312" w:hAnsi="仿宋_GB2312" w:eastAsia="仿宋_GB2312"/>
          <w:b w:val="0"/>
          <w:sz w:val="32"/>
        </w:rPr>
        <w:t>其中：基本支出198.40万元，占63.32%；项目支出114.91万元，占36.67%；上缴上级支出0.00万元，占0.00%；经营支出0.00万元，占0.00%；对附属单位补助支出0.00万元，占0.00%。</w:t>
      </w:r>
    </w:p>
    <w:p w14:paraId="48F60465">
      <w:pPr>
        <w:spacing w:line="640" w:lineRule="exact"/>
        <w:ind w:firstLine="640"/>
        <w:jc w:val="both"/>
        <w:outlineLvl w:val="2"/>
      </w:pPr>
      <w:r>
        <w:rPr>
          <w:rFonts w:ascii="黑体" w:hAnsi="黑体" w:eastAsia="黑体"/>
          <w:sz w:val="32"/>
        </w:rPr>
        <w:t>四、财政拨款收入支出决算总体情况说明</w:t>
      </w:r>
    </w:p>
    <w:p w14:paraId="469314A7">
      <w:pPr>
        <w:spacing w:line="580" w:lineRule="exact"/>
        <w:ind w:firstLine="640"/>
        <w:jc w:val="both"/>
      </w:pPr>
      <w:r>
        <w:rPr>
          <w:rFonts w:ascii="仿宋_GB2312" w:hAnsi="仿宋_GB2312" w:eastAsia="仿宋_GB2312"/>
          <w:b/>
          <w:sz w:val="32"/>
        </w:rPr>
        <w:t>2024年度财政拨款收入总计313.32万元，</w:t>
      </w:r>
      <w:r>
        <w:rPr>
          <w:rFonts w:ascii="仿宋_GB2312" w:hAnsi="仿宋_GB2312" w:eastAsia="仿宋_GB2312"/>
          <w:b w:val="0"/>
          <w:sz w:val="32"/>
        </w:rPr>
        <w:t>其中：年初财政拨款结转和结余0.00万元，本年财政拨款收入313.32万元。</w:t>
      </w:r>
      <w:r>
        <w:rPr>
          <w:rFonts w:ascii="仿宋_GB2312" w:hAnsi="仿宋_GB2312" w:eastAsia="仿宋_GB2312"/>
          <w:b/>
          <w:sz w:val="32"/>
        </w:rPr>
        <w:t>财政拨款支出总计313.32万元，</w:t>
      </w:r>
      <w:r>
        <w:rPr>
          <w:rFonts w:ascii="仿宋_GB2312" w:hAnsi="仿宋_GB2312" w:eastAsia="仿宋_GB2312"/>
          <w:b w:val="0"/>
          <w:sz w:val="32"/>
        </w:rPr>
        <w:t>其中：年末财政拨款结转和结余0.00万元，本年财政拨款支出313.32万元。</w:t>
      </w:r>
    </w:p>
    <w:p w14:paraId="6C3DFD3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37.10万元，增长13.43%，主要原因是：1.本年在职人员工资调增，社保、公积金基数调增，人员经费增加。2.本年2024年国家级非物质文化遗产保护专项资金（塔吉克族婚俗）、2024年中央文化人才专项经费、2024年中央支持地方公共文化服务体系建设补助资金《中国（新疆）民间艺术季开幕式演出及系列竞赛，展演》项目，2024年自治区彩票公益金支持文化和旅游志愿者服务项目，2024年自治区非物质文化遗产保护《肖贡巴哈尔节》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294.49万元，决算数313.32万元，预决算差异率6.39%，主要原因是：年中追加2024年国家级非物质文化遗产保护专项资金（塔吉克族婚俗）、2024年中央文化人才专项经费、2024年中央支持地方公共文化服务体系建设补助资金《中国（新疆）民间艺术季开幕式演出及系列竞赛，展演》项目、文化和旅游志愿服务项目等</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1F74C90F">
      <w:pPr>
        <w:spacing w:line="640" w:lineRule="exact"/>
        <w:ind w:firstLine="640"/>
        <w:jc w:val="both"/>
        <w:outlineLvl w:val="2"/>
      </w:pPr>
      <w:r>
        <w:rPr>
          <w:rFonts w:ascii="黑体" w:hAnsi="黑体" w:eastAsia="黑体"/>
          <w:sz w:val="32"/>
        </w:rPr>
        <w:t>五、一般公共预算财政拨款支出决算情况说明</w:t>
      </w:r>
    </w:p>
    <w:p w14:paraId="4182F629">
      <w:pPr>
        <w:spacing w:line="640" w:lineRule="exact"/>
        <w:ind w:firstLine="640"/>
        <w:jc w:val="both"/>
        <w:outlineLvl w:val="3"/>
      </w:pPr>
      <w:r>
        <w:rPr>
          <w:rFonts w:ascii="楷体_GB2312" w:hAnsi="楷体_GB2312" w:eastAsia="楷体_GB2312"/>
          <w:b/>
          <w:sz w:val="32"/>
        </w:rPr>
        <w:t>（一）一般公共预算财政拨款支出决算总体情况</w:t>
      </w:r>
    </w:p>
    <w:p w14:paraId="35FF0B6F">
      <w:pPr>
        <w:spacing w:line="580" w:lineRule="exact"/>
        <w:ind w:firstLine="640"/>
        <w:jc w:val="both"/>
      </w:pPr>
      <w:r>
        <w:rPr>
          <w:rFonts w:ascii="仿宋_GB2312" w:hAnsi="仿宋_GB2312" w:eastAsia="仿宋_GB2312"/>
          <w:b/>
          <w:sz w:val="32"/>
        </w:rPr>
        <w:t>2024年度一般公共预算财政拨款支出312.32万元，</w:t>
      </w:r>
      <w:r>
        <w:rPr>
          <w:rFonts w:ascii="仿宋_GB2312" w:hAnsi="仿宋_GB2312" w:eastAsia="仿宋_GB2312"/>
          <w:b w:val="0"/>
          <w:sz w:val="32"/>
        </w:rPr>
        <w:t>占本年支出合计的99.68%。</w:t>
      </w:r>
      <w:r>
        <w:rPr>
          <w:rFonts w:ascii="仿宋_GB2312" w:hAnsi="仿宋_GB2312" w:eastAsia="仿宋_GB2312"/>
          <w:b/>
          <w:sz w:val="32"/>
        </w:rPr>
        <w:t>与上年相比，</w:t>
      </w:r>
      <w:r>
        <w:rPr>
          <w:rFonts w:ascii="仿宋_GB2312" w:hAnsi="仿宋_GB2312" w:eastAsia="仿宋_GB2312"/>
          <w:b w:val="0"/>
          <w:sz w:val="32"/>
        </w:rPr>
        <w:t>增加36.60万元，增长13.27%，主要原因是：1.本年在职人员工资调增，社保、公积金基数调增，人员经费增加。2.本年2024年国家级非物质文化遗产保护专项资金（塔吉克族婚俗）、2024年中央文化人才专项经费、2024年中央支持地方公共文化服务体系建设补助资金《中国（新疆）民间艺术季开幕式演出及系列竞赛，展演》项目等。</w:t>
      </w:r>
      <w:r>
        <w:rPr>
          <w:rFonts w:ascii="仿宋_GB2312" w:hAnsi="仿宋_GB2312" w:eastAsia="仿宋_GB2312"/>
          <w:b/>
          <w:sz w:val="32"/>
        </w:rPr>
        <w:t>与年初预算相比,</w:t>
      </w:r>
      <w:r>
        <w:rPr>
          <w:rFonts w:ascii="仿宋_GB2312" w:hAnsi="仿宋_GB2312" w:eastAsia="仿宋_GB2312"/>
          <w:b w:val="0"/>
          <w:sz w:val="32"/>
        </w:rPr>
        <w:t>年初预算数294.49万元，决算数312.32万元，预决算差异率6.05%，主要原因是：年中追加2024年国家级非物质文化遗产保护专项资金（塔吉克族婚俗）、2024年中央文化人才专项经费、2024年中央支持地方公共文化服务体系建设补助资金《中国（新疆）民间艺术季开幕式演出及系列竞赛，展演》项目等</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0ACE7774">
      <w:pPr>
        <w:spacing w:line="640" w:lineRule="exact"/>
        <w:ind w:firstLine="640"/>
        <w:jc w:val="both"/>
        <w:outlineLvl w:val="3"/>
      </w:pPr>
      <w:r>
        <w:rPr>
          <w:rFonts w:ascii="楷体_GB2312" w:hAnsi="楷体_GB2312" w:eastAsia="楷体_GB2312"/>
          <w:b/>
          <w:sz w:val="32"/>
        </w:rPr>
        <w:t>（二）一般公共预算财政拨款支出决算结构情况</w:t>
      </w:r>
    </w:p>
    <w:p w14:paraId="3F536AAC">
      <w:pPr>
        <w:spacing w:line="580" w:lineRule="exact"/>
        <w:ind w:firstLine="640"/>
        <w:jc w:val="both"/>
      </w:pPr>
      <w:r>
        <w:rPr>
          <w:rFonts w:ascii="仿宋_GB2312" w:hAnsi="仿宋_GB2312" w:eastAsia="仿宋_GB2312"/>
          <w:b w:val="0"/>
          <w:sz w:val="32"/>
        </w:rPr>
        <w:t>1.文化旅游体育与传媒支出(类)213.82万元,占68.46%。</w:t>
      </w:r>
    </w:p>
    <w:p w14:paraId="445178AB">
      <w:pPr>
        <w:spacing w:line="580" w:lineRule="exact"/>
        <w:ind w:firstLine="640"/>
        <w:jc w:val="both"/>
      </w:pPr>
      <w:r>
        <w:rPr>
          <w:rFonts w:ascii="仿宋_GB2312" w:hAnsi="仿宋_GB2312" w:eastAsia="仿宋_GB2312"/>
          <w:b w:val="0"/>
          <w:sz w:val="32"/>
        </w:rPr>
        <w:t>2.社会保障和就业支出(类)79.32万元,占25.40%。</w:t>
      </w:r>
    </w:p>
    <w:p w14:paraId="622FAD15">
      <w:pPr>
        <w:spacing w:line="580" w:lineRule="exact"/>
        <w:ind w:firstLine="640"/>
        <w:jc w:val="both"/>
      </w:pPr>
      <w:r>
        <w:rPr>
          <w:rFonts w:ascii="仿宋_GB2312" w:hAnsi="仿宋_GB2312" w:eastAsia="仿宋_GB2312"/>
          <w:b w:val="0"/>
          <w:sz w:val="32"/>
        </w:rPr>
        <w:t>3.卫生健康支出(类)6.37万元,占2.04%。</w:t>
      </w:r>
    </w:p>
    <w:p w14:paraId="50A3EC75">
      <w:pPr>
        <w:spacing w:line="580" w:lineRule="exact"/>
        <w:ind w:firstLine="640"/>
        <w:jc w:val="both"/>
      </w:pPr>
      <w:r>
        <w:rPr>
          <w:rFonts w:ascii="仿宋_GB2312" w:hAnsi="仿宋_GB2312" w:eastAsia="仿宋_GB2312"/>
          <w:b w:val="0"/>
          <w:sz w:val="32"/>
        </w:rPr>
        <w:t>4.住房保障支出(类)12.80万元,占4.10%。</w:t>
      </w:r>
    </w:p>
    <w:p w14:paraId="7551AC4C">
      <w:pPr>
        <w:spacing w:line="640" w:lineRule="exact"/>
        <w:ind w:firstLine="640"/>
        <w:jc w:val="both"/>
        <w:outlineLvl w:val="3"/>
      </w:pPr>
      <w:r>
        <w:rPr>
          <w:rFonts w:ascii="楷体_GB2312" w:hAnsi="楷体_GB2312" w:eastAsia="楷体_GB2312"/>
          <w:b/>
          <w:sz w:val="32"/>
        </w:rPr>
        <w:t>（三）一般公共预算财政拨款支出决算具体情况</w:t>
      </w:r>
    </w:p>
    <w:p w14:paraId="7BB0D59E">
      <w:pPr>
        <w:spacing w:line="580" w:lineRule="exact"/>
        <w:ind w:firstLine="640"/>
        <w:jc w:val="both"/>
      </w:pPr>
      <w:r>
        <w:rPr>
          <w:rFonts w:ascii="仿宋_GB2312" w:hAnsi="仿宋_GB2312" w:eastAsia="仿宋_GB2312"/>
          <w:b w:val="0"/>
          <w:sz w:val="32"/>
        </w:rPr>
        <w:t>1.文化旅游体育与传媒支出(类)文化和旅游(款)群众文化(项):支出决算数为121.33万元，比上年决算减少57.09万元，下降32.00%,主要原因是：减少乡镇文化站人员经费。</w:t>
      </w:r>
    </w:p>
    <w:p w14:paraId="3A87557A">
      <w:pPr>
        <w:spacing w:line="580" w:lineRule="exact"/>
        <w:ind w:firstLine="640"/>
        <w:jc w:val="both"/>
      </w:pPr>
      <w:r>
        <w:rPr>
          <w:rFonts w:ascii="仿宋_GB2312" w:hAnsi="仿宋_GB2312" w:eastAsia="仿宋_GB2312"/>
          <w:b w:val="0"/>
          <w:sz w:val="32"/>
        </w:rPr>
        <w:t>2.文化旅游体育与传媒支出(类)文化和旅游(款)文化创作与保护(项):支出决算数为72.49万元，比上年决算增加70.89万元，增长4,430.62%,主要原因是：增加国家级非物质文化遗产保护专项资金（塔吉克族婚俗）。</w:t>
      </w:r>
    </w:p>
    <w:p w14:paraId="0518E2FF">
      <w:pPr>
        <w:spacing w:line="580" w:lineRule="exact"/>
        <w:ind w:firstLine="640"/>
        <w:jc w:val="both"/>
      </w:pPr>
      <w:r>
        <w:rPr>
          <w:rFonts w:ascii="仿宋_GB2312" w:hAnsi="仿宋_GB2312" w:eastAsia="仿宋_GB2312"/>
          <w:b w:val="0"/>
          <w:sz w:val="32"/>
        </w:rPr>
        <w:t>3.文化旅游体育与传媒支出(类)文化和旅游(款)其他文化和旅游支出(项):支出决算数为12.00万元，比上年决算增加8.00万元，增长200.00%,主要原因是：美术馆、公共图书馆、文化馆（站）免费开放补助项目资金较上年增加。</w:t>
      </w:r>
    </w:p>
    <w:p w14:paraId="415D104F">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8.00万元，比上年决算增加3.00万元，增长60.00%,主要原因是：美术馆、公共图书馆、文化馆（站）免费开放补助项目资金较上年增加。</w:t>
      </w:r>
    </w:p>
    <w:p w14:paraId="2EE83F67">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5.社会保障和就业支出(类)行政事业单位养老支出(款)事业单位离退休(项):支出决算数为20.93万元，比上年决算增加7.79万元，增长59.28%,主要原因是：本年增加退休人员基础绩效奖，退休费支出增加。</w:t>
      </w:r>
    </w:p>
    <w:p w14:paraId="06F02054">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15.00万元，比上年决算增加1.90万元，增长14.50%,主要原因是：本年在职人员工资基数调增，养老缴费基数上涨，相应支出增加。</w:t>
      </w:r>
    </w:p>
    <w:p w14:paraId="7B88E813">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7.社会保障和就业支出(类)行政事业单位养老支出(款)机关事业单位职业年金缴费支出(项):支出决算数为17.33万元，比上年决算增加9.18万元，增长112.64%,主要原因是：本年新增调出人员，职业年金缴费支出增加。</w:t>
      </w:r>
    </w:p>
    <w:p w14:paraId="246E6EAD">
      <w:pPr>
        <w:spacing w:line="580" w:lineRule="exact"/>
        <w:ind w:firstLine="640"/>
        <w:jc w:val="both"/>
      </w:pPr>
      <w:r>
        <w:rPr>
          <w:rFonts w:ascii="仿宋_GB2312" w:hAnsi="仿宋_GB2312" w:eastAsia="仿宋_GB2312"/>
          <w:b w:val="0"/>
          <w:sz w:val="32"/>
        </w:rPr>
        <w:t>8.社会保障和就业支出(类)抚恤(款)死亡抚恤(项):支出决算数为26.07万元，比上年决算增加1.41万元，增长5.72%,主要原因是：本年增加死亡人员，抚恤金增加。</w:t>
      </w:r>
    </w:p>
    <w:p w14:paraId="5525EE7E">
      <w:pPr>
        <w:spacing w:line="580" w:lineRule="exact"/>
        <w:ind w:firstLine="640"/>
        <w:jc w:val="both"/>
      </w:pPr>
      <w:r>
        <w:rPr>
          <w:rFonts w:ascii="仿宋_GB2312" w:hAnsi="仿宋_GB2312" w:eastAsia="仿宋_GB2312"/>
          <w:b w:val="0"/>
          <w:sz w:val="32"/>
        </w:rPr>
        <w:t>9.卫生健康支出(类)行政事业单位医疗(款)事业单位医疗(项):支出决算数为6.37万元，比上年决算减少9.88万元，下降60.80%,主要原因是：因退休人员医疗保险制度改革，退休人员基本医疗不再由单位缴纳，导致经费较上年减少。</w:t>
      </w:r>
    </w:p>
    <w:p w14:paraId="12CED418">
      <w:pPr>
        <w:spacing w:line="580" w:lineRule="exact"/>
        <w:ind w:firstLine="640"/>
        <w:jc w:val="both"/>
      </w:pPr>
      <w:r>
        <w:rPr>
          <w:rFonts w:ascii="仿宋_GB2312" w:hAnsi="仿宋_GB2312" w:eastAsia="仿宋_GB2312"/>
          <w:b w:val="0"/>
          <w:sz w:val="32"/>
        </w:rPr>
        <w:t>10.住房保障支出(类)住房改革支出(款)住房公积金(项):支出决算数为12.80万元，比上年决算增加1.39万元，增长12.18%,主要原因是：本年在职人员工资基数调增，公积金缴费基数上涨，相应支出增加。</w:t>
      </w:r>
    </w:p>
    <w:p w14:paraId="392A10C9">
      <w:pPr>
        <w:spacing w:line="640" w:lineRule="exact"/>
        <w:ind w:firstLine="640"/>
        <w:jc w:val="both"/>
        <w:outlineLvl w:val="2"/>
      </w:pPr>
      <w:r>
        <w:rPr>
          <w:rFonts w:ascii="黑体" w:hAnsi="黑体" w:eastAsia="黑体"/>
          <w:sz w:val="32"/>
        </w:rPr>
        <w:t>六、一般公共预算财政拨款基本支出决算情况说明</w:t>
      </w:r>
    </w:p>
    <w:p w14:paraId="3CE61489">
      <w:pPr>
        <w:spacing w:line="580" w:lineRule="exact"/>
        <w:ind w:firstLine="640"/>
        <w:jc w:val="both"/>
      </w:pPr>
      <w:r>
        <w:rPr>
          <w:rFonts w:ascii="仿宋_GB2312" w:hAnsi="仿宋_GB2312" w:eastAsia="仿宋_GB2312"/>
          <w:b w:val="0"/>
          <w:sz w:val="32"/>
        </w:rPr>
        <w:t>2024年度一般公共预算财政拨款基本支出198.40万元，其中：</w:t>
      </w:r>
      <w:r>
        <w:rPr>
          <w:rFonts w:ascii="仿宋_GB2312" w:hAnsi="仿宋_GB2312" w:eastAsia="仿宋_GB2312"/>
          <w:b/>
          <w:sz w:val="32"/>
        </w:rPr>
        <w:t>人员经费193.41万元，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0043C519">
      <w:pPr>
        <w:spacing w:line="580" w:lineRule="exact"/>
        <w:ind w:firstLine="640"/>
        <w:jc w:val="both"/>
      </w:pPr>
      <w:r>
        <w:rPr>
          <w:rFonts w:ascii="仿宋_GB2312" w:hAnsi="仿宋_GB2312" w:eastAsia="仿宋_GB2312"/>
          <w:b/>
          <w:sz w:val="32"/>
        </w:rPr>
        <w:t>公用经费4.99万元，</w:t>
      </w:r>
      <w:r>
        <w:rPr>
          <w:rFonts w:ascii="仿宋_GB2312" w:hAnsi="仿宋_GB2312" w:eastAsia="仿宋_GB2312"/>
          <w:b w:val="0"/>
          <w:sz w:val="32"/>
        </w:rPr>
        <w:t>包括：办公费、水费、电费、邮电费、差旅费、公务用车运行维护费、其他商品和服务支出。</w:t>
      </w:r>
    </w:p>
    <w:p w14:paraId="0A8FE53B">
      <w:pPr>
        <w:spacing w:line="640" w:lineRule="exact"/>
        <w:ind w:firstLine="640"/>
        <w:jc w:val="both"/>
        <w:outlineLvl w:val="2"/>
      </w:pPr>
      <w:r>
        <w:rPr>
          <w:rFonts w:ascii="黑体" w:hAnsi="黑体" w:eastAsia="黑体"/>
          <w:sz w:val="32"/>
        </w:rPr>
        <w:t>七、政府性基金预算财政拨款收入支出决算情况说明</w:t>
      </w:r>
    </w:p>
    <w:p w14:paraId="6A881C31">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70E6359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增加0.50万元，增长100.00%，主要原因是：增加文化和旅游志愿服务项目。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年初预算数0.00万元，决算数1.00万元，预决算差异率100.00%，主要原因是：年中追加增加文化和旅游志愿服务项目。</w:t>
      </w:r>
    </w:p>
    <w:p w14:paraId="54DF0195">
      <w:pPr>
        <w:spacing w:line="580" w:lineRule="exact"/>
        <w:ind w:firstLine="640"/>
        <w:jc w:val="both"/>
      </w:pPr>
      <w:r>
        <w:rPr>
          <w:rFonts w:ascii="仿宋_GB2312" w:hAnsi="仿宋_GB2312" w:eastAsia="仿宋_GB2312"/>
          <w:b w:val="0"/>
          <w:sz w:val="32"/>
        </w:rPr>
        <w:t>政府性基金预算财政拨款支出1.00万元。</w:t>
      </w:r>
    </w:p>
    <w:p w14:paraId="64B66F1E">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1.其他支出(类)彩票公益金安排的支出(款)用于文化事业的彩票公益金支出(项):支出决算数为1.00万元，比上年决算增加0.50万元，增长100.00%,主要原因是：增加文化和旅游志愿服务项目。</w:t>
      </w:r>
    </w:p>
    <w:p w14:paraId="2ADE318E">
      <w:pPr>
        <w:spacing w:line="640" w:lineRule="exact"/>
        <w:ind w:firstLine="640"/>
        <w:jc w:val="both"/>
        <w:outlineLvl w:val="2"/>
      </w:pPr>
      <w:r>
        <w:rPr>
          <w:rFonts w:ascii="黑体" w:hAnsi="黑体" w:eastAsia="黑体"/>
          <w:sz w:val="32"/>
        </w:rPr>
        <w:t>八、国有资本经营预算财政拨款收入支出决算情况说明</w:t>
      </w:r>
    </w:p>
    <w:p w14:paraId="0A4D6A0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C114B36">
      <w:pPr>
        <w:spacing w:line="640" w:lineRule="exact"/>
        <w:ind w:firstLine="640"/>
        <w:jc w:val="both"/>
        <w:outlineLvl w:val="2"/>
      </w:pPr>
      <w:r>
        <w:rPr>
          <w:rFonts w:ascii="黑体" w:hAnsi="黑体" w:eastAsia="黑体"/>
          <w:sz w:val="32"/>
        </w:rPr>
        <w:t>九、财政拨款“三公”经费支出决算情况说明</w:t>
      </w:r>
    </w:p>
    <w:p w14:paraId="3824032E">
      <w:pPr>
        <w:spacing w:line="580" w:lineRule="exact"/>
        <w:ind w:firstLine="640"/>
        <w:jc w:val="both"/>
      </w:pPr>
      <w:r>
        <w:rPr>
          <w:rFonts w:ascii="仿宋_GB2312" w:hAnsi="仿宋_GB2312" w:eastAsia="仿宋_GB2312"/>
          <w:b/>
          <w:sz w:val="32"/>
        </w:rPr>
        <w:t>2024年度财政拨款“三公”经费支出2.60万元，</w:t>
      </w:r>
      <w:r>
        <w:rPr>
          <w:rFonts w:ascii="仿宋_GB2312" w:hAnsi="仿宋_GB2312" w:eastAsia="仿宋_GB2312"/>
          <w:b w:val="0"/>
          <w:sz w:val="32"/>
        </w:rPr>
        <w:t>比上年增加0.60万元，增长30.00%，主要原因是：本年度文化馆下乡文艺活动次数多，车辆加油费及维修费增加。其中：因公出国（境）费支出0.00万元，占0.00%，比上年增加0.00万元，增长0.00%，主要原因是：2023年与2024年均未安排因公出国（境）费支出。公务用车购置及运行维护费支出2.60万元，占100.00%，比上年增加0.60万元，增长30.00%，主要原因是：本年度文化馆下乡文艺活动次数多，车辆加油费及维修费增加。公务接待费支出0.00万元，占0.00%，比上年增加0.00万元，增长0.00%，主要原因是：2023年与2024年均未安排公务接待费支出。</w:t>
      </w:r>
    </w:p>
    <w:p w14:paraId="07A664FD">
      <w:pPr>
        <w:spacing w:line="580" w:lineRule="exact"/>
        <w:ind w:firstLine="640"/>
        <w:jc w:val="both"/>
      </w:pPr>
      <w:r>
        <w:rPr>
          <w:rFonts w:ascii="仿宋_GB2312" w:hAnsi="仿宋_GB2312" w:eastAsia="仿宋_GB2312"/>
          <w:b/>
          <w:sz w:val="32"/>
        </w:rPr>
        <w:t>具体情况如下：</w:t>
      </w:r>
    </w:p>
    <w:p w14:paraId="26BEC10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A5AF9F">
      <w:pPr>
        <w:spacing w:line="580" w:lineRule="exact"/>
        <w:ind w:firstLine="640"/>
        <w:jc w:val="both"/>
      </w:pPr>
      <w:r>
        <w:rPr>
          <w:rFonts w:ascii="仿宋_GB2312" w:hAnsi="仿宋_GB2312" w:eastAsia="仿宋_GB2312"/>
          <w:b w:val="0"/>
          <w:sz w:val="32"/>
        </w:rPr>
        <w:t>公务用车购置及运行维护费2.60万元，其中：公务用车购置费0.00万元，公务用车运行维护费2.60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0B2C5A0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0C881E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2.60万元，决算数2.60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2.60万元，决算数2.60万元，预决算差异率0.00%，主要原因是：严格按照预算执行，预决算无差异。公务接待费全年预算数0.00万元，决算数0.00万元，预决算差异率0.00%，主要原因是：本单位无公务接待费。</w:t>
      </w:r>
    </w:p>
    <w:p w14:paraId="698AD54C">
      <w:pPr>
        <w:spacing w:line="640" w:lineRule="exact"/>
        <w:ind w:firstLine="640"/>
        <w:jc w:val="both"/>
        <w:outlineLvl w:val="2"/>
      </w:pPr>
      <w:r>
        <w:rPr>
          <w:rFonts w:ascii="黑体" w:hAnsi="黑体" w:eastAsia="黑体"/>
          <w:sz w:val="32"/>
        </w:rPr>
        <w:t>十、其他重要事项的情况说明</w:t>
      </w:r>
    </w:p>
    <w:p w14:paraId="507705F0">
      <w:pPr>
        <w:spacing w:line="640" w:lineRule="exact"/>
        <w:ind w:firstLine="640"/>
        <w:jc w:val="both"/>
        <w:outlineLvl w:val="3"/>
      </w:pPr>
      <w:r>
        <w:rPr>
          <w:rFonts w:ascii="楷体_GB2312" w:hAnsi="楷体_GB2312" w:eastAsia="楷体_GB2312"/>
          <w:b/>
          <w:sz w:val="32"/>
        </w:rPr>
        <w:t>（一）机关运行经费及公用经费支出情况</w:t>
      </w:r>
    </w:p>
    <w:p w14:paraId="55D3E382">
      <w:pPr>
        <w:spacing w:line="580" w:lineRule="exact"/>
        <w:ind w:firstLine="640"/>
        <w:jc w:val="both"/>
      </w:pPr>
      <w:r>
        <w:rPr>
          <w:rFonts w:ascii="仿宋_GB2312" w:hAnsi="仿宋_GB2312" w:eastAsia="仿宋_GB2312"/>
          <w:b w:val="0"/>
          <w:sz w:val="32"/>
        </w:rPr>
        <w:t>2024年度塔什库尔干塔吉克自治县文化馆（事业单位）公用经费支出4.99万元，比上年减少0.46万元，下降8.44%，主要原因是：严格控制公用经费，合理节约办公用品，减少不必要开支。</w:t>
      </w:r>
    </w:p>
    <w:p w14:paraId="47AF13E7">
      <w:pPr>
        <w:spacing w:line="640" w:lineRule="exact"/>
        <w:ind w:firstLine="640"/>
        <w:jc w:val="both"/>
        <w:outlineLvl w:val="3"/>
      </w:pPr>
      <w:r>
        <w:rPr>
          <w:rFonts w:ascii="楷体_GB2312" w:hAnsi="楷体_GB2312" w:eastAsia="楷体_GB2312"/>
          <w:b/>
          <w:sz w:val="32"/>
        </w:rPr>
        <w:t>（二）政府采购情况</w:t>
      </w:r>
    </w:p>
    <w:p w14:paraId="7D0B6720">
      <w:pPr>
        <w:spacing w:line="580" w:lineRule="exact"/>
        <w:ind w:firstLine="640"/>
        <w:jc w:val="both"/>
      </w:pPr>
      <w:r>
        <w:rPr>
          <w:rFonts w:ascii="仿宋_GB2312" w:hAnsi="仿宋_GB2312" w:eastAsia="仿宋_GB2312"/>
          <w:b w:val="0"/>
          <w:sz w:val="32"/>
        </w:rPr>
        <w:t>2024年度政府采购支出总额0.55万元，其中：政府采购货物支出0.10万元、政府采购工程支出0.00万元、政府采购服务支出0.45万元。</w:t>
      </w:r>
    </w:p>
    <w:p w14:paraId="1C389D32">
      <w:pPr>
        <w:spacing w:line="580" w:lineRule="exact"/>
        <w:ind w:firstLine="640"/>
        <w:jc w:val="both"/>
      </w:pPr>
      <w:r>
        <w:rPr>
          <w:rFonts w:ascii="仿宋_GB2312" w:hAnsi="仿宋_GB2312" w:eastAsia="仿宋_GB2312"/>
          <w:b w:val="0"/>
          <w:sz w:val="32"/>
        </w:rPr>
        <w:t>授予中小企业合同金额0.53万元，占政府采购支出总额的96.36%，其中：授予小微企业合同金额0.53万元，占政府采购支出总额的96.36%。</w:t>
      </w:r>
    </w:p>
    <w:p w14:paraId="2E5AFB5F">
      <w:pPr>
        <w:spacing w:line="640" w:lineRule="exact"/>
        <w:ind w:firstLine="640"/>
        <w:jc w:val="both"/>
        <w:outlineLvl w:val="3"/>
      </w:pPr>
      <w:r>
        <w:rPr>
          <w:rFonts w:ascii="楷体_GB2312" w:hAnsi="楷体_GB2312" w:eastAsia="楷体_GB2312"/>
          <w:b/>
          <w:sz w:val="32"/>
        </w:rPr>
        <w:t>（三）国有资产占用情况说明</w:t>
      </w:r>
    </w:p>
    <w:p w14:paraId="6E2C9C91">
      <w:pPr>
        <w:spacing w:line="580" w:lineRule="exact"/>
        <w:ind w:firstLine="640"/>
        <w:jc w:val="both"/>
      </w:pPr>
      <w:r>
        <w:rPr>
          <w:rFonts w:ascii="仿宋_GB2312" w:hAnsi="仿宋_GB2312" w:eastAsia="仿宋_GB2312"/>
          <w:b w:val="0"/>
          <w:sz w:val="32"/>
        </w:rPr>
        <w:t>截至2024年12月31日，房屋6,190.00平方米，价值565.39万元。车辆2辆，价值14.18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92CB7A0">
      <w:pPr>
        <w:spacing w:line="640" w:lineRule="exact"/>
        <w:ind w:firstLine="640"/>
        <w:jc w:val="both"/>
        <w:outlineLvl w:val="2"/>
      </w:pPr>
      <w:r>
        <w:rPr>
          <w:rFonts w:ascii="黑体" w:hAnsi="黑体" w:eastAsia="黑体"/>
          <w:sz w:val="32"/>
        </w:rPr>
        <w:t>十一、预算绩效的情况说明</w:t>
      </w:r>
    </w:p>
    <w:p w14:paraId="43D50C5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313.31万元，实际执行总额313.31万元；预算绩效评价项目6个，全年预算数76.84万元，全年执行数76.64万元。预算绩效管理取得的成效：预算绩效管理工作规范化程度显著提高。为切实做好财政预算绩效管理工作，进一步明确职责，规范程序。对预算绩效管理工作包括确定预期绩效目标、实施绩效跟踪监控、进行绩效评价和绩效评价结果应用等内容；遵循“统一领导、统一组织、分工协作、相互配合”的原则，合理划分预算股(预算绩效管理职能股室)和相关业务股室的工作职责；组织指导协调全县预算绩效管理工作，对年度预算绩效管理工作做出整体安排，提出预算年度内预算绩效管理工作规划和工作要求。发现的问题及原因：2024部分业务人员绩效管理意识有待增强，未能全面深入认识理解绩效管理工作的意义。绩效管理经验不足，预算绩效管理工作有待进一步落实。下一步改进措施：一是加强对预算绩效管理的学习，加大绩效工作宣传力度，强化绩效理念。完善绩效指标，提高整体绩效目标质量。提升预算精细化管理水平。二是加强预算绩效目标管理工作。明确预算项目绩效目标编制要求，分类别建立科学合理、细化量化、可比可测预算绩效指标体系，突出结果导向，重点考核实绩。加强绩效业务学习及培训，提高业务人员绩效管理意识，进一步加强预算绩效管理工作，优化项目支出绩效指标体系，完善预算绩效管理制度，有效推动我单位下一年度预算绩效管理工作常态化、规范化。通过强化专业培训、学习考察、业务交流等措施，帮助和促进本单位现有人员提高绩效管理业务水平、实际工作能力。强化预算绩效执行工作，指定专人负责预算执行监督管理，进一步推动预算绩效管理工作。具体附整体支出绩效自评表，项目支出绩效自评表和评价报告。</w:t>
      </w:r>
    </w:p>
    <w:p w14:paraId="6F4A6D1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F6587B">
        <w:tblPrEx>
          <w:tblCellMar>
            <w:top w:w="0" w:type="dxa"/>
            <w:left w:w="108" w:type="dxa"/>
            <w:bottom w:w="0" w:type="dxa"/>
            <w:right w:w="108" w:type="dxa"/>
          </w:tblCellMar>
        </w:tblPrEx>
        <w:tc>
          <w:tcPr>
            <w:tcW w:w="8847" w:type="dxa"/>
            <w:gridSpan w:val="9"/>
            <w:vAlign w:val="center"/>
          </w:tcPr>
          <w:p w14:paraId="7CED74D3">
            <w:pPr>
              <w:jc w:val="center"/>
            </w:pPr>
            <w:r>
              <w:rPr>
                <w:rFonts w:ascii="宋体" w:hAnsi="宋体" w:eastAsia="宋体"/>
                <w:sz w:val="24"/>
              </w:rPr>
              <w:t>单位整体支出绩效自评表</w:t>
            </w:r>
          </w:p>
        </w:tc>
      </w:tr>
      <w:tr w14:paraId="49DDA327">
        <w:tblPrEx>
          <w:tblCellMar>
            <w:top w:w="0" w:type="dxa"/>
            <w:left w:w="108" w:type="dxa"/>
            <w:bottom w:w="0" w:type="dxa"/>
            <w:right w:w="108" w:type="dxa"/>
          </w:tblCellMar>
        </w:tblPrEx>
        <w:tc>
          <w:tcPr>
            <w:tcW w:w="8847" w:type="dxa"/>
            <w:gridSpan w:val="9"/>
            <w:vAlign w:val="center"/>
          </w:tcPr>
          <w:p w14:paraId="5658D0CB">
            <w:pPr>
              <w:jc w:val="center"/>
            </w:pPr>
            <w:r>
              <w:rPr>
                <w:rFonts w:ascii="宋体" w:hAnsi="宋体" w:eastAsia="宋体"/>
                <w:sz w:val="24"/>
              </w:rPr>
              <w:t>（2024年度）</w:t>
            </w:r>
          </w:p>
        </w:tc>
      </w:tr>
      <w:tr w14:paraId="3F0C0C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599B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BD5F9F">
            <w:pPr>
              <w:jc w:val="center"/>
            </w:pPr>
            <w:r>
              <w:rPr>
                <w:rFonts w:ascii="宋体" w:hAnsi="宋体" w:eastAsia="宋体"/>
                <w:sz w:val="16"/>
              </w:rPr>
              <w:t>塔什库尔干塔吉克自治县文化馆</w:t>
            </w:r>
          </w:p>
        </w:tc>
      </w:tr>
      <w:tr w14:paraId="01A5F3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01996">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77B7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80AB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50D0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84EF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2D96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E692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FB0F8">
            <w:pPr>
              <w:jc w:val="center"/>
            </w:pPr>
            <w:r>
              <w:rPr>
                <w:rFonts w:ascii="宋体" w:hAnsi="宋体" w:eastAsia="宋体"/>
                <w:sz w:val="16"/>
              </w:rPr>
              <w:t>得分</w:t>
            </w:r>
          </w:p>
        </w:tc>
      </w:tr>
      <w:tr w14:paraId="7BE40C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C64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7779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A922">
            <w:pPr>
              <w:jc w:val="center"/>
            </w:pPr>
            <w:r>
              <w:rPr>
                <w:rFonts w:ascii="宋体" w:hAnsi="宋体" w:eastAsia="宋体"/>
                <w:sz w:val="16"/>
              </w:rPr>
              <w:t>294.49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0C198">
            <w:pPr>
              <w:jc w:val="center"/>
            </w:pPr>
            <w:r>
              <w:rPr>
                <w:rFonts w:ascii="宋体" w:hAnsi="宋体" w:eastAsia="宋体"/>
                <w:sz w:val="16"/>
              </w:rPr>
              <w:t>313.31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40B27">
            <w:pPr>
              <w:jc w:val="center"/>
            </w:pPr>
            <w:r>
              <w:rPr>
                <w:rFonts w:ascii="宋体" w:hAnsi="宋体" w:eastAsia="宋体"/>
                <w:sz w:val="16"/>
              </w:rPr>
              <w:t>313.31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813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0034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643FE">
            <w:pPr>
              <w:jc w:val="center"/>
            </w:pPr>
            <w:r>
              <w:rPr>
                <w:rFonts w:ascii="宋体" w:hAnsi="宋体" w:eastAsia="宋体"/>
                <w:sz w:val="16"/>
              </w:rPr>
              <w:t>10</w:t>
            </w:r>
          </w:p>
        </w:tc>
      </w:tr>
      <w:tr w14:paraId="6EC0CA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DDC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E2C1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5D4FA">
            <w:pPr>
              <w:jc w:val="center"/>
            </w:pPr>
            <w:r>
              <w:rPr>
                <w:rFonts w:ascii="宋体" w:hAnsi="宋体" w:eastAsia="宋体"/>
                <w:sz w:val="16"/>
              </w:rPr>
              <w:t>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CF517">
            <w:pPr>
              <w:jc w:val="center"/>
            </w:pPr>
            <w:r>
              <w:rPr>
                <w:rFonts w:ascii="宋体" w:hAnsi="宋体" w:eastAsia="宋体"/>
                <w:sz w:val="16"/>
              </w:rPr>
              <w:t>75.51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737F0">
            <w:pPr>
              <w:jc w:val="center"/>
            </w:pPr>
            <w:r>
              <w:rPr>
                <w:rFonts w:ascii="宋体" w:hAnsi="宋体" w:eastAsia="宋体"/>
                <w:sz w:val="16"/>
              </w:rPr>
              <w:t>75.51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EDD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CAA0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A725">
            <w:pPr>
              <w:jc w:val="center"/>
            </w:pPr>
            <w:r>
              <w:rPr>
                <w:rFonts w:ascii="宋体" w:hAnsi="宋体" w:eastAsia="宋体"/>
                <w:sz w:val="16"/>
              </w:rPr>
              <w:t>—</w:t>
            </w:r>
          </w:p>
        </w:tc>
      </w:tr>
      <w:tr w14:paraId="3F743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F10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DE46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404FE">
            <w:pPr>
              <w:jc w:val="center"/>
            </w:pPr>
            <w:r>
              <w:rPr>
                <w:rFonts w:ascii="宋体" w:hAnsi="宋体" w:eastAsia="宋体"/>
                <w:sz w:val="16"/>
              </w:rPr>
              <w:t>261.99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501B4">
            <w:pPr>
              <w:jc w:val="center"/>
            </w:pPr>
            <w:r>
              <w:rPr>
                <w:rFonts w:ascii="宋体" w:hAnsi="宋体" w:eastAsia="宋体"/>
                <w:sz w:val="16"/>
              </w:rPr>
              <w:t>237.80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FD922">
            <w:pPr>
              <w:jc w:val="center"/>
            </w:pPr>
            <w:r>
              <w:rPr>
                <w:rFonts w:ascii="宋体" w:hAnsi="宋体" w:eastAsia="宋体"/>
                <w:sz w:val="16"/>
              </w:rPr>
              <w:t>237.80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4AB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5520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7B9B">
            <w:pPr>
              <w:jc w:val="center"/>
            </w:pPr>
            <w:r>
              <w:rPr>
                <w:rFonts w:ascii="宋体" w:hAnsi="宋体" w:eastAsia="宋体"/>
                <w:sz w:val="16"/>
              </w:rPr>
              <w:t>—</w:t>
            </w:r>
          </w:p>
        </w:tc>
      </w:tr>
      <w:tr w14:paraId="6C71D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212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4E2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0EE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4D5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28F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2E4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4DE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2CA5">
            <w:pPr>
              <w:jc w:val="center"/>
            </w:pPr>
            <w:r>
              <w:rPr>
                <w:rFonts w:ascii="宋体" w:hAnsi="宋体" w:eastAsia="宋体"/>
                <w:sz w:val="16"/>
              </w:rPr>
              <w:t>—</w:t>
            </w:r>
          </w:p>
        </w:tc>
      </w:tr>
      <w:tr w14:paraId="707E1C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7A97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3A958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9D316">
            <w:pPr>
              <w:jc w:val="center"/>
              <w:rPr>
                <w:rFonts w:hint="eastAsia" w:eastAsia="宋体"/>
                <w:lang w:eastAsia="zh-CN"/>
              </w:rPr>
            </w:pPr>
            <w:r>
              <w:rPr>
                <w:rFonts w:hint="eastAsia" w:ascii="宋体" w:hAnsi="宋体"/>
                <w:sz w:val="16"/>
                <w:lang w:eastAsia="zh-CN"/>
              </w:rPr>
              <w:t>实际完成情况</w:t>
            </w:r>
          </w:p>
        </w:tc>
      </w:tr>
      <w:tr w14:paraId="53DFC1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0DC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904AF7">
            <w:pPr>
              <w:jc w:val="both"/>
            </w:pPr>
            <w:r>
              <w:rPr>
                <w:rFonts w:ascii="宋体" w:hAnsi="宋体" w:eastAsia="宋体"/>
                <w:sz w:val="16"/>
              </w:rPr>
              <w:t>1. 第一季度：组织代表性传承人和徒弟培训</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 第二季度：举办各类非遗活动,开展各类文化活动，加强与其他文化机构的合作与交流，推广线上文化服务。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 第三季度：第三批县级非物质文化遗产代表性项目和代表性传承人调查申报工作。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 第四季度：非物质文化遗产保护项目资金申报工作，非物质文化遗产拍摄工作,制定下一年的工作计划。</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四、保障措施和预期效果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 保障措施：加强组织领导，明确责任分工，确保各项工作有序推进。加强资金使用管理，确保资金使用效益最大化。</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 预期效果：通过实施2024年度工作计划，我们预期能够进一步提升文化馆的服务质量和品牌影响力，增强群众的文化获得感和幸福感。同时，我们也期待通过市场化运作和资源整合，实现文化馆的可持续发展和长期效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F3773">
            <w:pPr>
              <w:jc w:val="both"/>
            </w:pPr>
            <w:r>
              <w:rPr>
                <w:rFonts w:ascii="宋体" w:hAnsi="宋体" w:eastAsia="宋体"/>
                <w:sz w:val="16"/>
              </w:rPr>
              <w:t>2024年具体完成的重要工作有：组织了13次代表性传承人和徒弟培训，举办了5次各类非遗活动，完成了第三批县级非物质文化遗产代表性项目和代表性传承人调查申报工作，完成了非物质文化遗产保护项目资金申报工作，完成了非物质文化遗产拍摄工作。通过2024年度工作，进一步提升了文化馆的服务质量和品牌影响力，增强了群众的文化获得感和幸福感。同时通过市场化运作和资源整合，实现了文化馆的可持续发展和长期效益。</w:t>
            </w:r>
          </w:p>
        </w:tc>
      </w:tr>
      <w:tr w14:paraId="54C62E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90FC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85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34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F30E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7AB0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5F9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3EB6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1FC8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BCE55">
            <w:pPr>
              <w:jc w:val="center"/>
            </w:pPr>
            <w:r>
              <w:rPr>
                <w:rFonts w:ascii="宋体" w:hAnsi="宋体" w:eastAsia="宋体"/>
                <w:sz w:val="16"/>
              </w:rPr>
              <w:t>得分</w:t>
            </w:r>
          </w:p>
        </w:tc>
      </w:tr>
      <w:tr w14:paraId="3AD20A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DCAB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76C7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38CBD">
            <w:pPr>
              <w:jc w:val="center"/>
            </w:pPr>
            <w:r>
              <w:rPr>
                <w:rFonts w:ascii="宋体" w:hAnsi="宋体" w:eastAsia="宋体"/>
                <w:sz w:val="16"/>
              </w:rPr>
              <w:t>组织代表性传承人和徒弟培训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339E2">
            <w:pPr>
              <w:jc w:val="center"/>
            </w:pPr>
            <w:r>
              <w:rPr>
                <w:rFonts w:ascii="宋体" w:hAnsi="宋体" w:eastAsia="宋体"/>
                <w:sz w:val="16"/>
              </w:rPr>
              <w:t>&gt;=13次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3ED7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CE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A8127">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06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63A5">
            <w:pPr>
              <w:jc w:val="center"/>
            </w:pPr>
            <w:r>
              <w:rPr>
                <w:rFonts w:ascii="宋体" w:hAnsi="宋体" w:eastAsia="宋体"/>
                <w:sz w:val="16"/>
              </w:rPr>
              <w:t>20</w:t>
            </w:r>
          </w:p>
        </w:tc>
      </w:tr>
      <w:tr w14:paraId="61AA93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347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715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AAAD">
            <w:pPr>
              <w:jc w:val="center"/>
            </w:pPr>
            <w:r>
              <w:rPr>
                <w:rFonts w:ascii="宋体" w:hAnsi="宋体" w:eastAsia="宋体"/>
                <w:sz w:val="16"/>
              </w:rPr>
              <w:t>举办各类非遗活动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A2675">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7C38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7D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2020E">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30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5A4C3">
            <w:pPr>
              <w:jc w:val="center"/>
            </w:pPr>
            <w:r>
              <w:rPr>
                <w:rFonts w:ascii="宋体" w:hAnsi="宋体" w:eastAsia="宋体"/>
                <w:sz w:val="16"/>
              </w:rPr>
              <w:t>20</w:t>
            </w:r>
          </w:p>
        </w:tc>
      </w:tr>
      <w:tr w14:paraId="176C4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BA6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8FC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1D23">
            <w:pPr>
              <w:jc w:val="center"/>
            </w:pPr>
            <w:r>
              <w:rPr>
                <w:rFonts w:ascii="宋体" w:hAnsi="宋体" w:eastAsia="宋体"/>
                <w:sz w:val="16"/>
              </w:rPr>
              <w:t>第三批县级非物质文化遗产代表性项目和代表性传承人调查申报工作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CA59A">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D6EE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6A2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85E6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22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A2F6F">
            <w:pPr>
              <w:jc w:val="center"/>
            </w:pPr>
            <w:r>
              <w:rPr>
                <w:rFonts w:ascii="宋体" w:hAnsi="宋体" w:eastAsia="宋体"/>
                <w:sz w:val="16"/>
              </w:rPr>
              <w:t>20</w:t>
            </w:r>
          </w:p>
        </w:tc>
      </w:tr>
      <w:tr w14:paraId="5FAF02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BAB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8A1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EB89">
            <w:pPr>
              <w:jc w:val="center"/>
            </w:pPr>
            <w:r>
              <w:rPr>
                <w:rFonts w:ascii="宋体" w:hAnsi="宋体" w:eastAsia="宋体"/>
                <w:sz w:val="16"/>
              </w:rPr>
              <w:t>非物质文化遗产保护项目资金申报工作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B6D7">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A955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0A0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A761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21C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8632E">
            <w:pPr>
              <w:jc w:val="center"/>
            </w:pPr>
            <w:r>
              <w:rPr>
                <w:rFonts w:ascii="宋体" w:hAnsi="宋体" w:eastAsia="宋体"/>
                <w:sz w:val="16"/>
              </w:rPr>
              <w:t>20</w:t>
            </w:r>
          </w:p>
        </w:tc>
      </w:tr>
      <w:tr w14:paraId="698F7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0DD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6CD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CCB22">
            <w:pPr>
              <w:jc w:val="center"/>
            </w:pPr>
            <w:r>
              <w:rPr>
                <w:rFonts w:ascii="宋体" w:hAnsi="宋体" w:eastAsia="宋体"/>
                <w:sz w:val="16"/>
              </w:rPr>
              <w:t>非物质文化遗产拍摄工作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93D2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38E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C69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292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89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825F5">
            <w:pPr>
              <w:jc w:val="center"/>
            </w:pPr>
            <w:r>
              <w:rPr>
                <w:rFonts w:ascii="宋体" w:hAnsi="宋体" w:eastAsia="宋体"/>
                <w:sz w:val="16"/>
              </w:rPr>
              <w:t>10</w:t>
            </w:r>
          </w:p>
        </w:tc>
      </w:tr>
    </w:tbl>
    <w:p w14:paraId="6B0653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82213E2">
        <w:tblPrEx>
          <w:tblCellMar>
            <w:top w:w="0" w:type="dxa"/>
            <w:left w:w="108" w:type="dxa"/>
            <w:bottom w:w="0" w:type="dxa"/>
            <w:right w:w="108" w:type="dxa"/>
          </w:tblCellMar>
        </w:tblPrEx>
        <w:tc>
          <w:tcPr>
            <w:tcW w:w="8848" w:type="dxa"/>
            <w:gridSpan w:val="14"/>
            <w:vAlign w:val="center"/>
          </w:tcPr>
          <w:p w14:paraId="6A5BBC97">
            <w:pPr>
              <w:jc w:val="center"/>
            </w:pPr>
            <w:r>
              <w:rPr>
                <w:rFonts w:ascii="宋体" w:hAnsi="宋体" w:eastAsia="宋体"/>
                <w:sz w:val="24"/>
              </w:rPr>
              <w:t>项目支出绩效自评表</w:t>
            </w:r>
          </w:p>
        </w:tc>
      </w:tr>
      <w:tr w14:paraId="661504C0">
        <w:tblPrEx>
          <w:tblCellMar>
            <w:top w:w="0" w:type="dxa"/>
            <w:left w:w="108" w:type="dxa"/>
            <w:bottom w:w="0" w:type="dxa"/>
            <w:right w:w="108" w:type="dxa"/>
          </w:tblCellMar>
        </w:tblPrEx>
        <w:tc>
          <w:tcPr>
            <w:tcW w:w="8848" w:type="dxa"/>
            <w:gridSpan w:val="14"/>
            <w:vAlign w:val="center"/>
          </w:tcPr>
          <w:p w14:paraId="45F548A5">
            <w:pPr>
              <w:jc w:val="center"/>
            </w:pPr>
            <w:r>
              <w:rPr>
                <w:rFonts w:ascii="宋体" w:hAnsi="宋体" w:eastAsia="宋体"/>
                <w:sz w:val="24"/>
              </w:rPr>
              <w:t>(2024年度)</w:t>
            </w:r>
          </w:p>
        </w:tc>
      </w:tr>
      <w:tr w14:paraId="5D33EF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A8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196B3C">
            <w:pPr>
              <w:jc w:val="center"/>
            </w:pPr>
            <w:r>
              <w:rPr>
                <w:rFonts w:ascii="宋体" w:hAnsi="宋体" w:eastAsia="宋体"/>
                <w:sz w:val="16"/>
              </w:rPr>
              <w:t>2024年中央支持地方公共文化服务体系建设补助资金《中国（新疆）民间艺术季开幕式演出及系列竞赛，展演》项目</w:t>
            </w:r>
          </w:p>
        </w:tc>
      </w:tr>
      <w:tr w14:paraId="52B75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D7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14C97C">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DB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845DEC">
            <w:pPr>
              <w:jc w:val="center"/>
            </w:pPr>
            <w:r>
              <w:rPr>
                <w:rFonts w:ascii="宋体" w:hAnsi="宋体" w:eastAsia="宋体"/>
                <w:sz w:val="16"/>
              </w:rPr>
              <w:t>塔什库尔干塔吉克自治县文化馆</w:t>
            </w:r>
          </w:p>
        </w:tc>
      </w:tr>
      <w:tr w14:paraId="79F575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2D0A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5AED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BDB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A65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42B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C63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E2C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115B">
            <w:pPr>
              <w:jc w:val="center"/>
            </w:pPr>
            <w:r>
              <w:rPr>
                <w:rFonts w:ascii="宋体" w:hAnsi="宋体" w:eastAsia="宋体"/>
                <w:sz w:val="16"/>
              </w:rPr>
              <w:t>得分</w:t>
            </w:r>
          </w:p>
        </w:tc>
      </w:tr>
      <w:tr w14:paraId="7C87B4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CD1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A3C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7A76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6B7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199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AC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FD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F046">
            <w:pPr>
              <w:jc w:val="center"/>
            </w:pPr>
            <w:r>
              <w:rPr>
                <w:rFonts w:ascii="宋体" w:hAnsi="宋体" w:eastAsia="宋体"/>
                <w:sz w:val="16"/>
              </w:rPr>
              <w:t>10.00分</w:t>
            </w:r>
          </w:p>
        </w:tc>
      </w:tr>
      <w:tr w14:paraId="17D56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1AC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B9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E197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489B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2B12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26E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A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D871">
            <w:pPr>
              <w:jc w:val="center"/>
            </w:pPr>
            <w:r>
              <w:rPr>
                <w:rFonts w:ascii="宋体" w:hAnsi="宋体" w:eastAsia="宋体"/>
                <w:sz w:val="16"/>
              </w:rPr>
              <w:t>—</w:t>
            </w:r>
          </w:p>
        </w:tc>
      </w:tr>
      <w:tr w14:paraId="00A17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CDE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5D0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C5C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F9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C66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28F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D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00D3">
            <w:pPr>
              <w:jc w:val="center"/>
            </w:pPr>
            <w:r>
              <w:rPr>
                <w:rFonts w:ascii="宋体" w:hAnsi="宋体" w:eastAsia="宋体"/>
                <w:sz w:val="16"/>
              </w:rPr>
              <w:t>—</w:t>
            </w:r>
          </w:p>
        </w:tc>
      </w:tr>
      <w:tr w14:paraId="401ABB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DC0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95E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8DDE5C">
            <w:pPr>
              <w:jc w:val="center"/>
            </w:pPr>
            <w:r>
              <w:rPr>
                <w:rFonts w:ascii="宋体" w:hAnsi="宋体" w:eastAsia="宋体"/>
                <w:sz w:val="16"/>
              </w:rPr>
              <w:t>实际完成情况</w:t>
            </w:r>
          </w:p>
        </w:tc>
      </w:tr>
      <w:tr w14:paraId="00A07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959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D6A0F">
            <w:pPr>
              <w:jc w:val="both"/>
            </w:pPr>
            <w:r>
              <w:rPr>
                <w:rFonts w:ascii="宋体" w:hAnsi="宋体" w:eastAsia="宋体"/>
                <w:sz w:val="16"/>
              </w:rPr>
              <w:t>该项目计划资金4万元，充分发挥群众文化接地气、聚人气、惠民生、暖民心的作用，组织开展全疆优秀民间艺术节目遴选活动，引导全疆</w:t>
            </w:r>
            <w:r>
              <w:rPr>
                <w:rFonts w:hint="eastAsia" w:ascii="宋体" w:hAnsi="宋体"/>
                <w:sz w:val="16"/>
                <w:lang w:eastAsia="zh-CN"/>
              </w:rPr>
              <w:t>各族群众</w:t>
            </w:r>
            <w:r>
              <w:rPr>
                <w:rFonts w:ascii="宋体" w:hAnsi="宋体" w:eastAsia="宋体"/>
                <w:sz w:val="16"/>
              </w:rPr>
              <w:t>广泛参与，让大家唱起来、舞起来、动起来，形成民间艺术交流的宣传品牌，推动文旅深度融合，经济和社会全面发展。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A9915">
            <w:pPr>
              <w:jc w:val="both"/>
            </w:pPr>
            <w:r>
              <w:rPr>
                <w:rFonts w:ascii="宋体" w:hAnsi="宋体" w:eastAsia="宋体"/>
                <w:sz w:val="16"/>
              </w:rPr>
              <w:t>项目预算资金4万元，实际支出4万元，完成了2场民间艺术节目表演，参加表演演员人数达18人，资金主要用于演员伙食、住宿、交通和视频及音乐制作费支出，资金支付及时率达100%，项目实施充分发挥了群众文化接地气、聚人气、惠民生、暖民心的作用，组织开展全疆优秀民间艺术节目遴选活动，使全疆</w:t>
            </w:r>
            <w:r>
              <w:rPr>
                <w:rFonts w:hint="eastAsia" w:ascii="宋体" w:hAnsi="宋体"/>
                <w:sz w:val="16"/>
                <w:lang w:eastAsia="zh-CN"/>
              </w:rPr>
              <w:t>各族群众</w:t>
            </w:r>
            <w:r>
              <w:rPr>
                <w:rFonts w:ascii="宋体" w:hAnsi="宋体" w:eastAsia="宋体"/>
                <w:sz w:val="16"/>
              </w:rPr>
              <w:t>广泛参与到了其中，让大家唱起来、舞起来、动起来，形成了民间艺术交流的宣传品牌，推动了文旅深度融合、经济和社会的全面发展，有效提升了民间艺术节活动的效果，使群众对项目实施的满意度达到了95%。</w:t>
            </w:r>
          </w:p>
        </w:tc>
      </w:tr>
      <w:tr w14:paraId="0CF579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74F6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01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47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24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61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D1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92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EE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DA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67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6C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1D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C1267">
            <w:pPr>
              <w:jc w:val="center"/>
            </w:pPr>
            <w:r>
              <w:rPr>
                <w:rFonts w:ascii="宋体" w:hAnsi="宋体" w:eastAsia="宋体"/>
                <w:sz w:val="16"/>
              </w:rPr>
              <w:t>偏差原因分析及改进措施</w:t>
            </w:r>
          </w:p>
        </w:tc>
      </w:tr>
      <w:tr w14:paraId="5624E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FAB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FB8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ABE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7908">
            <w:pPr>
              <w:jc w:val="center"/>
            </w:pPr>
            <w:r>
              <w:rPr>
                <w:rFonts w:ascii="宋体" w:hAnsi="宋体" w:eastAsia="宋体"/>
                <w:sz w:val="16"/>
              </w:rPr>
              <w:t>民间艺术节目次数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56A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8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BE8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82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61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2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748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7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61104">
            <w:pPr>
              <w:jc w:val="center"/>
            </w:pPr>
          </w:p>
        </w:tc>
      </w:tr>
      <w:tr w14:paraId="3AAF3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D5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B8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89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8E4A">
            <w:pPr>
              <w:jc w:val="center"/>
            </w:pPr>
            <w:r>
              <w:rPr>
                <w:rFonts w:ascii="宋体" w:hAnsi="宋体" w:eastAsia="宋体"/>
                <w:sz w:val="16"/>
              </w:rPr>
              <w:t>演员人数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577C">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E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D420">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95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D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8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BF8F">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D3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10324">
            <w:pPr>
              <w:jc w:val="center"/>
            </w:pPr>
          </w:p>
        </w:tc>
      </w:tr>
      <w:tr w14:paraId="0CE86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9B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DF4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4DA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0D3A">
            <w:pPr>
              <w:jc w:val="center"/>
            </w:pPr>
            <w:r>
              <w:rPr>
                <w:rFonts w:ascii="宋体" w:hAnsi="宋体" w:eastAsia="宋体"/>
                <w:sz w:val="16"/>
              </w:rPr>
              <w:t>民间艺术演员，巡演、展演、非遗、文创合格率（%）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1C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9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EC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7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7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2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8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A89D">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4C80">
            <w:pPr>
              <w:jc w:val="center"/>
            </w:pPr>
            <w:r>
              <w:rPr>
                <w:rFonts w:ascii="宋体" w:hAnsi="宋体" w:eastAsia="宋体"/>
                <w:sz w:val="16"/>
              </w:rPr>
              <w:t>偏差原因分析：项目实施情况较好，民间艺术演员，巡演、展演、非遗、文创合格率高于预期导致出现正偏差，改进措施：基于当前良好表现，重新审视绩效目标，在以后绩效目标设置时设置更具挑战性的目标，以推动业务持续发展。</w:t>
            </w:r>
          </w:p>
        </w:tc>
      </w:tr>
      <w:tr w14:paraId="04BCA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8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72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8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A5B8">
            <w:pPr>
              <w:jc w:val="center"/>
            </w:pPr>
            <w:r>
              <w:rPr>
                <w:rFonts w:ascii="宋体" w:hAnsi="宋体" w:eastAsia="宋体"/>
                <w:sz w:val="16"/>
              </w:rPr>
              <w:t>民间艺术季开幕式演出及系列竞赛，展演专项资金拨付及时率（%）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A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0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1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F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7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9A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0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D5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1C60A">
            <w:pPr>
              <w:jc w:val="center"/>
            </w:pPr>
          </w:p>
        </w:tc>
      </w:tr>
      <w:tr w14:paraId="259F8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C8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80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52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C00A">
            <w:pPr>
              <w:jc w:val="center"/>
            </w:pPr>
            <w:r>
              <w:rPr>
                <w:rFonts w:ascii="宋体" w:hAnsi="宋体" w:eastAsia="宋体"/>
                <w:sz w:val="16"/>
              </w:rPr>
              <w:t>民间艺术季开幕式演出及系列竞赛，展演专项资金项目（万元）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0D0A">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1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521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33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6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0A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8E88">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33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CC19">
            <w:pPr>
              <w:jc w:val="center"/>
            </w:pPr>
          </w:p>
        </w:tc>
      </w:tr>
      <w:tr w14:paraId="3B745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C40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002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61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C162">
            <w:pPr>
              <w:jc w:val="center"/>
            </w:pPr>
            <w:r>
              <w:rPr>
                <w:rFonts w:ascii="宋体" w:hAnsi="宋体" w:eastAsia="宋体"/>
                <w:sz w:val="16"/>
              </w:rPr>
              <w:t>有效提升民间艺术节活动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80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6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966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1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2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2D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C5E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FB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102F">
            <w:pPr>
              <w:jc w:val="center"/>
            </w:pPr>
          </w:p>
        </w:tc>
      </w:tr>
      <w:tr w14:paraId="07858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02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96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8F0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B776">
            <w:pPr>
              <w:jc w:val="center"/>
            </w:pPr>
            <w:r>
              <w:rPr>
                <w:rFonts w:ascii="宋体" w:hAnsi="宋体" w:eastAsia="宋体"/>
                <w:sz w:val="16"/>
              </w:rPr>
              <w:t>提升推动文旅深度融合，经济和社会全面发展。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BA2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E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A61F">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D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8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F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544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F9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41C6E">
            <w:pPr>
              <w:jc w:val="center"/>
            </w:pPr>
          </w:p>
        </w:tc>
      </w:tr>
      <w:tr w14:paraId="31A2B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4D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40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04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8D4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38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E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BA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7E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CF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E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67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40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20BEC">
            <w:pPr>
              <w:jc w:val="center"/>
            </w:pPr>
          </w:p>
        </w:tc>
      </w:tr>
      <w:tr w14:paraId="0454CE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E7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69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BC9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1DA72C">
            <w:pPr>
              <w:jc w:val="center"/>
            </w:pPr>
            <w:r>
              <w:rPr>
                <w:rFonts w:ascii="宋体" w:hAnsi="宋体" w:eastAsia="宋体"/>
                <w:sz w:val="16"/>
              </w:rPr>
              <w:t>99.47分</w:t>
            </w:r>
          </w:p>
        </w:tc>
      </w:tr>
    </w:tbl>
    <w:p w14:paraId="2EBF2E19">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776"/>
        <w:gridCol w:w="608"/>
        <w:gridCol w:w="776"/>
        <w:gridCol w:w="608"/>
        <w:gridCol w:w="608"/>
        <w:gridCol w:w="608"/>
        <w:gridCol w:w="696"/>
        <w:gridCol w:w="632"/>
        <w:gridCol w:w="585"/>
        <w:gridCol w:w="630"/>
      </w:tblGrid>
      <w:tr w14:paraId="704027A9">
        <w:tblPrEx>
          <w:tblCellMar>
            <w:top w:w="0" w:type="dxa"/>
            <w:left w:w="108" w:type="dxa"/>
            <w:bottom w:w="0" w:type="dxa"/>
            <w:right w:w="108" w:type="dxa"/>
          </w:tblCellMar>
        </w:tblPrEx>
        <w:tc>
          <w:tcPr>
            <w:tcW w:w="8848" w:type="dxa"/>
            <w:gridSpan w:val="14"/>
            <w:vAlign w:val="center"/>
          </w:tcPr>
          <w:p w14:paraId="57697281">
            <w:pPr>
              <w:jc w:val="center"/>
            </w:pPr>
            <w:r>
              <w:rPr>
                <w:rFonts w:ascii="宋体" w:hAnsi="宋体" w:eastAsia="宋体"/>
                <w:sz w:val="24"/>
              </w:rPr>
              <w:t>项目支出绩效自评表</w:t>
            </w:r>
          </w:p>
        </w:tc>
      </w:tr>
      <w:tr w14:paraId="5D6317AB">
        <w:tblPrEx>
          <w:tblCellMar>
            <w:top w:w="0" w:type="dxa"/>
            <w:left w:w="108" w:type="dxa"/>
            <w:bottom w:w="0" w:type="dxa"/>
            <w:right w:w="108" w:type="dxa"/>
          </w:tblCellMar>
        </w:tblPrEx>
        <w:tc>
          <w:tcPr>
            <w:tcW w:w="8848" w:type="dxa"/>
            <w:gridSpan w:val="14"/>
            <w:vAlign w:val="center"/>
          </w:tcPr>
          <w:p w14:paraId="23D78C4B">
            <w:pPr>
              <w:jc w:val="center"/>
            </w:pPr>
            <w:r>
              <w:rPr>
                <w:rFonts w:ascii="宋体" w:hAnsi="宋体" w:eastAsia="宋体"/>
                <w:sz w:val="24"/>
              </w:rPr>
              <w:t>(2024年度)</w:t>
            </w:r>
          </w:p>
        </w:tc>
      </w:tr>
      <w:tr w14:paraId="54A63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FC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80B56">
            <w:pPr>
              <w:jc w:val="center"/>
            </w:pPr>
            <w:r>
              <w:rPr>
                <w:rFonts w:ascii="宋体" w:hAnsi="宋体" w:eastAsia="宋体"/>
                <w:sz w:val="16"/>
              </w:rPr>
              <w:t>2024年中央文化人才专项经费</w:t>
            </w:r>
          </w:p>
        </w:tc>
      </w:tr>
      <w:tr w14:paraId="400C89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F8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6F439">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B5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DECAD2">
            <w:pPr>
              <w:jc w:val="center"/>
            </w:pPr>
            <w:r>
              <w:rPr>
                <w:rFonts w:ascii="宋体" w:hAnsi="宋体" w:eastAsia="宋体"/>
                <w:sz w:val="16"/>
              </w:rPr>
              <w:t>塔什库尔干塔吉克自治县文化馆</w:t>
            </w:r>
          </w:p>
        </w:tc>
      </w:tr>
      <w:tr w14:paraId="71B6E3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43A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580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34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8EE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289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A2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F6F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4255">
            <w:pPr>
              <w:jc w:val="center"/>
            </w:pPr>
            <w:r>
              <w:rPr>
                <w:rFonts w:ascii="宋体" w:hAnsi="宋体" w:eastAsia="宋体"/>
                <w:sz w:val="16"/>
              </w:rPr>
              <w:t>得分</w:t>
            </w:r>
          </w:p>
        </w:tc>
      </w:tr>
      <w:tr w14:paraId="59F05B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8D6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9B3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AEF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B244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DEB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D5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9649">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F67B">
            <w:pPr>
              <w:jc w:val="center"/>
            </w:pPr>
            <w:r>
              <w:rPr>
                <w:rFonts w:ascii="宋体" w:hAnsi="宋体" w:eastAsia="宋体"/>
                <w:sz w:val="16"/>
              </w:rPr>
              <w:t>10.00分</w:t>
            </w:r>
          </w:p>
        </w:tc>
      </w:tr>
      <w:tr w14:paraId="5B309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CD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39D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CDEE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E26C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B890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59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9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B426">
            <w:pPr>
              <w:jc w:val="center"/>
            </w:pPr>
            <w:r>
              <w:rPr>
                <w:rFonts w:ascii="宋体" w:hAnsi="宋体" w:eastAsia="宋体"/>
                <w:sz w:val="16"/>
              </w:rPr>
              <w:t>—</w:t>
            </w:r>
          </w:p>
        </w:tc>
      </w:tr>
      <w:tr w14:paraId="0A4C1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9F5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178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5C1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7B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948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86F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C8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9367">
            <w:pPr>
              <w:jc w:val="center"/>
            </w:pPr>
            <w:r>
              <w:rPr>
                <w:rFonts w:ascii="宋体" w:hAnsi="宋体" w:eastAsia="宋体"/>
                <w:sz w:val="16"/>
              </w:rPr>
              <w:t>—</w:t>
            </w:r>
          </w:p>
        </w:tc>
      </w:tr>
      <w:tr w14:paraId="158325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F71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A1C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0C7242">
            <w:pPr>
              <w:jc w:val="center"/>
            </w:pPr>
            <w:r>
              <w:rPr>
                <w:rFonts w:ascii="宋体" w:hAnsi="宋体" w:eastAsia="宋体"/>
                <w:sz w:val="16"/>
              </w:rPr>
              <w:t>实际完成情况</w:t>
            </w:r>
          </w:p>
        </w:tc>
      </w:tr>
      <w:tr w14:paraId="2F2F3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6F0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C8577">
            <w:pPr>
              <w:jc w:val="both"/>
            </w:pPr>
            <w:r>
              <w:rPr>
                <w:rFonts w:ascii="宋体" w:hAnsi="宋体" w:eastAsia="宋体"/>
                <w:sz w:val="16"/>
              </w:rPr>
              <w:t>提升文艺小分队成员的专业技能，让他们能更好地为基层群众服务。增强团队成员之间的合作与沟通能力，打造一支高效、和谐的文艺服务队伍。通过培训，让文艺小分队成员更加了解基层文化需求，为群众提供更加贴近生活的文艺作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7160E">
            <w:pPr>
              <w:jc w:val="both"/>
            </w:pPr>
            <w:r>
              <w:rPr>
                <w:rFonts w:ascii="宋体" w:hAnsi="宋体" w:eastAsia="宋体"/>
                <w:sz w:val="16"/>
              </w:rPr>
              <w:t>项目预算资金4万元，实际支出4万元，用于从县文工团聘请2名专业老师，对</w:t>
            </w:r>
            <w:r>
              <w:rPr>
                <w:rFonts w:hint="eastAsia" w:ascii="宋体" w:hAnsi="宋体"/>
                <w:sz w:val="16"/>
                <w:lang w:eastAsia="zh-CN"/>
              </w:rPr>
              <w:t>“石榴子”</w:t>
            </w:r>
            <w:r>
              <w:rPr>
                <w:rFonts w:ascii="宋体" w:hAnsi="宋体" w:eastAsia="宋体"/>
                <w:sz w:val="16"/>
              </w:rPr>
              <w:t>文艺队成员进行业务培训和对2024年“文化艺术季”演出18名演出人员进行补助，其中支付开展培训活动费用3.10万元，支付演出补助费用0.90万元，项目实施，提升了文艺小分队成员的专业技能，使他们能够更好地为基层群众服务。增强了团队成员之间的合作与沟通能力，打造了一支高效、和谐的文艺服务队伍。通过2024年“文化艺术季”演出，丰富了当地民众日常娱乐活动，带动了</w:t>
            </w:r>
            <w:r>
              <w:rPr>
                <w:rFonts w:hint="eastAsia" w:ascii="宋体" w:hAnsi="宋体"/>
                <w:sz w:val="16"/>
                <w:lang w:eastAsia="zh-CN"/>
              </w:rPr>
              <w:t>塔什库尔干塔吉克自治县</w:t>
            </w:r>
            <w:r>
              <w:rPr>
                <w:rFonts w:ascii="宋体" w:hAnsi="宋体" w:eastAsia="宋体"/>
                <w:sz w:val="16"/>
              </w:rPr>
              <w:t>公共文化旅游产业繁荣发展，使参加活动人员对项目实施满意度达到了95%。</w:t>
            </w:r>
          </w:p>
        </w:tc>
      </w:tr>
      <w:tr w14:paraId="7C32F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C017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4C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A0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C7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25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03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90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86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90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48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C8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7D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5332C">
            <w:pPr>
              <w:jc w:val="center"/>
            </w:pPr>
            <w:r>
              <w:rPr>
                <w:rFonts w:ascii="宋体" w:hAnsi="宋体" w:eastAsia="宋体"/>
                <w:sz w:val="16"/>
              </w:rPr>
              <w:t>偏差原因分析及改进措施</w:t>
            </w:r>
          </w:p>
        </w:tc>
      </w:tr>
      <w:tr w14:paraId="2BC68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104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2D1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D8E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48A0">
            <w:pPr>
              <w:jc w:val="center"/>
            </w:pPr>
            <w:r>
              <w:rPr>
                <w:rFonts w:ascii="宋体" w:hAnsi="宋体" w:eastAsia="宋体"/>
                <w:sz w:val="16"/>
              </w:rPr>
              <w:t>开展文化人才技能培训次数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B10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4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A68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E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6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4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51F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53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5D88">
            <w:pPr>
              <w:jc w:val="center"/>
            </w:pPr>
          </w:p>
        </w:tc>
      </w:tr>
      <w:tr w14:paraId="2BE33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C1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6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4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57CB">
            <w:pPr>
              <w:jc w:val="center"/>
            </w:pPr>
            <w:r>
              <w:rPr>
                <w:rFonts w:ascii="宋体" w:hAnsi="宋体" w:eastAsia="宋体"/>
                <w:sz w:val="16"/>
              </w:rPr>
              <w:t>培训参与人数（人）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0372">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8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97A4">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4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EC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D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E5B1">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9C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D919">
            <w:pPr>
              <w:jc w:val="center"/>
            </w:pPr>
          </w:p>
        </w:tc>
      </w:tr>
      <w:tr w14:paraId="03359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CB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3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F4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B045">
            <w:pPr>
              <w:jc w:val="center"/>
            </w:pPr>
            <w:r>
              <w:rPr>
                <w:rFonts w:ascii="宋体" w:hAnsi="宋体" w:eastAsia="宋体"/>
                <w:sz w:val="16"/>
              </w:rPr>
              <w:t>活动开展成功率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34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2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B2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3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D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29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8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9E03">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A6ADD">
            <w:pPr>
              <w:jc w:val="center"/>
            </w:pPr>
            <w:r>
              <w:rPr>
                <w:rFonts w:ascii="宋体" w:hAnsi="宋体" w:eastAsia="宋体"/>
                <w:sz w:val="16"/>
              </w:rPr>
              <w:t>偏差原因分析：项目实施情况较好，活动开展成功率高于预期导致出现正偏差，改进措施：基于当前良好表现，重新审视绩效目标，在以后绩效目标设置时设置更具挑战性的目标，以推动业务持续发展。</w:t>
            </w:r>
          </w:p>
        </w:tc>
      </w:tr>
      <w:tr w14:paraId="70018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BA9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32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7B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2AB6">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B2CB">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1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DD0F">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9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CC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A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ECBC">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7B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F6DFB">
            <w:pPr>
              <w:jc w:val="center"/>
            </w:pPr>
          </w:p>
        </w:tc>
      </w:tr>
      <w:tr w14:paraId="18C98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D1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3F5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02E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9BBF">
            <w:pPr>
              <w:jc w:val="center"/>
            </w:pPr>
            <w:r>
              <w:rPr>
                <w:rFonts w:ascii="宋体" w:hAnsi="宋体" w:eastAsia="宋体"/>
                <w:sz w:val="16"/>
              </w:rPr>
              <w:t>培训活动开展费用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BC64">
            <w:pPr>
              <w:jc w:val="center"/>
            </w:pPr>
            <w:r>
              <w:rPr>
                <w:rFonts w:ascii="宋体" w:hAnsi="宋体" w:eastAsia="宋体"/>
                <w:sz w:val="16"/>
              </w:rPr>
              <w:t>&lt;=31020元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8A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5EEC">
            <w:pPr>
              <w:jc w:val="center"/>
            </w:pPr>
            <w:r>
              <w:rPr>
                <w:rFonts w:ascii="宋体" w:hAnsi="宋体" w:eastAsia="宋体"/>
                <w:sz w:val="16"/>
              </w:rPr>
              <w:t>&lt;=31020元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1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C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6D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D9A3">
            <w:pPr>
              <w:jc w:val="center"/>
            </w:pPr>
            <w:r>
              <w:rPr>
                <w:rFonts w:ascii="宋体" w:hAnsi="宋体" w:eastAsia="宋体"/>
                <w:sz w:val="16"/>
              </w:rPr>
              <w:t>=31020元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D0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F1DC5">
            <w:pPr>
              <w:jc w:val="center"/>
            </w:pPr>
          </w:p>
        </w:tc>
      </w:tr>
      <w:tr w14:paraId="27F61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A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0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AD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9E05">
            <w:pPr>
              <w:jc w:val="center"/>
            </w:pPr>
            <w:r>
              <w:rPr>
                <w:rFonts w:ascii="宋体" w:hAnsi="宋体" w:eastAsia="宋体"/>
                <w:sz w:val="16"/>
              </w:rPr>
              <w:t>演出活动开展费用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8916">
            <w:pPr>
              <w:jc w:val="center"/>
            </w:pPr>
            <w:r>
              <w:rPr>
                <w:rFonts w:ascii="宋体" w:hAnsi="宋体" w:eastAsia="宋体"/>
                <w:sz w:val="16"/>
              </w:rPr>
              <w:t>&lt;=8980元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CB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B5E1">
            <w:pPr>
              <w:jc w:val="center"/>
            </w:pPr>
            <w:r>
              <w:rPr>
                <w:rFonts w:ascii="宋体" w:hAnsi="宋体" w:eastAsia="宋体"/>
                <w:sz w:val="16"/>
              </w:rPr>
              <w:t>&lt;=8980元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E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DE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FD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A454">
            <w:pPr>
              <w:jc w:val="center"/>
            </w:pPr>
            <w:r>
              <w:rPr>
                <w:rFonts w:ascii="宋体" w:hAnsi="宋体" w:eastAsia="宋体"/>
                <w:sz w:val="16"/>
              </w:rPr>
              <w:t>=8980元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C2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C842">
            <w:pPr>
              <w:jc w:val="center"/>
            </w:pPr>
          </w:p>
        </w:tc>
      </w:tr>
      <w:tr w14:paraId="67231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59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F7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CF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2C33">
            <w:pPr>
              <w:jc w:val="center"/>
            </w:pPr>
            <w:r>
              <w:rPr>
                <w:rFonts w:ascii="宋体" w:hAnsi="宋体" w:eastAsia="宋体"/>
                <w:sz w:val="16"/>
              </w:rPr>
              <w:t>有效提升文化旅游事业发展质量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E36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D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0E5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F6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4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A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920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41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36FC0">
            <w:pPr>
              <w:jc w:val="center"/>
            </w:pPr>
          </w:p>
        </w:tc>
      </w:tr>
      <w:tr w14:paraId="5F580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2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B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00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9F03">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0B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0A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F7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F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EF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C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57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9E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2819">
            <w:pPr>
              <w:jc w:val="center"/>
            </w:pPr>
          </w:p>
        </w:tc>
      </w:tr>
      <w:tr w14:paraId="11366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6A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C8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31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7B152D">
            <w:pPr>
              <w:jc w:val="center"/>
            </w:pPr>
            <w:r>
              <w:rPr>
                <w:rFonts w:ascii="宋体" w:hAnsi="宋体" w:eastAsia="宋体"/>
                <w:sz w:val="16"/>
              </w:rPr>
              <w:t>99.47分</w:t>
            </w:r>
          </w:p>
        </w:tc>
      </w:tr>
    </w:tbl>
    <w:p w14:paraId="74E61CB5">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776"/>
        <w:gridCol w:w="608"/>
        <w:gridCol w:w="776"/>
        <w:gridCol w:w="608"/>
        <w:gridCol w:w="608"/>
        <w:gridCol w:w="608"/>
        <w:gridCol w:w="696"/>
        <w:gridCol w:w="632"/>
        <w:gridCol w:w="585"/>
        <w:gridCol w:w="630"/>
      </w:tblGrid>
      <w:tr w14:paraId="6AC6EA6A">
        <w:tblPrEx>
          <w:tblCellMar>
            <w:top w:w="0" w:type="dxa"/>
            <w:left w:w="108" w:type="dxa"/>
            <w:bottom w:w="0" w:type="dxa"/>
            <w:right w:w="108" w:type="dxa"/>
          </w:tblCellMar>
        </w:tblPrEx>
        <w:tc>
          <w:tcPr>
            <w:tcW w:w="8848" w:type="dxa"/>
            <w:gridSpan w:val="14"/>
            <w:vAlign w:val="center"/>
          </w:tcPr>
          <w:p w14:paraId="108D888D">
            <w:pPr>
              <w:jc w:val="center"/>
            </w:pPr>
            <w:r>
              <w:rPr>
                <w:rFonts w:ascii="宋体" w:hAnsi="宋体" w:eastAsia="宋体"/>
                <w:sz w:val="24"/>
              </w:rPr>
              <w:t>项目支出绩效自评表</w:t>
            </w:r>
          </w:p>
        </w:tc>
      </w:tr>
      <w:tr w14:paraId="23477521">
        <w:tblPrEx>
          <w:tblCellMar>
            <w:top w:w="0" w:type="dxa"/>
            <w:left w:w="108" w:type="dxa"/>
            <w:bottom w:w="0" w:type="dxa"/>
            <w:right w:w="108" w:type="dxa"/>
          </w:tblCellMar>
        </w:tblPrEx>
        <w:tc>
          <w:tcPr>
            <w:tcW w:w="8848" w:type="dxa"/>
            <w:gridSpan w:val="14"/>
            <w:vAlign w:val="center"/>
          </w:tcPr>
          <w:p w14:paraId="61AAA0A0">
            <w:pPr>
              <w:jc w:val="center"/>
            </w:pPr>
            <w:r>
              <w:rPr>
                <w:rFonts w:ascii="宋体" w:hAnsi="宋体" w:eastAsia="宋体"/>
                <w:sz w:val="24"/>
              </w:rPr>
              <w:t>(2024年度)</w:t>
            </w:r>
          </w:p>
        </w:tc>
      </w:tr>
      <w:tr w14:paraId="404CCA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50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DEEBBD">
            <w:pPr>
              <w:jc w:val="center"/>
            </w:pPr>
            <w:r>
              <w:rPr>
                <w:rFonts w:ascii="宋体" w:hAnsi="宋体" w:eastAsia="宋体"/>
                <w:sz w:val="16"/>
              </w:rPr>
              <w:t>2024年国家级非物质文化遗产保护专项资金 （塔吉克族婚俗）</w:t>
            </w:r>
          </w:p>
        </w:tc>
      </w:tr>
      <w:tr w14:paraId="711414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16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07A3E">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40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0C0DDC">
            <w:pPr>
              <w:jc w:val="center"/>
            </w:pPr>
            <w:r>
              <w:rPr>
                <w:rFonts w:ascii="宋体" w:hAnsi="宋体" w:eastAsia="宋体"/>
                <w:sz w:val="16"/>
              </w:rPr>
              <w:t>塔什库尔干塔吉克自治县文化馆</w:t>
            </w:r>
          </w:p>
        </w:tc>
      </w:tr>
      <w:tr w14:paraId="019E3A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8682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2703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994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A6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3F9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C8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38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CD8B">
            <w:pPr>
              <w:jc w:val="center"/>
            </w:pPr>
            <w:r>
              <w:rPr>
                <w:rFonts w:ascii="宋体" w:hAnsi="宋体" w:eastAsia="宋体"/>
                <w:sz w:val="16"/>
              </w:rPr>
              <w:t>得分</w:t>
            </w:r>
          </w:p>
        </w:tc>
      </w:tr>
      <w:tr w14:paraId="7B3051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73F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37A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C8A94">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184E1">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6CE87">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1A2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65FD">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B35B">
            <w:pPr>
              <w:jc w:val="center"/>
            </w:pPr>
            <w:r>
              <w:rPr>
                <w:rFonts w:ascii="宋体" w:hAnsi="宋体" w:eastAsia="宋体"/>
                <w:sz w:val="16"/>
              </w:rPr>
              <w:t>10.00分</w:t>
            </w:r>
          </w:p>
        </w:tc>
      </w:tr>
      <w:tr w14:paraId="1E7FE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1AF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B3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2C31">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88F2">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72524">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6A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F2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6203">
            <w:pPr>
              <w:jc w:val="center"/>
            </w:pPr>
            <w:r>
              <w:rPr>
                <w:rFonts w:ascii="宋体" w:hAnsi="宋体" w:eastAsia="宋体"/>
                <w:sz w:val="16"/>
              </w:rPr>
              <w:t>—</w:t>
            </w:r>
          </w:p>
        </w:tc>
      </w:tr>
      <w:tr w14:paraId="3C211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3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1F5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FB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7B4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B4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EB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B6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9FC6">
            <w:pPr>
              <w:jc w:val="center"/>
            </w:pPr>
            <w:r>
              <w:rPr>
                <w:rFonts w:ascii="宋体" w:hAnsi="宋体" w:eastAsia="宋体"/>
                <w:sz w:val="16"/>
              </w:rPr>
              <w:t>—</w:t>
            </w:r>
          </w:p>
        </w:tc>
      </w:tr>
      <w:tr w14:paraId="5317B0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1B2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0BEF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AB42E5">
            <w:pPr>
              <w:jc w:val="center"/>
            </w:pPr>
            <w:r>
              <w:rPr>
                <w:rFonts w:ascii="宋体" w:hAnsi="宋体" w:eastAsia="宋体"/>
                <w:sz w:val="16"/>
              </w:rPr>
              <w:t>实际完成情况</w:t>
            </w:r>
          </w:p>
        </w:tc>
      </w:tr>
      <w:tr w14:paraId="05C20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CFA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9DB10">
            <w:pPr>
              <w:jc w:val="both"/>
            </w:pPr>
            <w:r>
              <w:rPr>
                <w:rFonts w:ascii="宋体" w:hAnsi="宋体" w:eastAsia="宋体"/>
                <w:sz w:val="16"/>
              </w:rPr>
              <w:t>了解</w:t>
            </w:r>
            <w:r>
              <w:rPr>
                <w:rFonts w:hint="eastAsia" w:ascii="宋体" w:hAnsi="宋体"/>
                <w:sz w:val="16"/>
                <w:lang w:eastAsia="zh-CN"/>
              </w:rPr>
              <w:t>塔什库尔干塔吉克自治县</w:t>
            </w:r>
            <w:r>
              <w:rPr>
                <w:rFonts w:ascii="宋体" w:hAnsi="宋体" w:eastAsia="宋体"/>
                <w:sz w:val="16"/>
              </w:rPr>
              <w:t>的婚俗分布和存续状况，对涉及婚俗的实物和音像材料进行系统整理、归档，建立资料库，进行有效保存。编制塔吉克族婚俗项目保护规划，为今后科学保护提供依据。组织专人深入</w:t>
            </w:r>
            <w:r>
              <w:rPr>
                <w:rFonts w:hint="eastAsia" w:ascii="宋体" w:hAnsi="宋体"/>
                <w:sz w:val="16"/>
                <w:lang w:eastAsia="zh-CN"/>
              </w:rPr>
              <w:t>塔什库尔干塔吉克自治县</w:t>
            </w:r>
            <w:r>
              <w:rPr>
                <w:rFonts w:ascii="宋体" w:hAnsi="宋体" w:eastAsia="宋体"/>
                <w:sz w:val="16"/>
              </w:rPr>
              <w:t>各乡镇场（村）及毗邻县乡对塔吉克族婚俗进行比较全面、系统的调查，收集塔吉克婚俗文化的相关资料，包括婚礼的过程（即择亲、定亲订婚仪式，婚姻仪式、婚礼后的揭面仪式、回娘家等习俗），婚礼中的娱乐活动、结婚服饰、婚姻家庭道德、传统婚礼的发展变化和存续现状等方面的资料，采取文字记录，拍摄，拍照，录音等手段予以保存，并汇编资料集和画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933A37">
            <w:pPr>
              <w:jc w:val="both"/>
            </w:pPr>
            <w:r>
              <w:rPr>
                <w:rFonts w:ascii="宋体" w:hAnsi="宋体" w:eastAsia="宋体"/>
                <w:sz w:val="16"/>
              </w:rPr>
              <w:t>该项目预算资金36.34万元，实际已支付36.34万元，完成了书籍《塔吉克族婚俗》的编撰及出版工作，项目验收合格率达100%，资金拨付及时率达100%，通过实施该项目，向读者展现了</w:t>
            </w:r>
            <w:r>
              <w:rPr>
                <w:rFonts w:hint="eastAsia" w:ascii="宋体" w:hAnsi="宋体"/>
                <w:sz w:val="16"/>
                <w:lang w:eastAsia="zh-CN"/>
              </w:rPr>
              <w:t>塔什库尔干塔吉克自治县</w:t>
            </w:r>
            <w:r>
              <w:rPr>
                <w:rFonts w:ascii="宋体" w:hAnsi="宋体" w:eastAsia="宋体"/>
                <w:sz w:val="16"/>
              </w:rPr>
              <w:t>的婚俗分布和存续状况。对涉及婚俗的实物和音像材料进行系统整理、归档，建立资料库，进行有效保存，编制塔吉克族婚俗项目保护规划，为今后科学保护提供依据。组织专人深入</w:t>
            </w:r>
            <w:r>
              <w:rPr>
                <w:rFonts w:hint="eastAsia" w:ascii="宋体" w:hAnsi="宋体"/>
                <w:sz w:val="16"/>
                <w:lang w:eastAsia="zh-CN"/>
              </w:rPr>
              <w:t>塔什库尔干塔吉克自治县</w:t>
            </w:r>
            <w:r>
              <w:rPr>
                <w:rFonts w:ascii="宋体" w:hAnsi="宋体" w:eastAsia="宋体"/>
                <w:sz w:val="16"/>
              </w:rPr>
              <w:t>各乡镇场（村）及毗邻县乡对塔吉克族婚俗进行比较全面、系统的调查，收集塔吉克婚俗文化的相关资料，包括婚礼的过程（即择亲、定亲订婚仪式，婚姻仪式、婚礼后的揭面仪式、回娘家等习俗），婚礼中的娱乐活动、结婚服饰、婚姻家庭道德、传统婚礼的发展变化和存续现状等方面的资料，采取文字记录，拍摄，拍照，录音等手段予以保存，并汇编资料集和画册，提升了</w:t>
            </w:r>
            <w:r>
              <w:rPr>
                <w:rFonts w:hint="eastAsia" w:ascii="宋体" w:hAnsi="宋体"/>
                <w:sz w:val="16"/>
                <w:lang w:eastAsia="zh-CN"/>
              </w:rPr>
              <w:t>塔什库尔干塔吉克自治县</w:t>
            </w:r>
            <w:r>
              <w:rPr>
                <w:rFonts w:ascii="宋体" w:hAnsi="宋体" w:eastAsia="宋体"/>
                <w:sz w:val="16"/>
              </w:rPr>
              <w:t>非遗工作水平，使读者对项目实施的满意度达到了95%。</w:t>
            </w:r>
          </w:p>
        </w:tc>
      </w:tr>
      <w:tr w14:paraId="1F274D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EB86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60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D0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F9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C6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30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B4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7C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8A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93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E5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47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67BB">
            <w:pPr>
              <w:jc w:val="center"/>
            </w:pPr>
            <w:r>
              <w:rPr>
                <w:rFonts w:ascii="宋体" w:hAnsi="宋体" w:eastAsia="宋体"/>
                <w:sz w:val="16"/>
              </w:rPr>
              <w:t>偏差原因分析及改进措施</w:t>
            </w:r>
          </w:p>
        </w:tc>
      </w:tr>
      <w:tr w14:paraId="2EA16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5FF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412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32B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573A">
            <w:pPr>
              <w:jc w:val="center"/>
            </w:pPr>
            <w:r>
              <w:rPr>
                <w:rFonts w:ascii="宋体" w:hAnsi="宋体" w:eastAsia="宋体"/>
                <w:sz w:val="16"/>
              </w:rPr>
              <w:t>婚俗一本书数量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4400">
            <w:pPr>
              <w:jc w:val="center"/>
            </w:pPr>
            <w:r>
              <w:rPr>
                <w:rFonts w:ascii="宋体" w:hAnsi="宋体" w:eastAsia="宋体"/>
                <w:sz w:val="16"/>
              </w:rPr>
              <w:t>&gt;=1本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A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A46E">
            <w:pPr>
              <w:jc w:val="center"/>
            </w:pPr>
            <w:r>
              <w:rPr>
                <w:rFonts w:ascii="宋体" w:hAnsi="宋体" w:eastAsia="宋体"/>
                <w:sz w:val="16"/>
              </w:rPr>
              <w:t>&gt;=1本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E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30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9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7597">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63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5A12">
            <w:pPr>
              <w:jc w:val="center"/>
            </w:pPr>
          </w:p>
        </w:tc>
      </w:tr>
      <w:tr w14:paraId="15F96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4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B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E9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F7DB">
            <w:pPr>
              <w:jc w:val="center"/>
            </w:pPr>
            <w:r>
              <w:rPr>
                <w:rFonts w:ascii="宋体" w:hAnsi="宋体" w:eastAsia="宋体"/>
                <w:sz w:val="16"/>
              </w:rPr>
              <w:t>开展非遗传承人研修培训班次数量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9C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C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780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2A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8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2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0E3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50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9BD75">
            <w:pPr>
              <w:jc w:val="center"/>
            </w:pPr>
          </w:p>
        </w:tc>
      </w:tr>
      <w:tr w14:paraId="0033A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51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E3D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37A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EF7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F2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0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AE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2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B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F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A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3A7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4D15">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39383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3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D3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C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79E5">
            <w:pPr>
              <w:jc w:val="center"/>
            </w:pPr>
            <w:r>
              <w:rPr>
                <w:rFonts w:ascii="宋体" w:hAnsi="宋体" w:eastAsia="宋体"/>
                <w:sz w:val="16"/>
              </w:rPr>
              <w:t>塔吉克族婚俗排版、研究、申报资金拨付及时率（%）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1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8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C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8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5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A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A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1A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5B2E">
            <w:pPr>
              <w:jc w:val="center"/>
            </w:pPr>
          </w:p>
        </w:tc>
      </w:tr>
      <w:tr w14:paraId="57C50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9D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5D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02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9547">
            <w:pPr>
              <w:jc w:val="center"/>
            </w:pPr>
            <w:r>
              <w:rPr>
                <w:rFonts w:ascii="宋体" w:hAnsi="宋体" w:eastAsia="宋体"/>
                <w:sz w:val="16"/>
              </w:rPr>
              <w:t>非物质文化遗产保护资金（塔吉克婚俗）资金（万元）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5530">
            <w:pPr>
              <w:jc w:val="center"/>
            </w:pPr>
            <w:r>
              <w:rPr>
                <w:rFonts w:ascii="宋体" w:hAnsi="宋体" w:eastAsia="宋体"/>
                <w:sz w:val="16"/>
              </w:rPr>
              <w:t>&lt;=36.34万元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1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2B79">
            <w:pPr>
              <w:jc w:val="center"/>
            </w:pPr>
            <w:r>
              <w:rPr>
                <w:rFonts w:ascii="宋体" w:hAnsi="宋体" w:eastAsia="宋体"/>
                <w:sz w:val="16"/>
              </w:rPr>
              <w:t>&lt;=36.34万元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4E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8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5C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BC09">
            <w:pPr>
              <w:jc w:val="center"/>
            </w:pPr>
            <w:r>
              <w:rPr>
                <w:rFonts w:ascii="宋体" w:hAnsi="宋体" w:eastAsia="宋体"/>
                <w:sz w:val="16"/>
              </w:rPr>
              <w: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91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5947">
            <w:pPr>
              <w:jc w:val="center"/>
            </w:pPr>
          </w:p>
        </w:tc>
      </w:tr>
      <w:tr w14:paraId="23025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44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E1E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8D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E91E">
            <w:pPr>
              <w:jc w:val="center"/>
            </w:pPr>
            <w:r>
              <w:rPr>
                <w:rFonts w:ascii="宋体" w:hAnsi="宋体" w:eastAsia="宋体"/>
                <w:sz w:val="16"/>
              </w:rPr>
              <w:t>提升</w:t>
            </w:r>
            <w:r>
              <w:rPr>
                <w:rFonts w:hint="eastAsia" w:ascii="宋体" w:hAnsi="宋体"/>
                <w:sz w:val="16"/>
                <w:lang w:eastAsia="zh-CN"/>
              </w:rPr>
              <w:t>塔什库尔干塔吉克自治县</w:t>
            </w:r>
            <w:r>
              <w:rPr>
                <w:rFonts w:ascii="宋体" w:hAnsi="宋体" w:eastAsia="宋体"/>
                <w:sz w:val="16"/>
              </w:rPr>
              <w:t>非遗工作水平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0E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E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BE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C4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8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4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E2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DB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7E0D">
            <w:pPr>
              <w:jc w:val="center"/>
            </w:pPr>
          </w:p>
        </w:tc>
      </w:tr>
      <w:tr w14:paraId="2FFDB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5A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3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7D5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7BE4">
            <w:pPr>
              <w:jc w:val="center"/>
            </w:pPr>
            <w:r>
              <w:rPr>
                <w:rFonts w:ascii="宋体" w:hAnsi="宋体" w:eastAsia="宋体"/>
                <w:sz w:val="16"/>
              </w:rPr>
              <w:t>可持续年限（年）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9583">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3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382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8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8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5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EE9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E7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80A1">
            <w:pPr>
              <w:jc w:val="center"/>
            </w:pPr>
          </w:p>
        </w:tc>
      </w:tr>
      <w:tr w14:paraId="32FF5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6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64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81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838F">
            <w:pPr>
              <w:jc w:val="center"/>
            </w:pPr>
            <w:r>
              <w:rPr>
                <w:rFonts w:ascii="宋体" w:hAnsi="宋体" w:eastAsia="宋体"/>
                <w:sz w:val="16"/>
              </w:rPr>
              <w:t>受灾群众满意度（%）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28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A2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26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0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7F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9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A3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D0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A20A">
            <w:pPr>
              <w:jc w:val="center"/>
            </w:pPr>
          </w:p>
        </w:tc>
      </w:tr>
      <w:tr w14:paraId="4EFB9F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5A2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70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378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9ECCF">
            <w:pPr>
              <w:jc w:val="center"/>
            </w:pPr>
            <w:r>
              <w:rPr>
                <w:rFonts w:ascii="宋体" w:hAnsi="宋体" w:eastAsia="宋体"/>
                <w:sz w:val="16"/>
              </w:rPr>
              <w:t>99.47分</w:t>
            </w:r>
          </w:p>
        </w:tc>
      </w:tr>
    </w:tbl>
    <w:p w14:paraId="2C1D2A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1732E07">
        <w:tblPrEx>
          <w:tblCellMar>
            <w:top w:w="0" w:type="dxa"/>
            <w:left w:w="108" w:type="dxa"/>
            <w:bottom w:w="0" w:type="dxa"/>
            <w:right w:w="108" w:type="dxa"/>
          </w:tblCellMar>
        </w:tblPrEx>
        <w:tc>
          <w:tcPr>
            <w:tcW w:w="8848" w:type="dxa"/>
            <w:gridSpan w:val="14"/>
            <w:vAlign w:val="center"/>
          </w:tcPr>
          <w:p w14:paraId="11FDB2FB">
            <w:pPr>
              <w:jc w:val="center"/>
            </w:pPr>
            <w:r>
              <w:rPr>
                <w:rFonts w:ascii="宋体" w:hAnsi="宋体" w:eastAsia="宋体"/>
                <w:sz w:val="24"/>
              </w:rPr>
              <w:t>项目支出绩效自评表</w:t>
            </w:r>
          </w:p>
        </w:tc>
      </w:tr>
      <w:tr w14:paraId="2F622A47">
        <w:tblPrEx>
          <w:tblCellMar>
            <w:top w:w="0" w:type="dxa"/>
            <w:left w:w="108" w:type="dxa"/>
            <w:bottom w:w="0" w:type="dxa"/>
            <w:right w:w="108" w:type="dxa"/>
          </w:tblCellMar>
        </w:tblPrEx>
        <w:tc>
          <w:tcPr>
            <w:tcW w:w="8848" w:type="dxa"/>
            <w:gridSpan w:val="14"/>
            <w:vAlign w:val="center"/>
          </w:tcPr>
          <w:p w14:paraId="6FA47033">
            <w:pPr>
              <w:jc w:val="center"/>
            </w:pPr>
            <w:r>
              <w:rPr>
                <w:rFonts w:ascii="宋体" w:hAnsi="宋体" w:eastAsia="宋体"/>
                <w:sz w:val="24"/>
              </w:rPr>
              <w:t>(2024年度)</w:t>
            </w:r>
          </w:p>
        </w:tc>
      </w:tr>
      <w:tr w14:paraId="5CC38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10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8A37FE">
            <w:pPr>
              <w:jc w:val="center"/>
            </w:pPr>
            <w:r>
              <w:rPr>
                <w:rFonts w:ascii="宋体" w:hAnsi="宋体" w:eastAsia="宋体"/>
                <w:sz w:val="16"/>
              </w:rPr>
              <w:t>2024年</w:t>
            </w:r>
            <w:r>
              <w:rPr>
                <w:rFonts w:hint="eastAsia" w:ascii="宋体" w:hAnsi="宋体"/>
                <w:sz w:val="16"/>
                <w:lang w:eastAsia="zh-CN"/>
              </w:rPr>
              <w:t>国家级非物质文化遗产</w:t>
            </w:r>
            <w:r>
              <w:rPr>
                <w:rFonts w:ascii="宋体" w:hAnsi="宋体" w:eastAsia="宋体"/>
                <w:sz w:val="16"/>
              </w:rPr>
              <w:t>保护项目</w:t>
            </w:r>
          </w:p>
        </w:tc>
      </w:tr>
      <w:tr w14:paraId="7838A7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A8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73532">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2D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64847">
            <w:pPr>
              <w:jc w:val="center"/>
            </w:pPr>
            <w:r>
              <w:rPr>
                <w:rFonts w:ascii="宋体" w:hAnsi="宋体" w:eastAsia="宋体"/>
                <w:sz w:val="16"/>
              </w:rPr>
              <w:t>塔什库尔干塔吉克自治县文化馆</w:t>
            </w:r>
          </w:p>
        </w:tc>
      </w:tr>
      <w:tr w14:paraId="12820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628F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A04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04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5A4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98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A8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B71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C914">
            <w:pPr>
              <w:jc w:val="center"/>
            </w:pPr>
            <w:r>
              <w:rPr>
                <w:rFonts w:ascii="宋体" w:hAnsi="宋体" w:eastAsia="宋体"/>
                <w:sz w:val="16"/>
              </w:rPr>
              <w:t>得分</w:t>
            </w:r>
          </w:p>
        </w:tc>
      </w:tr>
      <w:tr w14:paraId="7008C8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9C6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A9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17E8">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1EAB3">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2484">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D59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DC1A">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397A">
            <w:pPr>
              <w:jc w:val="center"/>
            </w:pPr>
            <w:r>
              <w:rPr>
                <w:rFonts w:ascii="宋体" w:hAnsi="宋体" w:eastAsia="宋体"/>
                <w:sz w:val="16"/>
              </w:rPr>
              <w:t>10.00分</w:t>
            </w:r>
          </w:p>
        </w:tc>
      </w:tr>
      <w:tr w14:paraId="4AB21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3E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E21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979A9">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74A45">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3244E">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64F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C8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FD98">
            <w:pPr>
              <w:jc w:val="center"/>
            </w:pPr>
            <w:r>
              <w:rPr>
                <w:rFonts w:ascii="宋体" w:hAnsi="宋体" w:eastAsia="宋体"/>
                <w:sz w:val="16"/>
              </w:rPr>
              <w:t>—</w:t>
            </w:r>
          </w:p>
        </w:tc>
      </w:tr>
      <w:tr w14:paraId="2003A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6D1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4FE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34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55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BCF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4B7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58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AA3B">
            <w:pPr>
              <w:jc w:val="center"/>
            </w:pPr>
            <w:r>
              <w:rPr>
                <w:rFonts w:ascii="宋体" w:hAnsi="宋体" w:eastAsia="宋体"/>
                <w:sz w:val="16"/>
              </w:rPr>
              <w:t>—</w:t>
            </w:r>
          </w:p>
        </w:tc>
      </w:tr>
      <w:tr w14:paraId="566ACC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BD8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5C1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CC0748">
            <w:pPr>
              <w:jc w:val="center"/>
            </w:pPr>
            <w:r>
              <w:rPr>
                <w:rFonts w:ascii="宋体" w:hAnsi="宋体" w:eastAsia="宋体"/>
                <w:sz w:val="16"/>
              </w:rPr>
              <w:t>实际完成情况</w:t>
            </w:r>
          </w:p>
        </w:tc>
      </w:tr>
      <w:tr w14:paraId="2ECDD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CD0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A4F8B">
            <w:pPr>
              <w:jc w:val="both"/>
            </w:pPr>
            <w:r>
              <w:rPr>
                <w:rFonts w:ascii="宋体" w:hAnsi="宋体" w:eastAsia="宋体"/>
                <w:sz w:val="16"/>
              </w:rPr>
              <w:t>该项目资金是国家级非物质文化遗产保护传承人补助费，在世的国家级代表性传承人补助人数共5名，每名平均补助21000元/年/人，共10.5万元；开展乡镇民间艺人培训次数15次，该项目的实施对入选联合国教科文组织非遗名录项目履约保护、国家级非遗代表性项目保护、代表性传承人</w:t>
            </w:r>
            <w:r>
              <w:rPr>
                <w:rFonts w:hint="eastAsia" w:ascii="宋体" w:hAnsi="宋体"/>
                <w:sz w:val="16"/>
                <w:lang w:eastAsia="zh-CN"/>
              </w:rPr>
              <w:t>激励</w:t>
            </w:r>
            <w:r>
              <w:rPr>
                <w:rFonts w:ascii="宋体" w:hAnsi="宋体" w:eastAsia="宋体"/>
                <w:sz w:val="16"/>
              </w:rPr>
              <w:t>工作、研培计划、代表性传承人传承活动等年度任务进行补助，推动非遗保护传承工作，让国家级代表性传承人满意度达到95%以上。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07B20">
            <w:pPr>
              <w:jc w:val="both"/>
            </w:pPr>
            <w:r>
              <w:rPr>
                <w:rFonts w:ascii="宋体" w:hAnsi="宋体" w:eastAsia="宋体"/>
                <w:sz w:val="16"/>
              </w:rPr>
              <w:t>项目预算资金10.50万元，实际支出10.50万元，完成了对5名在世的国家级代表性传承人的补助，每人平均补助2.10万元/年，国家级代表性传承人开展乡镇民间艺人培训次数达15次，通过对乡镇民间艺人的培训，保障了文化遗产得到了传承和弘扬，避免了其在现代社会中逐渐消失，进而推动了非遗保护传承</w:t>
            </w:r>
            <w:r>
              <w:rPr>
                <w:rFonts w:hint="eastAsia" w:ascii="宋体" w:hAnsi="宋体"/>
                <w:sz w:val="16"/>
                <w:lang w:eastAsia="zh-CN"/>
              </w:rPr>
              <w:t>工作的开展</w:t>
            </w:r>
            <w:r>
              <w:rPr>
                <w:rFonts w:ascii="宋体" w:hAnsi="宋体" w:eastAsia="宋体"/>
                <w:sz w:val="16"/>
              </w:rPr>
              <w:t>，同时培训为艺人提供了学习和交流的机会，帮助他们改进和提升了自身的技艺，使国家级代表性传承人对项目实施的满意度达到了100%。</w:t>
            </w:r>
          </w:p>
        </w:tc>
      </w:tr>
      <w:tr w14:paraId="58B9CC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7BE5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02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B8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E8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E7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76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EE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1E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9D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4D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A4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2F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DFB6D">
            <w:pPr>
              <w:jc w:val="center"/>
            </w:pPr>
            <w:r>
              <w:rPr>
                <w:rFonts w:ascii="宋体" w:hAnsi="宋体" w:eastAsia="宋体"/>
                <w:sz w:val="16"/>
              </w:rPr>
              <w:t>偏差原因分析及改进措施</w:t>
            </w:r>
          </w:p>
        </w:tc>
      </w:tr>
      <w:tr w14:paraId="05375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7F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C32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97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FF9E">
            <w:pPr>
              <w:jc w:val="center"/>
            </w:pPr>
            <w:r>
              <w:rPr>
                <w:rFonts w:ascii="宋体" w:hAnsi="宋体" w:eastAsia="宋体"/>
                <w:sz w:val="16"/>
              </w:rPr>
              <w:t>补助在世的国家级代表性传承人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4ACC">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9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E17F">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4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3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B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1B7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9D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559A">
            <w:pPr>
              <w:jc w:val="center"/>
            </w:pPr>
          </w:p>
        </w:tc>
      </w:tr>
      <w:tr w14:paraId="4BDA4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D1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0F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E8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23B9">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9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5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0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EA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D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8B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8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B7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0131C">
            <w:pPr>
              <w:jc w:val="center"/>
            </w:pPr>
          </w:p>
        </w:tc>
      </w:tr>
      <w:tr w14:paraId="6C212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10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444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C9F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EF14">
            <w:pPr>
              <w:jc w:val="center"/>
            </w:pPr>
            <w:r>
              <w:rPr>
                <w:rFonts w:ascii="宋体" w:hAnsi="宋体" w:eastAsia="宋体"/>
                <w:sz w:val="16"/>
              </w:rPr>
              <w:t>补贴资金拨付及时率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B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C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C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E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58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A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1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5B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79807">
            <w:pPr>
              <w:jc w:val="center"/>
            </w:pPr>
          </w:p>
        </w:tc>
      </w:tr>
      <w:tr w14:paraId="20623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CF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00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80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EDF6">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9A7B">
            <w:pPr>
              <w:jc w:val="center"/>
            </w:pPr>
            <w:r>
              <w:rPr>
                <w:rFonts w:ascii="宋体" w:hAnsi="宋体" w:eastAsia="宋体"/>
                <w:sz w:val="16"/>
              </w:rPr>
              <w:t>=2024年4月1日前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0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D7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6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A4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D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DE08">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98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054D4">
            <w:pPr>
              <w:jc w:val="center"/>
            </w:pPr>
          </w:p>
        </w:tc>
      </w:tr>
      <w:tr w14:paraId="34CBC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89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56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97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9103">
            <w:pPr>
              <w:jc w:val="center"/>
            </w:pPr>
            <w:r>
              <w:rPr>
                <w:rFonts w:ascii="宋体" w:hAnsi="宋体" w:eastAsia="宋体"/>
                <w:sz w:val="16"/>
              </w:rPr>
              <w:t>非物质文化遗产代表性传承人补助标准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B58B">
            <w:pPr>
              <w:jc w:val="center"/>
            </w:pPr>
            <w:r>
              <w:rPr>
                <w:rFonts w:ascii="宋体" w:hAnsi="宋体" w:eastAsia="宋体"/>
                <w:sz w:val="16"/>
              </w:rPr>
              <w:t>&lt;=2.10万元/人/年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B3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56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AD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F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23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8630">
            <w:pPr>
              <w:jc w:val="center"/>
            </w:pPr>
            <w:r>
              <w:rPr>
                <w:rFonts w:ascii="宋体" w:hAnsi="宋体" w:eastAsia="宋体"/>
                <w:sz w:val="16"/>
              </w:rPr>
              <w:t>=2.1万元/人/年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56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07FD2">
            <w:pPr>
              <w:jc w:val="center"/>
            </w:pPr>
          </w:p>
        </w:tc>
      </w:tr>
      <w:tr w14:paraId="584FE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CA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18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F1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2850">
            <w:pPr>
              <w:jc w:val="center"/>
            </w:pPr>
            <w:r>
              <w:rPr>
                <w:rFonts w:ascii="宋体" w:hAnsi="宋体" w:eastAsia="宋体"/>
                <w:sz w:val="16"/>
              </w:rPr>
              <w:t>推动非遗保护传承工作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564B">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F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B3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AA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98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58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B633">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9E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E88A7">
            <w:pPr>
              <w:jc w:val="center"/>
            </w:pPr>
          </w:p>
        </w:tc>
      </w:tr>
      <w:tr w14:paraId="48622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F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3E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3A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4C50">
            <w:pPr>
              <w:jc w:val="center"/>
            </w:pPr>
            <w:r>
              <w:rPr>
                <w:rFonts w:ascii="宋体" w:hAnsi="宋体" w:eastAsia="宋体"/>
                <w:sz w:val="16"/>
              </w:rPr>
              <w:t>国家级代表性传承人满意度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56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B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FC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8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71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B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6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6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8CE7E">
            <w:pPr>
              <w:jc w:val="center"/>
            </w:pPr>
            <w:r>
              <w:rPr>
                <w:rFonts w:ascii="宋体" w:hAnsi="宋体" w:eastAsia="宋体"/>
                <w:sz w:val="16"/>
              </w:rPr>
              <w:t>偏差原因分析：项目实施情况较好，国家级代表性传承人满意度高于预期导致出现正偏差，改进措施：基于当前良好表现，重新审视绩效目标，在以后绩效目标设置时设置更具挑战性的目标，以推动业务持续发展。</w:t>
            </w:r>
          </w:p>
        </w:tc>
      </w:tr>
      <w:tr w14:paraId="264F6F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D55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48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4F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3F29E9">
            <w:pPr>
              <w:jc w:val="center"/>
            </w:pPr>
            <w:r>
              <w:rPr>
                <w:rFonts w:ascii="宋体" w:hAnsi="宋体" w:eastAsia="宋体"/>
                <w:sz w:val="16"/>
              </w:rPr>
              <w:t>100分</w:t>
            </w:r>
          </w:p>
        </w:tc>
      </w:tr>
    </w:tbl>
    <w:p w14:paraId="54691E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240AAE9">
        <w:tblPrEx>
          <w:tblCellMar>
            <w:top w:w="0" w:type="dxa"/>
            <w:left w:w="108" w:type="dxa"/>
            <w:bottom w:w="0" w:type="dxa"/>
            <w:right w:w="108" w:type="dxa"/>
          </w:tblCellMar>
        </w:tblPrEx>
        <w:tc>
          <w:tcPr>
            <w:tcW w:w="8848" w:type="dxa"/>
            <w:gridSpan w:val="14"/>
            <w:vAlign w:val="center"/>
          </w:tcPr>
          <w:p w14:paraId="607D7DBD">
            <w:pPr>
              <w:jc w:val="center"/>
            </w:pPr>
            <w:r>
              <w:rPr>
                <w:rFonts w:ascii="宋体" w:hAnsi="宋体" w:eastAsia="宋体"/>
                <w:sz w:val="24"/>
              </w:rPr>
              <w:t>项目支出绩效自评表</w:t>
            </w:r>
          </w:p>
        </w:tc>
      </w:tr>
      <w:tr w14:paraId="3E47E028">
        <w:tblPrEx>
          <w:tblCellMar>
            <w:top w:w="0" w:type="dxa"/>
            <w:left w:w="108" w:type="dxa"/>
            <w:bottom w:w="0" w:type="dxa"/>
            <w:right w:w="108" w:type="dxa"/>
          </w:tblCellMar>
        </w:tblPrEx>
        <w:tc>
          <w:tcPr>
            <w:tcW w:w="8848" w:type="dxa"/>
            <w:gridSpan w:val="14"/>
            <w:vAlign w:val="center"/>
          </w:tcPr>
          <w:p w14:paraId="7B8A8CC6">
            <w:pPr>
              <w:jc w:val="center"/>
            </w:pPr>
            <w:r>
              <w:rPr>
                <w:rFonts w:ascii="宋体" w:hAnsi="宋体" w:eastAsia="宋体"/>
                <w:sz w:val="24"/>
              </w:rPr>
              <w:t>(2024年度)</w:t>
            </w:r>
          </w:p>
        </w:tc>
      </w:tr>
      <w:tr w14:paraId="5D6E6A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31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E332E5">
            <w:pPr>
              <w:jc w:val="center"/>
            </w:pPr>
            <w:r>
              <w:rPr>
                <w:rFonts w:ascii="宋体" w:hAnsi="宋体" w:eastAsia="宋体"/>
                <w:sz w:val="16"/>
              </w:rPr>
              <w:t>2024年美术馆、公共图书馆、文化馆（站）免费开放补助项目</w:t>
            </w:r>
          </w:p>
        </w:tc>
      </w:tr>
      <w:tr w14:paraId="6FA13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BD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C70722">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7E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42E302">
            <w:pPr>
              <w:jc w:val="center"/>
            </w:pPr>
            <w:r>
              <w:rPr>
                <w:rFonts w:ascii="宋体" w:hAnsi="宋体" w:eastAsia="宋体"/>
                <w:sz w:val="16"/>
              </w:rPr>
              <w:t>塔什库尔干塔吉克自治县文化馆</w:t>
            </w:r>
          </w:p>
        </w:tc>
      </w:tr>
      <w:tr w14:paraId="6DAC5A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F276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A7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94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23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07E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525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DD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75E8">
            <w:pPr>
              <w:jc w:val="center"/>
            </w:pPr>
            <w:r>
              <w:rPr>
                <w:rFonts w:ascii="宋体" w:hAnsi="宋体" w:eastAsia="宋体"/>
                <w:sz w:val="16"/>
              </w:rPr>
              <w:t>得分</w:t>
            </w:r>
          </w:p>
        </w:tc>
      </w:tr>
      <w:tr w14:paraId="0362EB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25A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2D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3158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3FF0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B7A9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688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D850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FA5C">
            <w:pPr>
              <w:jc w:val="center"/>
            </w:pPr>
            <w:r>
              <w:rPr>
                <w:rFonts w:ascii="宋体" w:hAnsi="宋体" w:eastAsia="宋体"/>
                <w:sz w:val="16"/>
              </w:rPr>
              <w:t>10.00分</w:t>
            </w:r>
          </w:p>
        </w:tc>
      </w:tr>
      <w:tr w14:paraId="4AE6F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3D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C67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932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950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2D0C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929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C4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0826">
            <w:pPr>
              <w:jc w:val="center"/>
            </w:pPr>
            <w:r>
              <w:rPr>
                <w:rFonts w:ascii="宋体" w:hAnsi="宋体" w:eastAsia="宋体"/>
                <w:sz w:val="16"/>
              </w:rPr>
              <w:t>—</w:t>
            </w:r>
          </w:p>
        </w:tc>
      </w:tr>
      <w:tr w14:paraId="14F12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5B1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F6A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0E9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D66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BF7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26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B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9B54">
            <w:pPr>
              <w:jc w:val="center"/>
            </w:pPr>
            <w:r>
              <w:rPr>
                <w:rFonts w:ascii="宋体" w:hAnsi="宋体" w:eastAsia="宋体"/>
                <w:sz w:val="16"/>
              </w:rPr>
              <w:t>—</w:t>
            </w:r>
          </w:p>
        </w:tc>
      </w:tr>
      <w:tr w14:paraId="5E0E5B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30C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E1A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2AA3D">
            <w:pPr>
              <w:jc w:val="center"/>
            </w:pPr>
            <w:r>
              <w:rPr>
                <w:rFonts w:ascii="宋体" w:hAnsi="宋体" w:eastAsia="宋体"/>
                <w:sz w:val="16"/>
              </w:rPr>
              <w:t>实际完成情况</w:t>
            </w:r>
          </w:p>
        </w:tc>
      </w:tr>
      <w:tr w14:paraId="067B3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E49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9583F8">
            <w:pPr>
              <w:jc w:val="both"/>
            </w:pPr>
            <w:r>
              <w:rPr>
                <w:rFonts w:ascii="宋体" w:hAnsi="宋体" w:eastAsia="宋体"/>
                <w:sz w:val="16"/>
              </w:rPr>
              <w:t>该项目计划用于全县12个乡镇“三馆一站”实行向社会免费开放，提供基本公共文化服务项目，维持日常运转所需水电费、日常运转所需经费等支出,组织乡镇画画爱好者开展农民画培训2次，人数13个塔吉克族刺绣培训1次，人数8个，维持日常运转所需水电费、日常运转所需经费等支出，全县面向群众，面向基层，实施公益文化服务，保障人民群众基本文化权益，大力开展公共文化活动，为我县精神文明建设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1408E9">
            <w:pPr>
              <w:jc w:val="both"/>
            </w:pPr>
            <w:r>
              <w:rPr>
                <w:rFonts w:ascii="宋体" w:hAnsi="宋体" w:eastAsia="宋体"/>
                <w:sz w:val="16"/>
              </w:rPr>
              <w:t>项目预算资金12万元，实际支出12万元，完成了全县12个乡镇“三馆一站”维持日常运转所需水电费等经费支出和对乡镇画画爱好者进行为期3天的培训费用支出，支付“三馆一站”日常运转费用7.98万元，支付农民画画培训费用4.02万元，“三馆一站”正常开馆率达100%，资金拨付及时率达100%，“三馆一站”实行向社会免费开放，面向群众，面向基层，实施公益文化服务；通过画画培训，保障了人民群众享受文化的基本权益，通过大力开展公共文化活动，为我县精神文明建设做出了积极贡献，使“三馆一站”服务对象对项目实施的满意度达到了98%。</w:t>
            </w:r>
          </w:p>
        </w:tc>
      </w:tr>
      <w:tr w14:paraId="174F37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06B8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E1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55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5D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DC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8D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5E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28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34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07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EE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3C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3CAC">
            <w:pPr>
              <w:jc w:val="center"/>
            </w:pPr>
            <w:r>
              <w:rPr>
                <w:rFonts w:ascii="宋体" w:hAnsi="宋体" w:eastAsia="宋体"/>
                <w:sz w:val="16"/>
              </w:rPr>
              <w:t>偏差原因分析及改进措施</w:t>
            </w:r>
          </w:p>
        </w:tc>
      </w:tr>
      <w:tr w14:paraId="47E23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1BA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CC8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335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2070">
            <w:pPr>
              <w:jc w:val="center"/>
            </w:pPr>
            <w:r>
              <w:rPr>
                <w:rFonts w:ascii="宋体" w:hAnsi="宋体" w:eastAsia="宋体"/>
                <w:sz w:val="16"/>
              </w:rPr>
              <w:t>享受免费开放资金的文化馆数量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F04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5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50F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38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0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8E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5A6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C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02F44">
            <w:pPr>
              <w:jc w:val="center"/>
            </w:pPr>
          </w:p>
        </w:tc>
      </w:tr>
      <w:tr w14:paraId="7D5A5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82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01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F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7399">
            <w:pPr>
              <w:jc w:val="center"/>
            </w:pPr>
            <w:r>
              <w:rPr>
                <w:rFonts w:ascii="宋体" w:hAnsi="宋体" w:eastAsia="宋体"/>
                <w:sz w:val="16"/>
              </w:rPr>
              <w:t>农民画培训期数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5488">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5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D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E3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F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D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5CEF">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71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F331B">
            <w:pPr>
              <w:jc w:val="center"/>
            </w:pPr>
          </w:p>
        </w:tc>
      </w:tr>
      <w:tr w14:paraId="6242E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C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AE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DF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E419">
            <w:pPr>
              <w:jc w:val="center"/>
            </w:pPr>
            <w:r>
              <w:rPr>
                <w:rFonts w:ascii="宋体" w:hAnsi="宋体" w:eastAsia="宋体"/>
                <w:sz w:val="16"/>
              </w:rPr>
              <w:t>“三馆一站”正常开馆率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3B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E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51AD">
            <w:pPr>
              <w:jc w:val="center"/>
            </w:pPr>
            <w:r>
              <w:rPr>
                <w:rFonts w:ascii="宋体" w:hAnsi="宋体" w:eastAsia="宋体"/>
                <w:sz w:val="16"/>
              </w:rPr>
              <w:t>95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F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D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2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8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7746">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ECE8">
            <w:pPr>
              <w:jc w:val="center"/>
            </w:pPr>
            <w:r>
              <w:rPr>
                <w:rFonts w:ascii="宋体" w:hAnsi="宋体" w:eastAsia="宋体"/>
                <w:sz w:val="16"/>
              </w:rPr>
              <w:t>偏差原因分析：项目实施情况较好，“三馆一站”正常开馆率高于预期导致出现正偏差，改进措施：基于当前良好表现，重新审视绩效目标，在以后绩效目标设置时设置更具挑战性的目标，以推动业务持续发展。</w:t>
            </w:r>
          </w:p>
        </w:tc>
      </w:tr>
      <w:tr w14:paraId="25944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96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4C0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C5E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237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7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7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B6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17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5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17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A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0A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56F15">
            <w:pPr>
              <w:jc w:val="center"/>
            </w:pPr>
          </w:p>
        </w:tc>
      </w:tr>
      <w:tr w14:paraId="72626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E3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42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14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690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A74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3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E2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C8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AF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8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6E4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6B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332AB">
            <w:pPr>
              <w:jc w:val="center"/>
            </w:pPr>
          </w:p>
        </w:tc>
      </w:tr>
      <w:tr w14:paraId="3CCD5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372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017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EB5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AC80">
            <w:pPr>
              <w:jc w:val="center"/>
            </w:pPr>
            <w:r>
              <w:rPr>
                <w:rFonts w:ascii="宋体" w:hAnsi="宋体" w:eastAsia="宋体"/>
                <w:sz w:val="16"/>
              </w:rPr>
              <w:t>文化馆日常运转费用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D9EE">
            <w:pPr>
              <w:jc w:val="center"/>
            </w:pPr>
            <w:r>
              <w:rPr>
                <w:rFonts w:ascii="宋体" w:hAnsi="宋体" w:eastAsia="宋体"/>
                <w:sz w:val="16"/>
              </w:rPr>
              <w:t>&lt;=7.98万元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A6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B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1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E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5F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4B72">
            <w:pPr>
              <w:jc w:val="center"/>
            </w:pPr>
            <w:r>
              <w:rPr>
                <w:rFonts w:ascii="宋体" w:hAnsi="宋体" w:eastAsia="宋体"/>
                <w:sz w:val="16"/>
              </w:rPr>
              <w:t>=7.98万元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A2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FFAB1">
            <w:pPr>
              <w:jc w:val="center"/>
            </w:pPr>
          </w:p>
        </w:tc>
      </w:tr>
      <w:tr w14:paraId="3D069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FC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B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34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87A0">
            <w:pPr>
              <w:jc w:val="center"/>
            </w:pPr>
            <w:r>
              <w:rPr>
                <w:rFonts w:ascii="宋体" w:hAnsi="宋体" w:eastAsia="宋体"/>
                <w:sz w:val="16"/>
              </w:rPr>
              <w:t>文化馆农民画培训费用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D1E2">
            <w:pPr>
              <w:jc w:val="center"/>
            </w:pPr>
            <w:r>
              <w:rPr>
                <w:rFonts w:ascii="宋体" w:hAnsi="宋体" w:eastAsia="宋体"/>
                <w:sz w:val="16"/>
              </w:rPr>
              <w:t>&lt;=4.02万元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37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DE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F9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8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7E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7170">
            <w:pPr>
              <w:jc w:val="center"/>
            </w:pPr>
            <w:r>
              <w:rPr>
                <w:rFonts w:ascii="宋体" w:hAnsi="宋体" w:eastAsia="宋体"/>
                <w:sz w:val="16"/>
              </w:rPr>
              <w: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22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957EA">
            <w:pPr>
              <w:jc w:val="center"/>
            </w:pPr>
          </w:p>
        </w:tc>
      </w:tr>
      <w:tr w14:paraId="60DA2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82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B8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20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CCF1">
            <w:pPr>
              <w:jc w:val="center"/>
            </w:pPr>
            <w:r>
              <w:rPr>
                <w:rFonts w:ascii="宋体" w:hAnsi="宋体" w:eastAsia="宋体"/>
                <w:sz w:val="16"/>
              </w:rPr>
              <w:t>提升我县精神文明建设程度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BDF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2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DEA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5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E1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31B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EA8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204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DCE1">
            <w:pPr>
              <w:jc w:val="center"/>
            </w:pPr>
          </w:p>
        </w:tc>
      </w:tr>
      <w:tr w14:paraId="21086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1B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3C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9E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7E5C">
            <w:pPr>
              <w:jc w:val="center"/>
            </w:pPr>
            <w:r>
              <w:rPr>
                <w:rFonts w:ascii="宋体" w:hAnsi="宋体" w:eastAsia="宋体"/>
                <w:sz w:val="16"/>
              </w:rPr>
              <w:t>“三馆一站”服务对象满意度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F39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0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326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8D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5F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8EF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6AE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66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EEC2">
            <w:pPr>
              <w:jc w:val="center"/>
            </w:pPr>
          </w:p>
        </w:tc>
      </w:tr>
      <w:tr w14:paraId="21C6D5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EB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68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227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D74AE">
            <w:pPr>
              <w:jc w:val="center"/>
            </w:pPr>
            <w:r>
              <w:rPr>
                <w:rFonts w:ascii="宋体" w:hAnsi="宋体" w:eastAsia="宋体"/>
                <w:sz w:val="16"/>
              </w:rPr>
              <w:t>99.47分</w:t>
            </w:r>
          </w:p>
        </w:tc>
      </w:tr>
    </w:tbl>
    <w:p w14:paraId="1AB74B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122831D0">
        <w:tblPrEx>
          <w:tblCellMar>
            <w:top w:w="0" w:type="dxa"/>
            <w:left w:w="108" w:type="dxa"/>
            <w:bottom w:w="0" w:type="dxa"/>
            <w:right w:w="108" w:type="dxa"/>
          </w:tblCellMar>
        </w:tblPrEx>
        <w:tc>
          <w:tcPr>
            <w:tcW w:w="8848" w:type="dxa"/>
            <w:gridSpan w:val="14"/>
            <w:vAlign w:val="center"/>
          </w:tcPr>
          <w:p w14:paraId="7F415A7E">
            <w:pPr>
              <w:jc w:val="center"/>
            </w:pPr>
            <w:r>
              <w:rPr>
                <w:rFonts w:ascii="宋体" w:hAnsi="宋体" w:eastAsia="宋体"/>
                <w:sz w:val="24"/>
              </w:rPr>
              <w:t>项目支出绩效自评表</w:t>
            </w:r>
          </w:p>
        </w:tc>
      </w:tr>
      <w:tr w14:paraId="15173699">
        <w:tblPrEx>
          <w:tblCellMar>
            <w:top w:w="0" w:type="dxa"/>
            <w:left w:w="108" w:type="dxa"/>
            <w:bottom w:w="0" w:type="dxa"/>
            <w:right w:w="108" w:type="dxa"/>
          </w:tblCellMar>
        </w:tblPrEx>
        <w:tc>
          <w:tcPr>
            <w:tcW w:w="8848" w:type="dxa"/>
            <w:gridSpan w:val="14"/>
            <w:vAlign w:val="center"/>
          </w:tcPr>
          <w:p w14:paraId="1D2E5679">
            <w:pPr>
              <w:jc w:val="center"/>
            </w:pPr>
            <w:r>
              <w:rPr>
                <w:rFonts w:ascii="宋体" w:hAnsi="宋体" w:eastAsia="宋体"/>
                <w:sz w:val="24"/>
              </w:rPr>
              <w:t>(2024年度)</w:t>
            </w:r>
          </w:p>
        </w:tc>
      </w:tr>
      <w:tr w14:paraId="0F9F9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BB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2B8D45">
            <w:pPr>
              <w:jc w:val="center"/>
            </w:pPr>
            <w:r>
              <w:rPr>
                <w:rFonts w:ascii="宋体" w:hAnsi="宋体" w:eastAsia="宋体"/>
                <w:sz w:val="16"/>
              </w:rPr>
              <w:t>2024年自治区非物质文化遗产保护《肖贡巴哈尔节》项目</w:t>
            </w:r>
          </w:p>
        </w:tc>
      </w:tr>
      <w:tr w14:paraId="74B24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53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C2D1A">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1F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8137C">
            <w:pPr>
              <w:jc w:val="center"/>
            </w:pPr>
            <w:r>
              <w:rPr>
                <w:rFonts w:ascii="宋体" w:hAnsi="宋体" w:eastAsia="宋体"/>
                <w:sz w:val="16"/>
              </w:rPr>
              <w:t>塔什库尔干塔吉克自治县文化馆</w:t>
            </w:r>
          </w:p>
        </w:tc>
      </w:tr>
      <w:tr w14:paraId="4C6FCC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ADB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443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72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69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DFA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A83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E8C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6C82">
            <w:pPr>
              <w:jc w:val="center"/>
            </w:pPr>
            <w:r>
              <w:rPr>
                <w:rFonts w:ascii="宋体" w:hAnsi="宋体" w:eastAsia="宋体"/>
                <w:sz w:val="16"/>
              </w:rPr>
              <w:t>得分</w:t>
            </w:r>
          </w:p>
        </w:tc>
      </w:tr>
      <w:tr w14:paraId="0918E3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B65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32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6F4F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600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0FA8D">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B41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65E50">
            <w:pPr>
              <w:jc w:val="center"/>
            </w:pPr>
            <w:r>
              <w:rPr>
                <w:rFonts w:ascii="宋体" w:hAnsi="宋体" w:eastAsia="宋体"/>
                <w:sz w:val="16"/>
              </w:rPr>
              <w:t>98.</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521A">
            <w:pPr>
              <w:jc w:val="center"/>
            </w:pPr>
            <w:r>
              <w:rPr>
                <w:rFonts w:ascii="宋体" w:hAnsi="宋体" w:eastAsia="宋体"/>
                <w:sz w:val="16"/>
              </w:rPr>
              <w:t>9.50分</w:t>
            </w:r>
          </w:p>
        </w:tc>
      </w:tr>
      <w:tr w14:paraId="11DE7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702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30B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E572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892E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760E">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88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95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7277">
            <w:pPr>
              <w:jc w:val="center"/>
            </w:pPr>
            <w:r>
              <w:rPr>
                <w:rFonts w:ascii="宋体" w:hAnsi="宋体" w:eastAsia="宋体"/>
                <w:sz w:val="16"/>
              </w:rPr>
              <w:t>—</w:t>
            </w:r>
          </w:p>
        </w:tc>
      </w:tr>
      <w:tr w14:paraId="53B06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552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C8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FD4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E2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969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A91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77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1A73">
            <w:pPr>
              <w:jc w:val="center"/>
            </w:pPr>
            <w:r>
              <w:rPr>
                <w:rFonts w:ascii="宋体" w:hAnsi="宋体" w:eastAsia="宋体"/>
                <w:sz w:val="16"/>
              </w:rPr>
              <w:t>—</w:t>
            </w:r>
          </w:p>
        </w:tc>
      </w:tr>
      <w:tr w14:paraId="2D0A03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E5A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62B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709EC">
            <w:pPr>
              <w:jc w:val="center"/>
            </w:pPr>
            <w:r>
              <w:rPr>
                <w:rFonts w:ascii="宋体" w:hAnsi="宋体" w:eastAsia="宋体"/>
                <w:sz w:val="16"/>
              </w:rPr>
              <w:t>实际完成情况</w:t>
            </w:r>
          </w:p>
        </w:tc>
      </w:tr>
      <w:tr w14:paraId="15618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334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BF03B2">
            <w:pPr>
              <w:jc w:val="both"/>
            </w:pPr>
            <w:r>
              <w:rPr>
                <w:rFonts w:ascii="宋体" w:hAnsi="宋体" w:eastAsia="宋体"/>
                <w:sz w:val="16"/>
              </w:rPr>
              <w:t>该项目计划资金10万元，用于全面加强我县非物质文化遗产保护工作，积极探索和遵循非物质文化遗产传承、组织开展塔吉克族传统节日《塔吉克族肖贡巴哈尔节》大型活动。期间举办全县性《塔吉克族肖贡巴哈尔节》文艺，传统体育，民俗和各项非遗展示，展演活动和传承人和徒弟进行现场培训。首先要提前做好活动举办场所，组织文艺队伍和排练，民俗活动的实物。通过学习《塔吉克族肖贡巴哈尔节》仪式活动的礼仪技巧，和群众一起参加活动，传承人群和群众合作准备组织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8E6C39">
            <w:pPr>
              <w:jc w:val="both"/>
            </w:pPr>
            <w:r>
              <w:rPr>
                <w:rFonts w:ascii="宋体" w:hAnsi="宋体" w:eastAsia="宋体"/>
                <w:sz w:val="16"/>
              </w:rPr>
              <w:t>项目预算资金10万元，实际支出9.8万元，完成了塔吉克族肖贡巴哈尔节文艺、传统体育，民俗活动开展和各项非遗展示，传承人和徒弟进行现场培训，其中支付活动开展费用8.55万元，支付非物质传承人培训费用1.45万元，开展文化活动次数达19次，非物质文化遗产传承人培训次数达2次，补助资金覆盖率达100%，资金拨付及时率97.66%，项目的实施全面加强了我县非物质文化遗产保护工作，积极探索和遵循非物质文化遗产传承，保障了文化遗产得到了传承和弘扬，避免了其在现代社会中逐渐消失，进而推动了非遗保护传承</w:t>
            </w:r>
            <w:r>
              <w:rPr>
                <w:rFonts w:hint="eastAsia" w:ascii="宋体" w:hAnsi="宋体"/>
                <w:sz w:val="16"/>
                <w:lang w:eastAsia="zh-CN"/>
              </w:rPr>
              <w:t>工作的开展</w:t>
            </w:r>
            <w:r>
              <w:rPr>
                <w:rFonts w:ascii="宋体" w:hAnsi="宋体" w:eastAsia="宋体"/>
                <w:sz w:val="16"/>
              </w:rPr>
              <w:t>，使广大群众对项目实施的满意度达到了95%。</w:t>
            </w:r>
          </w:p>
        </w:tc>
      </w:tr>
      <w:tr w14:paraId="642A4D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0DC9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5D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26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B9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51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F5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A3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54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F6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31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12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D7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7AA9A">
            <w:pPr>
              <w:jc w:val="center"/>
            </w:pPr>
            <w:r>
              <w:rPr>
                <w:rFonts w:ascii="宋体" w:hAnsi="宋体" w:eastAsia="宋体"/>
                <w:sz w:val="16"/>
              </w:rPr>
              <w:t>偏差原因分析及改进措施</w:t>
            </w:r>
          </w:p>
        </w:tc>
      </w:tr>
      <w:tr w14:paraId="77FA4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90B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D89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4F9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7E78">
            <w:pPr>
              <w:jc w:val="center"/>
            </w:pPr>
            <w:r>
              <w:rPr>
                <w:rFonts w:ascii="宋体" w:hAnsi="宋体" w:eastAsia="宋体"/>
                <w:sz w:val="16"/>
              </w:rPr>
              <w:t>文化活动开展次数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7880">
            <w:pPr>
              <w:jc w:val="center"/>
            </w:pPr>
            <w:r>
              <w:rPr>
                <w:rFonts w:ascii="宋体" w:hAnsi="宋体" w:eastAsia="宋体"/>
                <w:sz w:val="16"/>
              </w:rPr>
              <w:t>&gt;=19次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B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0C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7A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E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7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C43B">
            <w:pPr>
              <w:jc w:val="center"/>
            </w:pPr>
            <w:r>
              <w:rPr>
                <w:rFonts w:ascii="宋体" w:hAnsi="宋体" w:eastAsia="宋体"/>
                <w:sz w:val="16"/>
              </w:rPr>
              <w: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0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F917">
            <w:pPr>
              <w:jc w:val="center"/>
            </w:pPr>
          </w:p>
        </w:tc>
      </w:tr>
      <w:tr w14:paraId="641AF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03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33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DA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83E3">
            <w:pPr>
              <w:jc w:val="center"/>
            </w:pPr>
            <w:r>
              <w:rPr>
                <w:rFonts w:ascii="宋体" w:hAnsi="宋体" w:eastAsia="宋体"/>
                <w:sz w:val="16"/>
              </w:rPr>
              <w:t>非物质文化遗产传承人培训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9E0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7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43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D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4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2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D19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98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8281">
            <w:pPr>
              <w:jc w:val="center"/>
            </w:pPr>
          </w:p>
        </w:tc>
      </w:tr>
      <w:tr w14:paraId="34303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09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ED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B5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8435">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5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9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D7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6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6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8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7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88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64091">
            <w:pPr>
              <w:jc w:val="center"/>
            </w:pPr>
          </w:p>
        </w:tc>
      </w:tr>
      <w:tr w14:paraId="39454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34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53F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BBC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449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8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3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6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83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D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D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B659">
            <w:pPr>
              <w:jc w:val="center"/>
            </w:pPr>
            <w:r>
              <w:rPr>
                <w:rFonts w:ascii="宋体" w:hAnsi="宋体" w:eastAsia="宋体"/>
                <w:sz w:val="16"/>
              </w:rPr>
              <w:t>=97.66%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41F8">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9FC76">
            <w:pPr>
              <w:jc w:val="center"/>
            </w:pPr>
            <w:r>
              <w:rPr>
                <w:rFonts w:ascii="宋体" w:hAnsi="宋体" w:eastAsia="宋体"/>
                <w:sz w:val="16"/>
              </w:rPr>
              <w:t>偏差原因分析：班迪尔乡到了年底基本户冻结了，导致1968元肖贡巴哈尔节经费未及时支出；改进措施：根据项目需求，后续合理设置绩效指标，合理规划和调配资金，保障工作按时按量进行，避免资金闲置，提高资金使用效率。</w:t>
            </w:r>
          </w:p>
        </w:tc>
      </w:tr>
      <w:tr w14:paraId="1AE20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2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03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30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F49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FD9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5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A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8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F6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1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6ED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F8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F938">
            <w:pPr>
              <w:jc w:val="center"/>
            </w:pPr>
          </w:p>
        </w:tc>
      </w:tr>
      <w:tr w14:paraId="66B71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53E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85C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80A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2EF5">
            <w:pPr>
              <w:jc w:val="center"/>
            </w:pPr>
            <w:r>
              <w:rPr>
                <w:rFonts w:ascii="宋体" w:hAnsi="宋体" w:eastAsia="宋体"/>
                <w:sz w:val="16"/>
              </w:rPr>
              <w:t>活动开展费用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FC68">
            <w:pPr>
              <w:jc w:val="center"/>
            </w:pPr>
            <w:r>
              <w:rPr>
                <w:rFonts w:ascii="宋体" w:hAnsi="宋体" w:eastAsia="宋体"/>
                <w:sz w:val="16"/>
              </w:rPr>
              <w:t>&lt;=8.55万元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29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0C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6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B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18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D986">
            <w:pPr>
              <w:jc w:val="center"/>
            </w:pPr>
            <w:r>
              <w:rPr>
                <w:rFonts w:ascii="宋体" w:hAnsi="宋体" w:eastAsia="宋体"/>
                <w:sz w:val="16"/>
              </w:rPr>
              <w:t>=8.35万元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3381">
            <w:pPr>
              <w:jc w:val="center"/>
            </w:pPr>
            <w:r>
              <w:rPr>
                <w:rFonts w:ascii="宋体" w:hAnsi="宋体" w:eastAsia="宋体"/>
                <w:sz w:val="16"/>
              </w:rPr>
              <w:t>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0816">
            <w:pPr>
              <w:jc w:val="center"/>
            </w:pPr>
            <w:r>
              <w:rPr>
                <w:rFonts w:ascii="宋体" w:hAnsi="宋体" w:eastAsia="宋体"/>
                <w:sz w:val="16"/>
              </w:rPr>
              <w:t>偏差原因分析：班迪尔乡到了年底基本户冻结了，导致1968元肖贡巴哈尔节经费未及时支出；改进措施：根据项目需求，后续合理设置绩效指标，合理规划和调配资金，保障工作按时按量进行，避免资金闲置，提高资金使用效率。</w:t>
            </w:r>
          </w:p>
        </w:tc>
      </w:tr>
      <w:tr w14:paraId="1AC1C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18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65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7A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926A">
            <w:pPr>
              <w:jc w:val="center"/>
            </w:pPr>
            <w:r>
              <w:rPr>
                <w:rFonts w:ascii="宋体" w:hAnsi="宋体" w:eastAsia="宋体"/>
                <w:sz w:val="16"/>
              </w:rPr>
              <w:t>非物质传承人培训费用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C369">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87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3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8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8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EF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37D3">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77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77F5">
            <w:pPr>
              <w:jc w:val="center"/>
            </w:pPr>
          </w:p>
        </w:tc>
      </w:tr>
      <w:tr w14:paraId="79FDE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A5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EB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69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DAD2">
            <w:pPr>
              <w:jc w:val="center"/>
            </w:pPr>
            <w:r>
              <w:rPr>
                <w:rFonts w:ascii="宋体" w:hAnsi="宋体" w:eastAsia="宋体"/>
                <w:sz w:val="16"/>
              </w:rPr>
              <w:t>丰富各族干部群众的精神文化生活在全县营造团结向上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7440">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C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E5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9F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F9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8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1598">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2F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563C">
            <w:pPr>
              <w:jc w:val="center"/>
            </w:pPr>
          </w:p>
        </w:tc>
      </w:tr>
      <w:tr w14:paraId="126C3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0C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67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66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622F">
            <w:pPr>
              <w:jc w:val="center"/>
            </w:pPr>
            <w:r>
              <w:rPr>
                <w:rFonts w:ascii="宋体" w:hAnsi="宋体" w:eastAsia="宋体"/>
                <w:sz w:val="16"/>
              </w:rPr>
              <w:t>广大群众服务满意度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82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3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0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0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E3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F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C8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CD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A41A">
            <w:pPr>
              <w:jc w:val="center"/>
            </w:pPr>
          </w:p>
        </w:tc>
      </w:tr>
      <w:tr w14:paraId="07FEC5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04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51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416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4814D5">
            <w:pPr>
              <w:jc w:val="center"/>
            </w:pPr>
            <w:r>
              <w:rPr>
                <w:rFonts w:ascii="宋体" w:hAnsi="宋体" w:eastAsia="宋体"/>
                <w:sz w:val="16"/>
              </w:rPr>
              <w:t>98.62分</w:t>
            </w:r>
          </w:p>
        </w:tc>
      </w:tr>
    </w:tbl>
    <w:p w14:paraId="65AD2D47">
      <w:r>
        <w:br w:type="page"/>
      </w:r>
    </w:p>
    <w:p w14:paraId="41F98982">
      <w:pPr>
        <w:spacing w:line="640" w:lineRule="exact"/>
        <w:ind w:firstLine="640"/>
        <w:jc w:val="both"/>
        <w:outlineLvl w:val="2"/>
      </w:pPr>
      <w:r>
        <w:rPr>
          <w:rFonts w:ascii="黑体" w:hAnsi="黑体" w:eastAsia="黑体"/>
          <w:sz w:val="32"/>
        </w:rPr>
        <w:t>十二、其他需说明的事项</w:t>
      </w:r>
    </w:p>
    <w:p w14:paraId="43A94634">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254D150">
      <w:r>
        <w:br w:type="page"/>
      </w:r>
    </w:p>
    <w:p w14:paraId="37191409">
      <w:pPr>
        <w:spacing w:line="240" w:lineRule="auto"/>
        <w:jc w:val="center"/>
        <w:outlineLvl w:val="1"/>
      </w:pPr>
      <w:r>
        <w:rPr>
          <w:rFonts w:ascii="黑体" w:hAnsi="黑体" w:eastAsia="黑体"/>
          <w:sz w:val="32"/>
        </w:rPr>
        <w:t>第三部分 专业名词解释</w:t>
      </w:r>
    </w:p>
    <w:p w14:paraId="58B58F1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0B8D1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C582A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D80DE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AC53C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31FF4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5E35B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98451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0C9BB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E50D9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1B412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2B9B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456AF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2969E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86D9E57">
      <w:r>
        <w:br w:type="page"/>
      </w:r>
    </w:p>
    <w:p w14:paraId="50DD6BF7">
      <w:pPr>
        <w:spacing w:line="240" w:lineRule="auto"/>
        <w:jc w:val="center"/>
        <w:outlineLvl w:val="1"/>
      </w:pPr>
      <w:r>
        <w:rPr>
          <w:rFonts w:ascii="黑体" w:hAnsi="黑体" w:eastAsia="黑体"/>
          <w:sz w:val="32"/>
        </w:rPr>
        <w:t>第四部分 部门决算报表（见附表）</w:t>
      </w:r>
    </w:p>
    <w:p w14:paraId="65F5FD50">
      <w:pPr>
        <w:spacing w:line="240" w:lineRule="auto"/>
        <w:ind w:firstLine="640"/>
        <w:jc w:val="both"/>
      </w:pPr>
      <w:r>
        <w:rPr>
          <w:rFonts w:ascii="仿宋_GB2312" w:hAnsi="仿宋_GB2312" w:eastAsia="仿宋_GB2312"/>
          <w:b w:val="0"/>
          <w:sz w:val="32"/>
        </w:rPr>
        <w:t>一、《收入支出决算总表》</w:t>
      </w:r>
    </w:p>
    <w:p w14:paraId="76C222BA">
      <w:pPr>
        <w:spacing w:line="240" w:lineRule="auto"/>
        <w:ind w:firstLine="640"/>
        <w:jc w:val="both"/>
      </w:pPr>
      <w:r>
        <w:rPr>
          <w:rFonts w:ascii="仿宋_GB2312" w:hAnsi="仿宋_GB2312" w:eastAsia="仿宋_GB2312"/>
          <w:b w:val="0"/>
          <w:sz w:val="32"/>
        </w:rPr>
        <w:t>二、《收入决算表》</w:t>
      </w:r>
    </w:p>
    <w:p w14:paraId="24F1C892">
      <w:pPr>
        <w:spacing w:line="240" w:lineRule="auto"/>
        <w:ind w:firstLine="640"/>
        <w:jc w:val="both"/>
      </w:pPr>
      <w:r>
        <w:rPr>
          <w:rFonts w:ascii="仿宋_GB2312" w:hAnsi="仿宋_GB2312" w:eastAsia="仿宋_GB2312"/>
          <w:b w:val="0"/>
          <w:sz w:val="32"/>
        </w:rPr>
        <w:t>三、《支出决算表》</w:t>
      </w:r>
    </w:p>
    <w:p w14:paraId="2CC4896D">
      <w:pPr>
        <w:spacing w:line="240" w:lineRule="auto"/>
        <w:ind w:firstLine="640"/>
        <w:jc w:val="both"/>
      </w:pPr>
      <w:r>
        <w:rPr>
          <w:rFonts w:ascii="仿宋_GB2312" w:hAnsi="仿宋_GB2312" w:eastAsia="仿宋_GB2312"/>
          <w:b w:val="0"/>
          <w:sz w:val="32"/>
        </w:rPr>
        <w:t>四、《财政拨款收入支出决算总表》</w:t>
      </w:r>
    </w:p>
    <w:p w14:paraId="4C985AAF">
      <w:pPr>
        <w:spacing w:line="240" w:lineRule="auto"/>
        <w:ind w:firstLine="640"/>
        <w:jc w:val="both"/>
      </w:pPr>
      <w:r>
        <w:rPr>
          <w:rFonts w:ascii="仿宋_GB2312" w:hAnsi="仿宋_GB2312" w:eastAsia="仿宋_GB2312"/>
          <w:b w:val="0"/>
          <w:sz w:val="32"/>
        </w:rPr>
        <w:t>五、《一般公共预算财政拨款支出决算表》</w:t>
      </w:r>
    </w:p>
    <w:p w14:paraId="4DD7344E">
      <w:pPr>
        <w:spacing w:line="240" w:lineRule="auto"/>
        <w:ind w:firstLine="640"/>
        <w:jc w:val="both"/>
      </w:pPr>
      <w:r>
        <w:rPr>
          <w:rFonts w:ascii="仿宋_GB2312" w:hAnsi="仿宋_GB2312" w:eastAsia="仿宋_GB2312"/>
          <w:b w:val="0"/>
          <w:sz w:val="32"/>
        </w:rPr>
        <w:t>六、《一般公共预算财政拨款基本支出决算表》</w:t>
      </w:r>
    </w:p>
    <w:p w14:paraId="4E8B0F29">
      <w:pPr>
        <w:spacing w:line="240" w:lineRule="auto"/>
        <w:ind w:firstLine="640"/>
        <w:jc w:val="both"/>
      </w:pPr>
      <w:r>
        <w:rPr>
          <w:rFonts w:ascii="仿宋_GB2312" w:hAnsi="仿宋_GB2312" w:eastAsia="仿宋_GB2312"/>
          <w:b w:val="0"/>
          <w:sz w:val="32"/>
        </w:rPr>
        <w:t>七、《政府性基金预算财政拨款收入支出决算表》</w:t>
      </w:r>
    </w:p>
    <w:p w14:paraId="79F1844F">
      <w:pPr>
        <w:spacing w:line="240" w:lineRule="auto"/>
        <w:ind w:firstLine="640"/>
        <w:jc w:val="both"/>
      </w:pPr>
      <w:r>
        <w:rPr>
          <w:rFonts w:ascii="仿宋_GB2312" w:hAnsi="仿宋_GB2312" w:eastAsia="仿宋_GB2312"/>
          <w:b w:val="0"/>
          <w:sz w:val="32"/>
        </w:rPr>
        <w:t>八、《国有资本经营预算财政拨款收入支出决算表》</w:t>
      </w:r>
    </w:p>
    <w:p w14:paraId="6F340330">
      <w:pPr>
        <w:spacing w:line="240" w:lineRule="auto"/>
        <w:ind w:firstLine="640"/>
        <w:jc w:val="both"/>
      </w:pPr>
      <w:r>
        <w:rPr>
          <w:rFonts w:ascii="仿宋_GB2312" w:hAnsi="仿宋_GB2312" w:eastAsia="仿宋_GB2312"/>
          <w:b w:val="0"/>
          <w:sz w:val="32"/>
        </w:rPr>
        <w:t>九、《财政拨款“三公”经费支出决算表》</w:t>
      </w:r>
    </w:p>
    <w:p w14:paraId="15C7D63D">
      <w:pPr>
        <w:spacing w:line="240" w:lineRule="auto"/>
        <w:ind w:firstLine="640"/>
        <w:jc w:val="both"/>
      </w:pPr>
    </w:p>
    <w:p w14:paraId="2FF1CCCE">
      <w:pPr>
        <w:spacing w:line="240" w:lineRule="auto"/>
        <w:ind w:firstLine="640"/>
        <w:jc w:val="both"/>
      </w:pPr>
    </w:p>
    <w:p w14:paraId="2E96247B">
      <w:pPr>
        <w:spacing w:line="240" w:lineRule="auto"/>
        <w:ind w:firstLine="640"/>
        <w:jc w:val="both"/>
      </w:pPr>
    </w:p>
    <w:p w14:paraId="76CE7A11">
      <w:pPr>
        <w:spacing w:line="240" w:lineRule="auto"/>
        <w:ind w:firstLine="640"/>
        <w:jc w:val="both"/>
      </w:pPr>
    </w:p>
    <w:p w14:paraId="255DF17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7767CE"/>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0D018F"/>
    <w:rsid w:val="38006E2C"/>
    <w:rsid w:val="387C0DCD"/>
    <w:rsid w:val="3914510A"/>
    <w:rsid w:val="3B1220C9"/>
    <w:rsid w:val="3D5275AC"/>
    <w:rsid w:val="3EA7725F"/>
    <w:rsid w:val="3EC014A1"/>
    <w:rsid w:val="40834692"/>
    <w:rsid w:val="423A32B2"/>
    <w:rsid w:val="423C0CB4"/>
    <w:rsid w:val="427B5743"/>
    <w:rsid w:val="42E64542"/>
    <w:rsid w:val="441520E6"/>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BC5B44"/>
    <w:rsid w:val="67BB1444"/>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6077</Words>
  <Characters>6884</Characters>
  <Lines>0</Lines>
  <Paragraphs>0</Paragraphs>
  <TotalTime>32</TotalTime>
  <ScaleCrop>false</ScaleCrop>
  <LinksUpToDate>false</LinksUpToDate>
  <CharactersWithSpaces>6898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