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90B72">
      <w:pPr>
        <w:spacing w:line="570" w:lineRule="exact"/>
        <w:jc w:val="center"/>
        <w:rPr>
          <w:rFonts w:ascii="华文中宋" w:hAnsi="华文中宋" w:eastAsia="华文中宋" w:cs="宋体"/>
          <w:b/>
          <w:kern w:val="0"/>
          <w:sz w:val="52"/>
          <w:szCs w:val="52"/>
        </w:rPr>
      </w:pPr>
    </w:p>
    <w:p w14:paraId="3FE6645B">
      <w:pPr>
        <w:spacing w:line="570" w:lineRule="exact"/>
        <w:jc w:val="center"/>
        <w:rPr>
          <w:rFonts w:ascii="华文中宋" w:hAnsi="华文中宋" w:eastAsia="华文中宋" w:cs="宋体"/>
          <w:b/>
          <w:kern w:val="0"/>
          <w:sz w:val="52"/>
          <w:szCs w:val="52"/>
        </w:rPr>
      </w:pPr>
    </w:p>
    <w:p w14:paraId="4E47FA9D">
      <w:pPr>
        <w:spacing w:line="570" w:lineRule="exact"/>
        <w:jc w:val="center"/>
        <w:rPr>
          <w:rFonts w:ascii="华文中宋" w:hAnsi="华文中宋" w:eastAsia="华文中宋" w:cs="宋体"/>
          <w:b/>
          <w:kern w:val="0"/>
          <w:sz w:val="52"/>
          <w:szCs w:val="52"/>
        </w:rPr>
      </w:pPr>
    </w:p>
    <w:p w14:paraId="3CDA72C2">
      <w:pPr>
        <w:spacing w:line="570" w:lineRule="exact"/>
        <w:jc w:val="center"/>
        <w:rPr>
          <w:rFonts w:ascii="华文中宋" w:hAnsi="华文中宋" w:eastAsia="华文中宋" w:cs="宋体"/>
          <w:b/>
          <w:kern w:val="0"/>
          <w:sz w:val="52"/>
          <w:szCs w:val="52"/>
        </w:rPr>
      </w:pPr>
    </w:p>
    <w:p w14:paraId="768C9CEE">
      <w:pPr>
        <w:spacing w:line="570" w:lineRule="exact"/>
        <w:jc w:val="both"/>
        <w:rPr>
          <w:rFonts w:ascii="华文中宋" w:hAnsi="华文中宋" w:eastAsia="华文中宋" w:cs="宋体"/>
          <w:b/>
          <w:kern w:val="0"/>
          <w:sz w:val="52"/>
          <w:szCs w:val="52"/>
        </w:rPr>
      </w:pPr>
    </w:p>
    <w:p w14:paraId="5F45432B">
      <w:pPr>
        <w:spacing w:line="570" w:lineRule="exact"/>
        <w:jc w:val="center"/>
        <w:rPr>
          <w:rFonts w:ascii="华文中宋" w:hAnsi="华文中宋" w:eastAsia="华文中宋" w:cs="宋体"/>
          <w:b/>
          <w:kern w:val="0"/>
          <w:sz w:val="52"/>
          <w:szCs w:val="52"/>
        </w:rPr>
      </w:pPr>
    </w:p>
    <w:p w14:paraId="2679B8F9">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146326B">
      <w:pPr>
        <w:spacing w:line="570" w:lineRule="exact"/>
        <w:jc w:val="center"/>
        <w:rPr>
          <w:rFonts w:ascii="华文中宋" w:hAnsi="华文中宋" w:eastAsia="华文中宋" w:cs="宋体"/>
          <w:b/>
          <w:kern w:val="0"/>
          <w:sz w:val="52"/>
          <w:szCs w:val="52"/>
        </w:rPr>
      </w:pPr>
    </w:p>
    <w:p w14:paraId="7446E97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494CDD7">
      <w:pPr>
        <w:spacing w:line="570" w:lineRule="exact"/>
        <w:jc w:val="center"/>
        <w:rPr>
          <w:rFonts w:hAnsi="宋体" w:eastAsia="仿宋_GB2312" w:cs="宋体"/>
          <w:kern w:val="0"/>
          <w:sz w:val="30"/>
          <w:szCs w:val="30"/>
        </w:rPr>
      </w:pPr>
    </w:p>
    <w:p w14:paraId="66D7EB3A">
      <w:pPr>
        <w:spacing w:line="570" w:lineRule="exact"/>
        <w:jc w:val="center"/>
        <w:rPr>
          <w:rFonts w:hAnsi="宋体" w:eastAsia="仿宋_GB2312" w:cs="宋体"/>
          <w:kern w:val="0"/>
          <w:sz w:val="30"/>
          <w:szCs w:val="30"/>
        </w:rPr>
      </w:pPr>
    </w:p>
    <w:p w14:paraId="6F7C0F9A">
      <w:pPr>
        <w:spacing w:line="570" w:lineRule="exact"/>
        <w:jc w:val="center"/>
        <w:rPr>
          <w:rFonts w:hAnsi="宋体" w:eastAsia="仿宋_GB2312" w:cs="宋体"/>
          <w:kern w:val="0"/>
          <w:sz w:val="30"/>
          <w:szCs w:val="30"/>
        </w:rPr>
      </w:pPr>
    </w:p>
    <w:p w14:paraId="43A06746">
      <w:pPr>
        <w:spacing w:line="570" w:lineRule="exact"/>
        <w:jc w:val="center"/>
        <w:rPr>
          <w:rFonts w:hAnsi="宋体" w:eastAsia="仿宋_GB2312" w:cs="宋体"/>
          <w:kern w:val="0"/>
          <w:sz w:val="30"/>
          <w:szCs w:val="30"/>
        </w:rPr>
      </w:pPr>
    </w:p>
    <w:p w14:paraId="21E40061">
      <w:pPr>
        <w:spacing w:line="570" w:lineRule="exact"/>
        <w:jc w:val="center"/>
        <w:rPr>
          <w:rFonts w:hAnsi="宋体" w:eastAsia="仿宋_GB2312" w:cs="宋体"/>
          <w:kern w:val="0"/>
          <w:sz w:val="30"/>
          <w:szCs w:val="30"/>
        </w:rPr>
      </w:pPr>
    </w:p>
    <w:p w14:paraId="3FC9EDF1">
      <w:pPr>
        <w:spacing w:line="570" w:lineRule="exact"/>
        <w:jc w:val="center"/>
        <w:rPr>
          <w:rFonts w:hAnsi="宋体" w:eastAsia="仿宋_GB2312" w:cs="宋体"/>
          <w:kern w:val="0"/>
          <w:sz w:val="30"/>
          <w:szCs w:val="30"/>
        </w:rPr>
      </w:pPr>
    </w:p>
    <w:p w14:paraId="3590ABC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中央补助地方公共文化服务体系建设补助项目</w:t>
      </w:r>
    </w:p>
    <w:p w14:paraId="1C099B9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塔什库尔干塔吉克自治县广播电视台</w:t>
      </w:r>
    </w:p>
    <w:p w14:paraId="5E12A25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中共塔什库尔干塔吉克自治县委员会宣传部</w:t>
      </w:r>
    </w:p>
    <w:p w14:paraId="18DF7D1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乔良</w:t>
      </w:r>
    </w:p>
    <w:p w14:paraId="019D8B2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14:paraId="1EEEB247">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149985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4534F7A">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5E32BD2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中央补助地方公共文化服务体系建设补助项目实施前期、过程及效果，评价财政预算资金使用的效率及效益。通过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本项目建设主要服务于当地公共文化服务体系事业的发展。用于用于对9台发射设备进行全面维护与升级。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编制人数21人，其中：工勤4人、事业编制17人。实有在职人数25人，工勤4人、事业在职21人。离退休人员18人，其中：事业退休18人。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根据《中央补助地方公共文化服务体系建设补助资金预算的通知》（喀地财预〔2023〕58号）安排下达资金34.73万元，共安排下达中央资金34.73万元，最终确定项目资金总数为34.73万元。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截至2024年12月31日，实际支出34.73万元，预算执行率100%。</w:t>
      </w:r>
    </w:p>
    <w:p w14:paraId="3859818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042E48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34.73万元，用于对9台发射设备进行全面维护与升级。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广播电视台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022A7F2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D8066A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5688049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3B6E139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53057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中央补助地方公共文化服务体系建设补助项目项目综合评分表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04B10E7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925F7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刘江任评价组组长，绩效评价工作职责为负责全盘工作。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含铁任评价组副组长，绩效评价工作职责为为对项目实施情况进行实地调查。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王红、阿依努尔任评价组成员，绩效评价工作职责为负责资料审核等工作。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1478BB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B95366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中央补助地方公共文化服务体系建设补助项目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中央补助地方公共文化服务体系建设补助资金预算的通知》（喀地财预〔2023〕58号）文件立项，项目实施符合《中央补助地方公共文化服务体系建设补助资金预算的通知》（喀地财预〔2023〕58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项目过程：中央补助地方公共文化服务体系建设补助项目预算安排 34.73万元，实际支出34.73万元，预算执行率100%。项目资金使用合规，项目财务管理制度健全，财务监控到位，所有资金支付均按照国库集中支付制度严格执行，现有项目管理制度执行情况良好。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项目产出：截止评价日，已支付发射机维护成本费用34.73万元，用于发射机维护，数字发射机维修覆盖率/中央模拟广播节目播出任务完成率达100%，项目完成时间2024年12月25日前、资金拨付及时性100%。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央补助地方公共文化服务体系建设补助项目进行客观评价，最终评分结果：评价总分100分，绩效等级为“优”。</w:t>
      </w:r>
    </w:p>
    <w:p w14:paraId="2599A73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D97AC4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A7B9E1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中央补助地方公共文化服务体系建设补助资金预算的通知》（喀地财预〔2023〕58号）文件的要求；经检查我单位财政管理一体化信息系统，本项目不存在重复。结塔什库尔干塔吉克自治县广播电视台职责，并组织实施该项目。围绕塔什库尔干塔吉克自治县广播电视台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中央补助地方公共文化服务体系建设补助资金预算的通知》（喀地财预〔2023〕58号）以及《中央补助地方公共文化服务体系建设补助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34.73万元，用于对9台发射设备进行全面维护与升级。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②该项目实际工作内容为：截至目前</w:t>
      </w:r>
      <w:bookmarkStart w:id="0" w:name="_GoBack"/>
      <w:bookmarkEnd w:id="0"/>
      <w:r>
        <w:rPr>
          <w:rStyle w:val="18"/>
          <w:rFonts w:hint="eastAsia" w:ascii="仿宋" w:hAnsi="仿宋" w:eastAsia="仿宋" w:cs="仿宋"/>
          <w:b w:val="0"/>
          <w:bCs w:val="0"/>
          <w:spacing w:val="-4"/>
          <w:sz w:val="32"/>
          <w:szCs w:val="32"/>
        </w:rPr>
        <w:t>该项目已执行资金34.73万元，已用于对9台发射设备进行全面维护与升级。该项目的实施，有效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9台发射设备的全面维护与升级，数字发射机维修覆盖率/中央模拟广播节目播出任务完成率达100%，项目完成时间2024年12月25日、资金拨付及时性100%，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④该项目批复的预算金额为34.73万元，《项目支出绩效目标表》中预算金额为34.73万元，预算确定的项目资金与预算确定的项目投资额相匹配。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⑤本单位制定了《中央补助地方公共文化服务体系建设补助项目实施方案》，明确了总体思路及目标、并对任务进行了详细分解，对目标进行了细化。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发射机维护数量大于等于9部，三级指标的年度指标值与年度绩效目标中任务数一致，已设置时效指标“项目完成时间2024年12月25日前、资金拨付及时性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发射机维护费用支出34.73万元，项目实际内容为总投资34.73万元，主要用于发射机维护费用支出，预算申请与《中央补助地方公共文化服务体系建设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34.73万元，我单位在预算申请中严格按照项目实施内容及测算标准进行核算，其中：发射机维护成本34.73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中央补助地方公共文化服务体系建设补助项目实施方案》为依据进行资金分配，预算资金分配依据充分。根据《中央补助地方公共文化服务体系建设补助资金预算的通知》（喀地财预〔2023〕58号），本项目实际到位资金34.73万元，其中中央直达资金为34.73万元，资金分配额度合理，与我单位实际需求相适应。资金分配与实际相适应，根据评分标准，该指标不扣分，得2分。</w:t>
      </w:r>
    </w:p>
    <w:p w14:paraId="79DAE57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538093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34.73万元，其中：财政安排资金34.73万元，实际到位资金34.73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（2）预算执行率：本项目实际支出资金34.73万元，预算执行率=（34.73/34.73）×100%=100%；通过分析可知，该项目预算编制较为详细，项目资金支出总体能够按照预算执行，根据评分标准，该指标不扣分，得3分。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广播电视台资金管理办法》《塔什库尔干塔吉克自治县广播电视台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广播电视台资金管理办法》《塔什库尔干塔吉克自治县广播电视台收支业务管理制度》《塔什库尔干塔吉克自治县广播电视台政府采购业务管理制度》《塔什库尔干塔吉克自治县广播电视台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广播电视台资金管理办法》《塔什库尔干塔吉克自治县广播电视台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中央补助地方公共文化服务体系建设补助项目工作领导小组，由刘江任组长，负责项目的组织工作；含铁任副组长，负责项目的实施工作；组员包括：王红和阿依努尔，主要负责项目监督管理、验收以及资金核拨等工作。根据评分标准，该指标不扣分，得5分。</w:t>
      </w:r>
    </w:p>
    <w:p w14:paraId="0A33A2C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26243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发射机维护数量指标，预期指标值为大于等于9部，实际完成值为等于9部，指标完成率为100%，与预期目标一致，根据评分标准，该指标不扣分，得10分。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数字发射机维修覆盖率指标，预期指标值为等于100%，实际完成值为等于100%，指标完成率为100%，与预期目标一致，根据评分标准，该指标不扣分，得5分。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中央模拟广播节目播出任务完成率指标，预期指标值为等于100%，实际完成值为等于100%，指标完成率为100%，与预期目标一致，根据评分标准，该指标不扣分，得5分。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资金拨付及时性指标，预期指标值为等于100%，实际完成值为等于100%，指标完成率为100%，与预期目标一致，根据评分标准，该指标不扣分，得5分。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发射机维护成本指标，预期指标值为小于等于3.858万元/部，实际完成值为等于3.858万元/部，指标完成率为100%，项目经费都能控制绩效目标范围内，根据评分标准，该指标不扣分，得15分。</w:t>
      </w:r>
    </w:p>
    <w:p w14:paraId="429B0AE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921F94F">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保障无线覆盖设备得到维护指标，该指标预期指标值为保障，实际完成值为保障，指标完成率为100%，与预期指标一致，根据评分标准，该指标不扣分，得10分。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4402497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785DB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对于“满意度指标：群众对广播电视节目的满意度，该指标预期指标值为大于等于95%，实际完成值为等于100%，指标完成率为105.26%，根据评分标准，该指标不扣分,得10分。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项目实施情况较好，群众对广播电视节目的满意率高于预期，导致出现正偏差，改进措施：基于当前良好表现，重新审视绩效目标，在以后绩效目标设置时设置更具挑战性的目标，以推动业务持续发展。</w:t>
      </w:r>
    </w:p>
    <w:p w14:paraId="49CA449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FEBF24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中央补助地方公共文化服务体系建设补助项目预算34.73万元，到位34.73万元，实际支出34.73万元，预算执行率为100%，项目绩效指标总体完成率为100.7%。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项目实施情况较好，群众对广播电视节目的满意率高于预期，导致出现正偏差，改进措施：基于当前良好表现，重新审视绩效目标，在以后绩效目标设置时设置更具挑战性的目标，以推动业务持续发展。</w:t>
      </w:r>
    </w:p>
    <w:p w14:paraId="4F73B838">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52AC3B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中央补助地方公共文化服务体系建设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5B1D871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210CFE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49C6F67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207EF3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DCBAE2">
        <w:pPr>
          <w:pStyle w:val="12"/>
          <w:jc w:val="center"/>
        </w:pPr>
        <w:r>
          <w:fldChar w:fldCharType="begin"/>
        </w:r>
        <w:r>
          <w:instrText xml:space="preserve">PAGE   \* MERGEFORMAT</w:instrText>
        </w:r>
        <w:r>
          <w:fldChar w:fldCharType="separate"/>
        </w:r>
        <w:r>
          <w:rPr>
            <w:lang w:val="zh-CN"/>
          </w:rPr>
          <w:t>1</w:t>
        </w:r>
        <w:r>
          <w:fldChar w:fldCharType="end"/>
        </w:r>
      </w:p>
    </w:sdtContent>
  </w:sdt>
  <w:p w14:paraId="204E2F2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2D690547"/>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9300</Words>
  <Characters>9712</Characters>
  <Lines>5</Lines>
  <Paragraphs>1</Paragraphs>
  <TotalTime>0</TotalTime>
  <ScaleCrop>false</ScaleCrop>
  <LinksUpToDate>false</LinksUpToDate>
  <CharactersWithSpaces>11003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2025-09-04T08:17:23Z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