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2836FEB">
      <w:pPr>
        <w:spacing w:line="570" w:lineRule="exact"/>
        <w:jc w:val="center"/>
        <w:rPr>
          <w:rFonts w:ascii="华文中宋" w:hAnsi="华文中宋" w:eastAsia="华文中宋" w:cs="宋体"/>
          <w:b/>
          <w:kern w:val="0"/>
          <w:sz w:val="52"/>
          <w:szCs w:val="52"/>
        </w:rPr>
      </w:pPr>
      <w:bookmarkStart w:id="0" w:name="_GoBack"/>
      <w:bookmarkEnd w:id="0"/>
    </w:p>
    <w:p w14:paraId="7115FEB4">
      <w:pPr>
        <w:spacing w:line="570" w:lineRule="exact"/>
        <w:jc w:val="center"/>
        <w:rPr>
          <w:rFonts w:ascii="华文中宋" w:hAnsi="华文中宋" w:eastAsia="华文中宋" w:cs="宋体"/>
          <w:b/>
          <w:kern w:val="0"/>
          <w:sz w:val="52"/>
          <w:szCs w:val="52"/>
        </w:rPr>
      </w:pPr>
    </w:p>
    <w:p w14:paraId="6577FBFF">
      <w:pPr>
        <w:spacing w:line="570" w:lineRule="exact"/>
        <w:jc w:val="center"/>
        <w:rPr>
          <w:rFonts w:ascii="华文中宋" w:hAnsi="华文中宋" w:eastAsia="华文中宋" w:cs="宋体"/>
          <w:b/>
          <w:kern w:val="0"/>
          <w:sz w:val="52"/>
          <w:szCs w:val="52"/>
        </w:rPr>
      </w:pPr>
    </w:p>
    <w:p w14:paraId="4123CD80">
      <w:pPr>
        <w:spacing w:line="570" w:lineRule="exact"/>
        <w:jc w:val="center"/>
        <w:rPr>
          <w:rFonts w:ascii="华文中宋" w:hAnsi="华文中宋" w:eastAsia="华文中宋" w:cs="宋体"/>
          <w:b/>
          <w:kern w:val="0"/>
          <w:sz w:val="52"/>
          <w:szCs w:val="52"/>
        </w:rPr>
      </w:pPr>
    </w:p>
    <w:p w14:paraId="1A7CF04C">
      <w:pPr>
        <w:spacing w:line="570" w:lineRule="exact"/>
        <w:jc w:val="both"/>
        <w:rPr>
          <w:rFonts w:ascii="华文中宋" w:hAnsi="华文中宋" w:eastAsia="华文中宋" w:cs="宋体"/>
          <w:b/>
          <w:kern w:val="0"/>
          <w:sz w:val="52"/>
          <w:szCs w:val="52"/>
        </w:rPr>
      </w:pPr>
    </w:p>
    <w:p w14:paraId="1A586CB8">
      <w:pPr>
        <w:spacing w:line="570" w:lineRule="exact"/>
        <w:jc w:val="center"/>
        <w:rPr>
          <w:rFonts w:ascii="华文中宋" w:hAnsi="华文中宋" w:eastAsia="华文中宋" w:cs="宋体"/>
          <w:b/>
          <w:kern w:val="0"/>
          <w:sz w:val="52"/>
          <w:szCs w:val="52"/>
        </w:rPr>
      </w:pPr>
    </w:p>
    <w:p w14:paraId="3CC2EE2F">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部门单位项目支出绩效评价报告</w:t>
      </w:r>
    </w:p>
    <w:p w14:paraId="2C8CEC24">
      <w:pPr>
        <w:spacing w:line="570" w:lineRule="exact"/>
        <w:jc w:val="center"/>
        <w:rPr>
          <w:rFonts w:ascii="华文中宋" w:hAnsi="华文中宋" w:eastAsia="华文中宋" w:cs="宋体"/>
          <w:b/>
          <w:kern w:val="0"/>
          <w:sz w:val="52"/>
          <w:szCs w:val="52"/>
        </w:rPr>
      </w:pPr>
    </w:p>
    <w:p w14:paraId="68C0A393">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仿宋_GB2312" w:hAnsi="楷体" w:eastAsia="仿宋_GB2312"/>
          <w:spacing w:val="-4"/>
          <w:sz w:val="32"/>
          <w:szCs w:val="32"/>
        </w:rPr>
        <w:t>2024</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14:paraId="5ADBC187">
      <w:pPr>
        <w:spacing w:line="570" w:lineRule="exact"/>
        <w:jc w:val="center"/>
        <w:rPr>
          <w:rFonts w:hAnsi="宋体" w:eastAsia="仿宋_GB2312" w:cs="宋体"/>
          <w:kern w:val="0"/>
          <w:sz w:val="30"/>
          <w:szCs w:val="30"/>
        </w:rPr>
      </w:pPr>
    </w:p>
    <w:p w14:paraId="48606F90">
      <w:pPr>
        <w:spacing w:line="570" w:lineRule="exact"/>
        <w:jc w:val="center"/>
        <w:rPr>
          <w:rFonts w:hAnsi="宋体" w:eastAsia="仿宋_GB2312" w:cs="宋体"/>
          <w:kern w:val="0"/>
          <w:sz w:val="30"/>
          <w:szCs w:val="30"/>
        </w:rPr>
      </w:pPr>
    </w:p>
    <w:p w14:paraId="249247D1">
      <w:pPr>
        <w:spacing w:line="570" w:lineRule="exact"/>
        <w:jc w:val="center"/>
        <w:rPr>
          <w:rFonts w:hAnsi="宋体" w:eastAsia="仿宋_GB2312" w:cs="宋体"/>
          <w:kern w:val="0"/>
          <w:sz w:val="30"/>
          <w:szCs w:val="30"/>
        </w:rPr>
      </w:pPr>
    </w:p>
    <w:p w14:paraId="516EB90F">
      <w:pPr>
        <w:spacing w:line="570" w:lineRule="exact"/>
        <w:jc w:val="center"/>
        <w:rPr>
          <w:rFonts w:hAnsi="宋体" w:eastAsia="仿宋_GB2312" w:cs="宋体"/>
          <w:kern w:val="0"/>
          <w:sz w:val="30"/>
          <w:szCs w:val="30"/>
        </w:rPr>
      </w:pPr>
    </w:p>
    <w:p w14:paraId="3442EB31">
      <w:pPr>
        <w:spacing w:line="570" w:lineRule="exact"/>
        <w:jc w:val="center"/>
        <w:rPr>
          <w:rFonts w:hAnsi="宋体" w:eastAsia="仿宋_GB2312" w:cs="宋体"/>
          <w:kern w:val="0"/>
          <w:sz w:val="30"/>
          <w:szCs w:val="30"/>
        </w:rPr>
      </w:pPr>
    </w:p>
    <w:p w14:paraId="45CA1D15">
      <w:pPr>
        <w:spacing w:line="570" w:lineRule="exact"/>
        <w:jc w:val="center"/>
        <w:rPr>
          <w:rFonts w:hAnsi="宋体" w:eastAsia="仿宋_GB2312" w:cs="宋体"/>
          <w:kern w:val="0"/>
          <w:sz w:val="30"/>
          <w:szCs w:val="30"/>
        </w:rPr>
      </w:pPr>
    </w:p>
    <w:p w14:paraId="5949476D">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8"/>
          <w:rFonts w:hint="eastAsia" w:ascii="仿宋" w:hAnsi="仿宋" w:eastAsia="仿宋" w:cs="仿宋"/>
          <w:b w:val="0"/>
          <w:bCs w:val="0"/>
          <w:spacing w:val="-4"/>
          <w:sz w:val="32"/>
          <w:szCs w:val="32"/>
        </w:rPr>
        <w:t>县委党校党性教育现场教学培训费</w:t>
      </w:r>
    </w:p>
    <w:p w14:paraId="279D19F5">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8"/>
          <w:rFonts w:hint="eastAsia" w:ascii="仿宋" w:hAnsi="仿宋" w:eastAsia="仿宋" w:cs="仿宋"/>
          <w:b w:val="0"/>
          <w:bCs w:val="0"/>
          <w:spacing w:val="-4"/>
          <w:sz w:val="32"/>
          <w:szCs w:val="32"/>
        </w:rPr>
        <w:t>中共塔什库尔干塔吉克自治县委员会党校</w:t>
      </w:r>
    </w:p>
    <w:p w14:paraId="30E9A491">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8"/>
          <w:rFonts w:hint="eastAsia" w:ascii="仿宋" w:hAnsi="仿宋" w:eastAsia="仿宋" w:cs="仿宋"/>
          <w:b w:val="0"/>
          <w:bCs w:val="0"/>
          <w:spacing w:val="-4"/>
          <w:sz w:val="32"/>
          <w:szCs w:val="32"/>
        </w:rPr>
        <w:t xml:space="preserve"> 中共塔什库尔干塔吉克自治县委员会党校</w:t>
      </w:r>
    </w:p>
    <w:p w14:paraId="023949F2">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8"/>
          <w:rFonts w:hint="eastAsia" w:ascii="仿宋" w:hAnsi="仿宋" w:eastAsia="仿宋" w:cs="仿宋"/>
          <w:b w:val="0"/>
          <w:bCs w:val="0"/>
          <w:spacing w:val="-4"/>
          <w:sz w:val="32"/>
          <w:szCs w:val="32"/>
        </w:rPr>
        <w:t>赵玉泉</w:t>
      </w:r>
    </w:p>
    <w:p w14:paraId="711E8B15">
      <w:pPr>
        <w:spacing w:line="540" w:lineRule="exact"/>
        <w:ind w:firstLine="360" w:firstLineChars="100"/>
        <w:rPr>
          <w:rStyle w:val="18"/>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8"/>
          <w:rFonts w:hint="eastAsia" w:ascii="仿宋" w:hAnsi="仿宋" w:eastAsia="仿宋" w:cs="仿宋"/>
          <w:b w:val="0"/>
          <w:bCs w:val="0"/>
          <w:spacing w:val="-4"/>
          <w:sz w:val="32"/>
          <w:szCs w:val="32"/>
        </w:rPr>
        <w:t>2025年03月04日</w:t>
      </w:r>
    </w:p>
    <w:p w14:paraId="1088ACC9">
      <w:pPr>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br w:type="page"/>
      </w:r>
    </w:p>
    <w:p w14:paraId="0A066F45">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一、基本情况</w:t>
      </w:r>
    </w:p>
    <w:p w14:paraId="04967BD5">
      <w:pPr>
        <w:spacing w:line="570" w:lineRule="exact"/>
        <w:ind w:firstLine="627" w:firstLineChars="200"/>
        <w:rPr>
          <w:rStyle w:val="18"/>
          <w:rFonts w:ascii="方正楷体_GBK" w:hAnsi="方正楷体_GBK" w:eastAsia="方正楷体_GBK" w:cs="方正楷体_GBK"/>
          <w:bCs w:val="0"/>
          <w:spacing w:val="-4"/>
          <w:sz w:val="32"/>
          <w:szCs w:val="32"/>
        </w:rPr>
      </w:pPr>
      <w:r>
        <w:rPr>
          <w:rStyle w:val="18"/>
          <w:rFonts w:hint="eastAsia" w:ascii="楷体" w:hAnsi="楷体" w:eastAsia="楷体" w:cs="楷体"/>
          <w:bCs w:val="0"/>
          <w:spacing w:val="-4"/>
          <w:sz w:val="32"/>
          <w:szCs w:val="32"/>
        </w:rPr>
        <w:t>（一）项目概况。包括项目背景、主要内容及实施情况、资金投入和使用情况等。</w:t>
      </w:r>
    </w:p>
    <w:p w14:paraId="3A9AC4A9">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项目背景</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遵循财政部《项目支出绩效评价管理办法》（财预〔2020〕10号）和自治区财政厅《自治区财政支出绩效评价管理暂行办法》（新财预〔2018〕189号）等相关政策文件与规定，旨在评价县委党校党性教育现场教学培训费项目实施前期、过程及效果，评价财政预算资金使用的效率及效益。该项目主要用于支付根据协议开展党性教育现场教学的乙方指定酒店食宿，从而产生的食宿费、现场教学费、场地费、车辆租赁费等。通过该项目的实施，可改善教学培训环境，提高培训效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 主要内容及实施情况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县委党校党性教育现场教学培训费项目，主要用于支付根据协议开展党性教育现场教学的乙方指定酒店食宿，从而产生的食宿费、现场教学费、场地费、车辆租赁费等，其中支付喀什地区第一人民医院广东援疆专家组赴塔县开展党性教育35人食宿费用，共计28460元；支付广东省委党校（广东行政学院）秋季中青班45人食宿费用，共计20700元；支付广东省委党校（广东行政学院）中青班车辆保障费用，共计36000元；支付广东省委党校（广东行政学院）中青班伽师县现场教学餐饮费用，共计3000元；支付制作楼顶标语、制度牌共计11730元；支付排水维修、更换灯具、热水器安装、疏通管道等费用共计15150元；支付制作展板、制度牌、党性教育精品课程手册等费用14610元；支付购买文体用品及低值消耗品共计15000元；支付原党校学员公寓楼整体维修改造费用30000元；支付原党校保密室改造费用20000元；支付2024年1月购买教学培训使用投影仪5台、会议音箱5套等设备共计46898元。通过该项目的实施可改善教学培训环境，提高培训效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3.项目实施主体</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中共塔什库尔干塔吉克自治县委员会党校为全额拨款事业单位，纳入2024年部门决算编制范围的有5个办公室：办公室、教研室、财务室、学员管理室、后勤总务室等科室。</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编制人数16人，其中：行政人员编制0人、工勤0人、参公2人、事业编制14人。实有在职人数16人，其中：行政在职0人、工勤0人、参公2人、事业在职14人。离退休人员13人，其中：行政退休人员0人、事业退休13人。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 资金投入和使用情况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县委党校党性教育现场教学培训费项目根据县财政局过会的《关于申请返还2023年县委党校开展党性教育现场教学培训费用的请示》，塔党财[2024]1号文件通过预算24.49万元。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截至2024年12月31日，实际支出24.15万元，预算执行率98.61%。</w:t>
      </w:r>
    </w:p>
    <w:p w14:paraId="34990904">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（二）项目绩效目标。包括总体目标和阶段性目标。</w:t>
      </w:r>
    </w:p>
    <w:p w14:paraId="5B5B14D1">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1.项目绩效总目标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主要用于支付根据协议开展党性教育现场教学的乙方指定酒店食宿，从而产生食宿费、现场教学费、场地费、车辆租赁费等。通过该项目的实施，可改善教学培训环境，提高培训效果。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2.阶段性目标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实施的前期准备工作：塔什库尔干县委员会党校作为项目的实施单位，第一时间与相关主管部门单位沟通，制定项目实施方案，项目绩效目标表等，根据县人大工作年初目标，明确分工职责，并设定绩效监控实施计划。</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具体实施工作：项目负责人负责该项目的全盘组织实施；财务负责人按照项目负责人提供的依据和发票等按项目进度向财政申请支付资金；通过业务与财务工作共同配合衔接，形成了明确责任分工的项目管理制度，并按照项目规定、监督检查制度、预算绩效管理办法等相关制度办法严格落实各环节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验收阶段的具体工作：整理资料并存档。项目实施结束后，按档案管理相关规定整理项目相关资料，包括项目工作总结、相关凭证、项目实施过程资料等，并按照规定进行存档备查。同时，对于存在的问题和不足，及时总结经验教训，为后续工作提供参考。</w:t>
      </w:r>
    </w:p>
    <w:p w14:paraId="2572C3F7">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二、绩效评价工作开展情况</w:t>
      </w:r>
    </w:p>
    <w:p w14:paraId="774E81AC">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（一）绩效评价目的、对象</w:t>
      </w:r>
      <w:r>
        <w:rPr>
          <w:rStyle w:val="18"/>
          <w:rFonts w:hint="eastAsia" w:ascii="楷体" w:hAnsi="楷体" w:eastAsia="楷体" w:cs="楷体"/>
          <w:bCs w:val="0"/>
          <w:spacing w:val="-4"/>
          <w:sz w:val="32"/>
          <w:szCs w:val="32"/>
          <w:lang w:eastAsia="zh-CN"/>
        </w:rPr>
        <w:t>、时间和</w:t>
      </w:r>
      <w:r>
        <w:rPr>
          <w:rStyle w:val="18"/>
          <w:rFonts w:hint="eastAsia" w:ascii="楷体" w:hAnsi="楷体" w:eastAsia="楷体" w:cs="楷体"/>
          <w:bCs w:val="0"/>
          <w:spacing w:val="-4"/>
          <w:sz w:val="32"/>
          <w:szCs w:val="32"/>
        </w:rPr>
        <w:t>范围。</w:t>
      </w:r>
    </w:p>
    <w:p w14:paraId="17D68EFB">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绩效评价目的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本次绩效评价遵循财政部《项目支出绩效评价管理办法》（财预〔2020〕10号）、《关于印发〈中央部门项目支出核心绩效目标和指标设置及取值指引（试行）〉的通知》（财预〔2021〕101号）</w:t>
      </w:r>
      <w:r>
        <w:rPr>
          <w:rStyle w:val="18"/>
          <w:rFonts w:hint="eastAsia" w:ascii="仿宋" w:hAnsi="仿宋" w:eastAsia="仿宋" w:cs="仿宋"/>
          <w:b w:val="0"/>
          <w:bCs w:val="0"/>
          <w:spacing w:val="-4"/>
          <w:sz w:val="32"/>
          <w:szCs w:val="32"/>
          <w:lang w:eastAsia="zh-CN"/>
        </w:rPr>
        <w:t>以及</w:t>
      </w:r>
      <w:r>
        <w:rPr>
          <w:rStyle w:val="18"/>
          <w:rFonts w:hint="eastAsia" w:ascii="仿宋" w:hAnsi="仿宋" w:eastAsia="仿宋" w:cs="仿宋"/>
          <w:b w:val="0"/>
          <w:bCs w:val="0"/>
          <w:spacing w:val="-4"/>
          <w:sz w:val="32"/>
          <w:szCs w:val="32"/>
        </w:rPr>
        <w:t>自治区财政厅《关于印发〈自治区项目支出绩效目标设置指引〉的通知》（新财预〔2022〕42号）、《自治区财政支出绩效评价管理暂行办法》（新财预〔2018〕189号）等相关政策文件与规定，旨在评价财政项目实施前期、过程及效果，评价财政预算资金使用的效率及效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通过此次绩效评价，发现预算资金在项目立项、执行管理中制度保障、实际操作方面的缺陷和薄弱环节，总结项目管理经验，完善项目管理办法，提高项目管理水平和资金使用效益。同时可根据绩效评价中发现的问题，调整工作计划，完善绩效目标，加强项目管理，提高管理水平，为下一年预算编制与评审提供充分有效的依据，以达到改进预算管理、优化资源配置、提高预算资金使用效益的目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 绩效评价对象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绩效评价遵循财政部《项目支出绩效评价管理办法》（财预〔2020〕10号）和《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 绩效评价范围</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本次评价范围涵盖项目总体绩效目标、各项绩效指标完成情况以及预算执行情况。覆盖项目预算资金支出的所有内容进行评价。包括项目决策、项目实施和项目成果评价流程等。</w:t>
      </w:r>
    </w:p>
    <w:p w14:paraId="065BC60D">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（二）绩效评价原则、评价指标体系（附表说明）、评价方法、评价标准等。</w:t>
      </w:r>
    </w:p>
    <w:p w14:paraId="09175FB7">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绩效评价原则</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本次绩效评价遵循的原则包括：</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（1）科学公正。绩效评价应当运用科学合理的方法，按照规范的程序，对项目绩效进行客观、公正的反映。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（3）激励约束。绩效评价结果应与预算安排、政策调整、改进管理实质性挂钩，体现奖优罚劣和激励相容导向，有效要安排、低效要压减、无效要问责。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（4）公开透明。绩效评价结果应依法依规公开，并自觉接受社会监督。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 绩效评价指标体系</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绩效评价体系根据《关于印发〈项目支出绩效评价管理办法〉的通知》（财预﹝2020﹞10号）文件中共性指标及个性化指标设置，主要分为共性指标和个性指标两大类。共性指标下设决策与过程2个一级指标，其中：项目决策下设项目立项、绩效目标、资金投入3个二级指标；过程下设资金管理和组织实施2个二级指标。个性指标下设产出和效益2个一级指标，其中：产出下设产出数量、产出质量、产出时效、产出成本4个2级指标，效益下设项目效益1个二级指标。项目绩效评价体系详见附件1。</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                          县委党校党性教育现场教学培训费项目综合评分表</w:t>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一级指标</w:t>
      </w:r>
      <w:r>
        <w:rPr>
          <w:rStyle w:val="18"/>
          <w:rFonts w:hint="eastAsia" w:ascii="仿宋" w:hAnsi="仿宋" w:eastAsia="仿宋" w:cs="仿宋"/>
          <w:b w:val="0"/>
          <w:bCs w:val="0"/>
          <w:spacing w:val="-4"/>
          <w:sz w:val="32"/>
          <w:szCs w:val="32"/>
        </w:rPr>
        <w:tab/>
        <w:t xml:space="preserve">                  二级指标</w:t>
      </w:r>
      <w:r>
        <w:rPr>
          <w:rStyle w:val="18"/>
          <w:rFonts w:hint="eastAsia" w:ascii="仿宋" w:hAnsi="仿宋" w:eastAsia="仿宋" w:cs="仿宋"/>
          <w:b w:val="0"/>
          <w:bCs w:val="0"/>
          <w:spacing w:val="-4"/>
          <w:sz w:val="32"/>
          <w:szCs w:val="32"/>
        </w:rPr>
        <w:tab/>
        <w:t xml:space="preserve">                      三级指标</w:t>
      </w:r>
      <w:r>
        <w:rPr>
          <w:rStyle w:val="18"/>
          <w:rFonts w:hint="eastAsia" w:ascii="仿宋" w:hAnsi="仿宋" w:eastAsia="仿宋" w:cs="仿宋"/>
          <w:b w:val="0"/>
          <w:bCs w:val="0"/>
          <w:spacing w:val="-4"/>
          <w:sz w:val="32"/>
          <w:szCs w:val="32"/>
        </w:rPr>
        <w:tab/>
        <w:t xml:space="preserve">                          得分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决策（15分）</w:t>
      </w:r>
      <w:r>
        <w:rPr>
          <w:rStyle w:val="18"/>
          <w:rFonts w:hint="eastAsia" w:ascii="仿宋" w:hAnsi="仿宋" w:eastAsia="仿宋" w:cs="仿宋"/>
          <w:b w:val="0"/>
          <w:bCs w:val="0"/>
          <w:spacing w:val="-4"/>
          <w:sz w:val="32"/>
          <w:szCs w:val="32"/>
        </w:rPr>
        <w:tab/>
        <w:t xml:space="preserve">                  项目立项（5分）</w:t>
      </w:r>
      <w:r>
        <w:rPr>
          <w:rStyle w:val="18"/>
          <w:rFonts w:hint="eastAsia" w:ascii="仿宋" w:hAnsi="仿宋" w:eastAsia="仿宋" w:cs="仿宋"/>
          <w:b w:val="0"/>
          <w:bCs w:val="0"/>
          <w:spacing w:val="-4"/>
          <w:sz w:val="32"/>
          <w:szCs w:val="32"/>
        </w:rPr>
        <w:tab/>
        <w:t xml:space="preserve">              立项依据充分性（3分）                 3</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                                                                      立项程序（2分）</w:t>
      </w:r>
      <w:r>
        <w:rPr>
          <w:rStyle w:val="18"/>
          <w:rFonts w:hint="eastAsia" w:ascii="仿宋" w:hAnsi="仿宋" w:eastAsia="仿宋" w:cs="仿宋"/>
          <w:b w:val="0"/>
          <w:bCs w:val="0"/>
          <w:spacing w:val="-4"/>
          <w:sz w:val="32"/>
          <w:szCs w:val="32"/>
        </w:rPr>
        <w:tab/>
        <w:t xml:space="preserve">                    2</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ab/>
        <w:t xml:space="preserve">                          绩效目标（5分）</w:t>
      </w:r>
      <w:r>
        <w:rPr>
          <w:rStyle w:val="18"/>
          <w:rFonts w:hint="eastAsia" w:ascii="仿宋" w:hAnsi="仿宋" w:eastAsia="仿宋" w:cs="仿宋"/>
          <w:b w:val="0"/>
          <w:bCs w:val="0"/>
          <w:spacing w:val="-4"/>
          <w:sz w:val="32"/>
          <w:szCs w:val="32"/>
        </w:rPr>
        <w:tab/>
        <w:t xml:space="preserve">              绩效目标合理性（3分）                 3</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tab/>
        <w:t xml:space="preserve">                                                      绩效指标明确性（2分）</w:t>
      </w:r>
      <w:r>
        <w:rPr>
          <w:rStyle w:val="18"/>
          <w:rFonts w:hint="eastAsia" w:ascii="仿宋" w:hAnsi="仿宋" w:eastAsia="仿宋" w:cs="仿宋"/>
          <w:b w:val="0"/>
          <w:bCs w:val="0"/>
          <w:spacing w:val="-4"/>
          <w:sz w:val="32"/>
          <w:szCs w:val="32"/>
        </w:rPr>
        <w:tab/>
        <w:t xml:space="preserve">            2</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ab/>
        <w:t xml:space="preserve">                          资金投入（5分）</w:t>
      </w:r>
      <w:r>
        <w:rPr>
          <w:rStyle w:val="18"/>
          <w:rFonts w:hint="eastAsia" w:ascii="仿宋" w:hAnsi="仿宋" w:eastAsia="仿宋" w:cs="仿宋"/>
          <w:b w:val="0"/>
          <w:bCs w:val="0"/>
          <w:spacing w:val="-4"/>
          <w:sz w:val="32"/>
          <w:szCs w:val="32"/>
        </w:rPr>
        <w:tab/>
        <w:t xml:space="preserve">              预算编制（3分）</w:t>
      </w:r>
      <w:r>
        <w:rPr>
          <w:rStyle w:val="18"/>
          <w:rFonts w:hint="eastAsia" w:ascii="仿宋" w:hAnsi="仿宋" w:eastAsia="仿宋" w:cs="仿宋"/>
          <w:b w:val="0"/>
          <w:bCs w:val="0"/>
          <w:spacing w:val="-4"/>
          <w:sz w:val="32"/>
          <w:szCs w:val="32"/>
        </w:rPr>
        <w:tab/>
        <w:t xml:space="preserve">                    3</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tab/>
        <w:t xml:space="preserve">                                                      资金分配合理性（2分）</w:t>
      </w:r>
      <w:r>
        <w:rPr>
          <w:rStyle w:val="18"/>
          <w:rFonts w:hint="eastAsia" w:ascii="仿宋" w:hAnsi="仿宋" w:eastAsia="仿宋" w:cs="仿宋"/>
          <w:b w:val="0"/>
          <w:bCs w:val="0"/>
          <w:spacing w:val="-4"/>
          <w:sz w:val="32"/>
          <w:szCs w:val="32"/>
        </w:rPr>
        <w:tab/>
        <w:t xml:space="preserve">            2</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过程（20分）</w:t>
      </w:r>
      <w:r>
        <w:rPr>
          <w:rStyle w:val="18"/>
          <w:rFonts w:hint="eastAsia" w:ascii="仿宋" w:hAnsi="仿宋" w:eastAsia="仿宋" w:cs="仿宋"/>
          <w:b w:val="0"/>
          <w:bCs w:val="0"/>
          <w:spacing w:val="-4"/>
          <w:sz w:val="32"/>
          <w:szCs w:val="32"/>
        </w:rPr>
        <w:tab/>
        <w:t xml:space="preserve">                  资金管理（10分）</w:t>
      </w:r>
      <w:r>
        <w:rPr>
          <w:rStyle w:val="18"/>
          <w:rFonts w:hint="eastAsia" w:ascii="仿宋" w:hAnsi="仿宋" w:eastAsia="仿宋" w:cs="仿宋"/>
          <w:b w:val="0"/>
          <w:bCs w:val="0"/>
          <w:spacing w:val="-4"/>
          <w:sz w:val="32"/>
          <w:szCs w:val="32"/>
        </w:rPr>
        <w:tab/>
        <w:t xml:space="preserve">              资金到位率（3分）</w:t>
      </w:r>
      <w:r>
        <w:rPr>
          <w:rStyle w:val="18"/>
          <w:rFonts w:hint="eastAsia" w:ascii="仿宋" w:hAnsi="仿宋" w:eastAsia="仿宋" w:cs="仿宋"/>
          <w:b w:val="0"/>
          <w:bCs w:val="0"/>
          <w:spacing w:val="-4"/>
          <w:sz w:val="32"/>
          <w:szCs w:val="32"/>
        </w:rPr>
        <w:tab/>
        <w:t xml:space="preserve">                    3</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tab/>
        <w:t xml:space="preserve">                                                      预算执行率（3分）</w:t>
      </w:r>
      <w:r>
        <w:rPr>
          <w:rStyle w:val="18"/>
          <w:rFonts w:hint="eastAsia" w:ascii="仿宋" w:hAnsi="仿宋" w:eastAsia="仿宋" w:cs="仿宋"/>
          <w:b w:val="0"/>
          <w:bCs w:val="0"/>
          <w:spacing w:val="-4"/>
          <w:sz w:val="32"/>
          <w:szCs w:val="32"/>
        </w:rPr>
        <w:tab/>
        <w:t xml:space="preserve">                    2.96</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tab/>
        <w:t xml:space="preserve">                                                      资金使用合规性（4分）</w:t>
      </w:r>
      <w:r>
        <w:rPr>
          <w:rStyle w:val="18"/>
          <w:rFonts w:hint="eastAsia" w:ascii="仿宋" w:hAnsi="仿宋" w:eastAsia="仿宋" w:cs="仿宋"/>
          <w:b w:val="0"/>
          <w:bCs w:val="0"/>
          <w:spacing w:val="-4"/>
          <w:sz w:val="32"/>
          <w:szCs w:val="32"/>
        </w:rPr>
        <w:tab/>
        <w:t xml:space="preserve">            4</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ab/>
        <w:t xml:space="preserve">                          组织实施（10分）</w:t>
      </w:r>
      <w:r>
        <w:rPr>
          <w:rStyle w:val="18"/>
          <w:rFonts w:hint="eastAsia" w:ascii="仿宋" w:hAnsi="仿宋" w:eastAsia="仿宋" w:cs="仿宋"/>
          <w:b w:val="0"/>
          <w:bCs w:val="0"/>
          <w:spacing w:val="-4"/>
          <w:sz w:val="32"/>
          <w:szCs w:val="32"/>
        </w:rPr>
        <w:tab/>
        <w:t xml:space="preserve">              管理制度健全性（5分）</w:t>
      </w:r>
      <w:r>
        <w:rPr>
          <w:rStyle w:val="18"/>
          <w:rFonts w:hint="eastAsia" w:ascii="仿宋" w:hAnsi="仿宋" w:eastAsia="仿宋" w:cs="仿宋"/>
          <w:b w:val="0"/>
          <w:bCs w:val="0"/>
          <w:spacing w:val="-4"/>
          <w:sz w:val="32"/>
          <w:szCs w:val="32"/>
        </w:rPr>
        <w:tab/>
        <w:t xml:space="preserve">            5</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tab/>
        <w:t xml:space="preserve">                                                      制度执行（5分）</w:t>
      </w:r>
      <w:r>
        <w:rPr>
          <w:rStyle w:val="18"/>
          <w:rFonts w:hint="eastAsia" w:ascii="仿宋" w:hAnsi="仿宋" w:eastAsia="仿宋" w:cs="仿宋"/>
          <w:b w:val="0"/>
          <w:bCs w:val="0"/>
          <w:spacing w:val="-4"/>
          <w:sz w:val="32"/>
          <w:szCs w:val="32"/>
        </w:rPr>
        <w:tab/>
        <w:t xml:space="preserve">                    5</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产出（45分）</w:t>
      </w:r>
      <w:r>
        <w:rPr>
          <w:rStyle w:val="18"/>
          <w:rFonts w:hint="eastAsia" w:ascii="仿宋" w:hAnsi="仿宋" w:eastAsia="仿宋" w:cs="仿宋"/>
          <w:b w:val="0"/>
          <w:bCs w:val="0"/>
          <w:spacing w:val="-4"/>
          <w:sz w:val="32"/>
          <w:szCs w:val="32"/>
        </w:rPr>
        <w:tab/>
        <w:t xml:space="preserve">                  产出数量（10分）</w:t>
      </w:r>
      <w:r>
        <w:rPr>
          <w:rStyle w:val="18"/>
          <w:rFonts w:hint="eastAsia" w:ascii="仿宋" w:hAnsi="仿宋" w:eastAsia="仿宋" w:cs="仿宋"/>
          <w:b w:val="0"/>
          <w:bCs w:val="0"/>
          <w:spacing w:val="-4"/>
          <w:sz w:val="32"/>
          <w:szCs w:val="32"/>
        </w:rPr>
        <w:tab/>
        <w:t xml:space="preserve">              实际完成率（10分）</w:t>
      </w:r>
      <w:r>
        <w:rPr>
          <w:rStyle w:val="18"/>
          <w:rFonts w:hint="eastAsia" w:ascii="仿宋" w:hAnsi="仿宋" w:eastAsia="仿宋" w:cs="仿宋"/>
          <w:b w:val="0"/>
          <w:bCs w:val="0"/>
          <w:spacing w:val="-4"/>
          <w:sz w:val="32"/>
          <w:szCs w:val="32"/>
        </w:rPr>
        <w:tab/>
        <w:t xml:space="preserve">            10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ab/>
        <w:t xml:space="preserve">                          产出质量（10分）</w:t>
      </w:r>
      <w:r>
        <w:rPr>
          <w:rStyle w:val="18"/>
          <w:rFonts w:hint="eastAsia" w:ascii="仿宋" w:hAnsi="仿宋" w:eastAsia="仿宋" w:cs="仿宋"/>
          <w:b w:val="0"/>
          <w:bCs w:val="0"/>
          <w:spacing w:val="-4"/>
          <w:sz w:val="32"/>
          <w:szCs w:val="32"/>
        </w:rPr>
        <w:tab/>
        <w:t xml:space="preserve">              质量达标率（10分）</w:t>
      </w:r>
      <w:r>
        <w:rPr>
          <w:rStyle w:val="18"/>
          <w:rFonts w:hint="eastAsia" w:ascii="仿宋" w:hAnsi="仿宋" w:eastAsia="仿宋" w:cs="仿宋"/>
          <w:b w:val="0"/>
          <w:bCs w:val="0"/>
          <w:spacing w:val="-4"/>
          <w:sz w:val="32"/>
          <w:szCs w:val="32"/>
        </w:rPr>
        <w:tab/>
        <w:t xml:space="preserve">            10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ab/>
        <w:t xml:space="preserve">                          产出时效（10分）</w:t>
      </w:r>
      <w:r>
        <w:rPr>
          <w:rStyle w:val="18"/>
          <w:rFonts w:hint="eastAsia" w:ascii="仿宋" w:hAnsi="仿宋" w:eastAsia="仿宋" w:cs="仿宋"/>
          <w:b w:val="0"/>
          <w:bCs w:val="0"/>
          <w:spacing w:val="-4"/>
          <w:sz w:val="32"/>
          <w:szCs w:val="32"/>
        </w:rPr>
        <w:tab/>
        <w:t xml:space="preserve">              完成及时性（10分）</w:t>
      </w:r>
      <w:r>
        <w:rPr>
          <w:rStyle w:val="18"/>
          <w:rFonts w:hint="eastAsia" w:ascii="仿宋" w:hAnsi="仿宋" w:eastAsia="仿宋" w:cs="仿宋"/>
          <w:b w:val="0"/>
          <w:bCs w:val="0"/>
          <w:spacing w:val="-4"/>
          <w:sz w:val="32"/>
          <w:szCs w:val="32"/>
        </w:rPr>
        <w:tab/>
        <w:t xml:space="preserve">            10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ab/>
        <w:t xml:space="preserve">                          产出成本（15分）</w:t>
      </w:r>
      <w:r>
        <w:rPr>
          <w:rStyle w:val="18"/>
          <w:rFonts w:hint="eastAsia" w:ascii="仿宋" w:hAnsi="仿宋" w:eastAsia="仿宋" w:cs="仿宋"/>
          <w:b w:val="0"/>
          <w:bCs w:val="0"/>
          <w:spacing w:val="-4"/>
          <w:sz w:val="32"/>
          <w:szCs w:val="32"/>
        </w:rPr>
        <w:tab/>
        <w:t xml:space="preserve">              成本节约率（15分）</w:t>
      </w:r>
      <w:r>
        <w:rPr>
          <w:rStyle w:val="18"/>
          <w:rFonts w:hint="eastAsia" w:ascii="仿宋" w:hAnsi="仿宋" w:eastAsia="仿宋" w:cs="仿宋"/>
          <w:b w:val="0"/>
          <w:bCs w:val="0"/>
          <w:spacing w:val="-4"/>
          <w:sz w:val="32"/>
          <w:szCs w:val="32"/>
        </w:rPr>
        <w:tab/>
        <w:t xml:space="preserve">            14.81</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效益（20分）</w:t>
      </w:r>
      <w:r>
        <w:rPr>
          <w:rStyle w:val="18"/>
          <w:rFonts w:hint="eastAsia" w:ascii="仿宋" w:hAnsi="仿宋" w:eastAsia="仿宋" w:cs="仿宋"/>
          <w:b w:val="0"/>
          <w:bCs w:val="0"/>
          <w:spacing w:val="-4"/>
          <w:sz w:val="32"/>
          <w:szCs w:val="32"/>
        </w:rPr>
        <w:tab/>
        <w:t xml:space="preserve">                  项目效益（20分）</w:t>
      </w:r>
      <w:r>
        <w:rPr>
          <w:rStyle w:val="18"/>
          <w:rFonts w:hint="eastAsia" w:ascii="仿宋" w:hAnsi="仿宋" w:eastAsia="仿宋" w:cs="仿宋"/>
          <w:b w:val="0"/>
          <w:bCs w:val="0"/>
          <w:spacing w:val="-4"/>
          <w:sz w:val="32"/>
          <w:szCs w:val="32"/>
        </w:rPr>
        <w:tab/>
        <w:t xml:space="preserve">              实施效益（10分）</w:t>
      </w:r>
      <w:r>
        <w:rPr>
          <w:rStyle w:val="18"/>
          <w:rFonts w:hint="eastAsia" w:ascii="仿宋" w:hAnsi="仿宋" w:eastAsia="仿宋" w:cs="仿宋"/>
          <w:b w:val="0"/>
          <w:bCs w:val="0"/>
          <w:spacing w:val="-4"/>
          <w:sz w:val="32"/>
          <w:szCs w:val="32"/>
        </w:rPr>
        <w:tab/>
        <w:t xml:space="preserve">                    10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tab/>
        <w:t xml:space="preserve">                                                      满意度（10分）</w:t>
      </w:r>
      <w:r>
        <w:rPr>
          <w:rStyle w:val="18"/>
          <w:rFonts w:hint="eastAsia" w:ascii="仿宋" w:hAnsi="仿宋" w:eastAsia="仿宋" w:cs="仿宋"/>
          <w:b w:val="0"/>
          <w:bCs w:val="0"/>
          <w:spacing w:val="-4"/>
          <w:sz w:val="32"/>
          <w:szCs w:val="32"/>
        </w:rPr>
        <w:tab/>
        <w:t xml:space="preserve">                    10</w:t>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                                  权重分值100分</w:t>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tab/>
        <w:t xml:space="preserve">                                    总得分          99.77</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 绩效评价方法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本次评价采用定量与定性评价相结合的比较法和公众评判法，总分由各项指标得分汇总形成。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比较法：是指通过对绩效目标与实施效果、历史与当期情况、不同部门和地区同类支出的比较，综合分析绩效目标实现程度。</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公众评判法：是指通过专家评估、公众问卷及抽样调查等对财政支出效果进行评判，评价绩效目标实现程度。</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 绩效评价标准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绩效评价标准通常包括计划标准、行业标准、历史标准等，用于对绩效指标完成情况进行比较、分析、评价。本次评价主要采用了计划标准。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计划标准：指以预先制定的目标、计划、预算、定额等作为评价标准。</w:t>
      </w:r>
    </w:p>
    <w:p w14:paraId="73B9B03D">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（三）绩效评价工作过程。</w:t>
      </w:r>
    </w:p>
    <w:p w14:paraId="59589CE5">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第一阶段：前期准备。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我单位绩效评价人员根据《项目支出绩效评价管理办法》（财预〔2020〕10号）文件精神认真学习相关要求与规定，成立绩效评价工作组，作为绩效评价工作具体实施机构。成员构成如下：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赵玉泉任评价组组长，绩效评价工作职责为负责全盘工作。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陈子亮任评价组副组长，绩效评价工作职责为对项目实施情况进行实地调查。</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马春林任评价组成员，绩效评价工作职责为负责资料审核等工作。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第二阶段：组织实施。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经评价组通过实地调研、查阅资料等方式，采用综合分析法对项目的决策、管理、绩效进行的综合评价分析。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第三阶段：分析评价。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首先按照指标体系进行定量、定性分析。其次开展量化打分、综合评价工作，形成初步评价结论。最后归纳整体项目情况与存在问题，撰写部门绩效评价报告。</w:t>
      </w:r>
    </w:p>
    <w:p w14:paraId="30E5433B">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三、综合评价情况及评价结论</w:t>
      </w:r>
    </w:p>
    <w:p w14:paraId="537F3A1A">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（一）综合评价情况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通过实施县委党校党性教育现场教学培训费项目可改善教学培训环境，提高培训效果。项目实施主要通过项目决策、项目过程、项目产出以及项目效益等方面进行评价，其中：</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项目决策：该项目主要通过县财政局过会的《关于申请返还2023年县委党校开展党性教育现场教学培训费用的请示》，塔党财[2024]1号文件立项，项目实施符合相关政策文件与规定要求，项目立项依据充分，立项程序规范。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项目过程：县委党校党性教育现场教学培训费项目预算安排 24.49万元，实际支出24.15万元，预算执行率98.61%。项目资金使用合规，项目财务管理制度健全，财务监控到位，所有资金支付均按照国库集中支付制度严格执行，现有项目管理制度执行情况良好。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产出：截止评价日，已用于支付喀什地区第一人民医院广东援疆专家组赴塔县开展党性教育食宿费用，共计28460元；支付广东省委党校（广东行政学院）2023年秋季学期中青班食宿费用，共计20700元；支付广东省委党校（广东行政学院）2023年秋季学期中青班车辆保障费用，共计36000元；支付广东省委党校（广东行政学院）2023年秋季学期中青班伽师县现场教学餐饮费用，共计3000元；支付制作楼顶标语、制度牌共计11730元；支付排水维修、更换灯具、热水器安装、疏通管道等费用共计15150元；支付制作展板、制度牌、党性教育精品课程手册等费用14610元；支付购买文体用品及低值消耗品共计15000元；支付2021年原党校学员公寓楼整体维修改造费用30000元；支付2021年原党校保密室改造费用20000元；支付2024年1月购买教学培训使用投影仪5台、会议音箱5套等设备共计46898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项目效益：通过该项目的实施可改善教学培训环境，提高培训效果。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（二）综合评价结论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依据《中共中央国务院关于全面实施预算绩效管理的意见》《项目支出绩效评价管理办法》（财预〔2020〕10号）以及《关于进一步加强和规范喀什地区项目支出“全过程”预算绩效管理结果应用的通知》（喀地财绩〔2022〕2号）文件，绩效评价总分设置为100分，划分为四档：90（含）-100分为“优”、80（含）-90分为“良”、70（含）-80分为“中”、70分以下为“差”。经对县委党校党性教育现场教学培训费项目进行客观评价，最终评分结果：评价总分99.77分，绩效等级为“优”。</w:t>
      </w:r>
    </w:p>
    <w:p w14:paraId="661B5471">
      <w:pPr>
        <w:spacing w:line="570" w:lineRule="exact"/>
        <w:ind w:firstLine="624" w:firstLineChars="200"/>
        <w:rPr>
          <w:rStyle w:val="18"/>
          <w:rFonts w:ascii="黑体" w:hAnsi="黑体" w:eastAsia="黑体" w:cs="黑体"/>
          <w:b w:val="0"/>
          <w:sz w:val="32"/>
          <w:szCs w:val="32"/>
        </w:rPr>
      </w:pPr>
      <w:r>
        <w:rPr>
          <w:rStyle w:val="18"/>
          <w:rFonts w:hint="eastAsia" w:ascii="黑体" w:hAnsi="黑体" w:eastAsia="黑体" w:cs="黑体"/>
          <w:b w:val="0"/>
          <w:spacing w:val="-4"/>
          <w:sz w:val="32"/>
          <w:szCs w:val="32"/>
        </w:rPr>
        <w:t xml:space="preserve">四、绩效评价指标分析 </w:t>
      </w:r>
    </w:p>
    <w:p w14:paraId="53AA791E">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14:paraId="10E1FEA4">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项目决策类指标包括项目立项、绩效目标和资金投入三方面的内容，由6个三级指标构成，权重分为15分，实际得分15分，得分率为100%。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立项依据充分性：本项目立项是根据塔党财[2024]1号文件，符合行业发展规划和政策要求；本项目立项是根据《塔什库尔干县委党校单位三定方案》第四条职责，属于我单位履职所需；根据《财政资金直接支付申请书》，本项目资金性质为“公共财政预算”，功能分类为“干部教育”，经济分类为“上级一般转移支付”，属于公共财政支持范围，符合中央、地方事权支出责任划分原则；经检查我单位财政管理一体化信息系统，本项目不存在重复。结合《塔什库尔干县委党校单位三定方案》职责，并组织实施该项目。围绕塔什库尔干县委党校2024年度工作重点和工作计划制定项目预算，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立项程序规范性：根据（塔党财[2024]1号）以及《县委党校党性教育现场教学培训费项目实施方案》编制工作计划和项目预算，经过与塔什库尔干县县委党校分管领导进行沟通、筛选确定经费预算计划，上校委会研究确定最终预算方案，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（3）绩效目标合理性：</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①该项目已设置年度绩效目标，具体内容为“该项目主要用于支付根据协议开展党性教育现场教学的乙方指定酒店食宿，从而产生食宿费、现场教学费、场地费、车辆租赁费等。项目投入24.49万元，通过开展党性教育现场培训80人次、购买1批教学培训设备、维修改造县委党校2次，预期可改善教学培训环境，提高培训效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②该项目实际工作内容为：用于支付喀什地区第一人民医院广东援疆专家组赴塔县开展党性教育食宿费用，共计28460元；支付广东省委党校（广东行政学院）2023年秋季学期中青班食宿费用，共计20700元；支付广东省委党校（广东行政学院）2023年秋季学期中青班车辆保障费用，共计36000元；支付广东省委党校（广东行政学院）2023年秋季学期中青班伽师县现场教学餐饮费用，共计3000元；支付制作楼顶标语、制度牌共计11730元；支付排水维修、更换灯具、热水器安装、疏通管道等费用共计15150元；支付制作展板、制度牌、党性教育精品课程手册等费用14610元；支付购买文体用品及低值消耗品共计15000元；支付2021年原党校学员公寓楼整体维修改造费用30000元；支付2021年原党校保密室改造费用20000元；支付2024年1月购买教学培训使用投影仪5台、会议音箱5套等设备共计46898元；项目的实施有效改善了教学培训环境，提高了培训效果。绩效目标与实际工作内容一致，两者具有相关性。</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③该项目按照绩效目标完成数量指标、质量指标、时效指标，完成了支付根据协议开展党性教育现场教学的乙方指定酒店食宿，从而产生食宿费、现场教学费、场地费、车辆租赁费等，达到改善教学培训环境，提高培训效果，预期产出效益和效果符合正常的业绩水平。</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④该项目批复的预算金额为24.49万元，《项目支出绩效目标表》中预算金额为24.49万元，预算确定的项目资金与预算确定的项目投资额相匹配。</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⑤本单位制定了《县委党校党性教育现场教学培训费项目实施方案》，明确了总体思路及目标、并对任务进行了详细分解，对目标进行了细化。</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绩效指标明确性：经检查我单位年初设置的《项目支出绩效目标表》，得出如下结论：本项目已将年度绩效目标进行细化为绩效指标体系，共设置一级指标4个，二级指标6个，三级指标11个，定量指标9个，定性指标2个，指标量化率为81.82%，量化率达70%以上，将项目绩效目标细化分解为具体的绩效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该《项目绩效目标申报表》中，数量指标指标值为开展党性教育现场培训人次大于等于80人次，购买教学培训使用设备数量大于等于1批次，县委党校维修改造次数大于等于2次，三级指标的年度指标值与年度绩效目标中任务数一致，已设置时效指标“资金支付及时性”。已设置的绩效目标具备明确性、可衡量性、可实现性、相关性、时限性。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（5）预算编制科学性：本项目预算编制通过前期调研论证，同类似项目对比分析，发现预算编制科学合理；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预算申请内容为用于支付喀什地区第一人民医院广东援疆专家组赴塔县开展党性教育食宿费用，共计28460元；支付广东省委党校（广东行政学院）2023年秋季学期中青班食宿费用，共计20700元；支付广东省委党校（广东行政学院）2023年秋季学期中青班车辆保障费用，共计36000元；支付广东省委党校（广东行政学院）2023年秋季学期中青班伽师县现场教学餐饮费用，共计3000元；支付制作楼顶标语、制度牌共计11730元；支付排水维修、更换灯具、热水器安装、疏通管道等费用共计15150元；支付制作展板、制度牌、党性教育精品课程手册等费用14610元；支付购买文体用品及低值消耗品共计15000元；支付2021年原党校学员公寓楼整体维修改造费用30000元；支付2021年原党校保密室改造费用20000元；支付2024年1月购买教学培训使用投影仪5台、会议音箱5套等设备共计46898元，项目实际内容为总投资24.49万元，主要用于预算申请内容支出，预算申请与《县委党校党性教育现场教学培训费项目实施方案》中涉及的项目内容匹配；</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预算申请资金24.49万元，我单位在预算申请中严格按照项目实施内容及测算标准进行核算，其中：用于支付喀什地区第一人民医院广东援疆专家组赴塔县开展党性教育食宿费用，共计28460元；支付广东省委党校（广东行政学院）2023年秋季学期中青班食宿费用，共计20700元；支付广东省委党校（广东行政学院）2023年秋季学期中青班车辆保障费用，共计36000元；支付广东省委党校（广东行政学院）2023年秋季学期中青班伽师县现场教学餐饮费用，共计3000元；支付制作楼顶标语、制度牌共计11730元；支付排水维修、更换灯具、热水器安装、疏通管道等费用共计15150元；支付制作展板、制度牌、党性教育精品课程手册等费用14610元；支付购买文体用品及低值消耗品共计15000元；支付2021年原党校学员公寓楼整体维修改造费用30000元；支付2021年原党校保密室改造费用20000元；支付2024年1月购买教学培训使用投影仪5台、会议音箱5套等设备共计46898元。预算确定资金量与实际工作任务相匹配。本项目预算额度测算依据充分，严格按照标准编制，预算确定资金量与实际工作任务相匹配；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6）资金分配合理性：本项目实际分配资金以塔党财[2024]1号文件为依据进行资金分配，预算资金分配依据充分。根据本项目《县委党校党性教育现场教学培训费项目实施方案》资金分配额度合理，与我单位实际需求相适应。资金分配与实际相适应，根据评分标准，该指标不扣分，得2分。</w:t>
      </w:r>
    </w:p>
    <w:p w14:paraId="7733B89B">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14:paraId="08107E5C">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项目过程类指标包括资金管理和组织实施两方面的内容，由5个三级指标构成，权重分为20分，实际得分19.94分，得分率为99.7%。</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1）资金到位率：本项目预算资金为24.49万元，其中：财政安排资金24.49万元，实际到位资金24.49万元，资金到位率100%；通过分析可知，该项目财政资金足额拨付到位，能够及时足额支付给实施单位。根据评分标准，该指标不扣分，得3分。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（2）预算执行率：本项目实际支出资金24.15万元，预算执行率为98.61%；通过分析可知，该项目预算编制较为详细，项目资金支出总体能够按照预算执行，根据评分标准，该指标扣0.04分，得2.96分。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资金使用合规性：通过检查项目资金申请文件、国库支付凭证等财务资料，得出本项目资金支出符合国家财经法规、《政府会计制度》《塔什库尔干县委党校资金管理办法》资金的拨付有完整的审批程序和手续，资金实际使用方向与预算批复用途一致，不存在截留、挤占、挪用、虚列支出的情况。我单位制定了相关的制度和管理规定对经费使用进行规范管理，财务制度健全、执行严格，根据评分标准，该指标不扣分，得4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管理制度健全性：我单位已制定《塔什库尔干县委党校资金管理办法》《塔什库尔干县委党校收支业务管理制度》《塔什库尔干县委党校政府采购业务管理制度》《塔什库尔干县委党校合同管理制度》，相关制度均符合行政事业单位内控管理要求，财务和业务管理制度合法、合规、完整，本项目执行符合上述制度规定。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5）制度执行有效性：①该项目的实施符合《塔什库尔干县委党校资金管理办法》《塔什库尔干县委党校收支业务管理制度》等相关法律法规及管理规定，项目具备完整规范的立项程序；经查证项目实施过程资料，项目采购、实施、评价等过程均按照采购管理办法和合同管理办法等相关制度执行，基本完成既定目标；经查证党委会议纪要、项目资金支付审批表、记账凭证等资金拨付流程资料，项目资金拨付流程完整、手续齐全。综上分析表明，项目执行遵守了相关法律法规和相关管理规定。</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②经现场查证，项目合同书、验收评审表、财务支付凭证等资料齐全并及时进行了归档。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③该项目不存在调整。</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④该项目实施所需要的项目人员和场地设备均已落实到位，具体涉及内容包括：项目资金支出严格按照自治区、地区以及本单位资金管理办法执行，项目启动实施后，为了加快本项目的实施，成立了县委党校党性教育现场教学培训费项目工作领导小组，由赵玉泉任组长，负责项目的组织工作；陈子亮任副组长，负责项目的实施工作；组员包括：马春林，主要负责项目监督管理、验收以及资金核拨等工作。根据评分标准，该指标不扣分，得5分。</w:t>
      </w:r>
    </w:p>
    <w:p w14:paraId="5E487E73">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14:paraId="2AE18E56">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项目产出类指标包括产出数量、产出质量、产出时效、产出成本四方面的内容，由4个三级指标构成，权重分为45分，实际得分44.81分，得分率为99.58%。</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（1）对于“产出数量”</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开展党性教育现场培训人次指标，预期指标值为大于等于80人次，实际完成值为80人次，指标完成率为100%，与预期目标一致，根据评分标准，该指标不扣分，得3分。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购买教学培训使用设备数量指标，预期指标值为大于等于1批次，实际完成值为1批次，指标完成率为100%，与预期目标一致，根据评分标准，该指标不扣分，得3分。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县委党校维修改造次数指标，预期指标值为大于等于2次，实际完成值为2次，指标完成率为100%，与预期目标一致，根据评分标准，该指标不扣分，得4分。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（2）对于“产出质量”：</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设备采购合格率指标，预期指标值为100%，实际完成值为100%，指标完成率为100%，与预期目标一致，根据评分标准，该指标不扣分，得5分。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党校维修改造验收合格率指标，预期指标值为100%，实际完成值为100%，指标完成率为100%，与预期目标一致，根据评分标准，该指标不扣分，得5分。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（3）对于“产出时效”：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资金支付及时性指标，预期指标值为100%，实际完成值为100%，指标完成率为100%，与预期目标一致，根据评分标准，该指标不扣分，得10分。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（4）对于“产出成本”：</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开展党性教育现场教学食宿、车辆保障、餐饮等费用指标，预期指标值为小于等于9.14万元，实际完成值为等于8.8万元，指标完成率为96.28%，根据评分标准，该指标扣0.19分，得4.81分。偏差原因：本项目通过拨付资金24.15万元，已确保完成本年度工作任务，导致出现正偏差，改进措施：根据项目需求，后续合理设置绩效指标，合理规划和调配资金，保障工作按时按量进行，避免资金闲置，提高资金使用效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购买教学培训使用设备费用指标，预期指标值为小于等于4.7万元，实际完成值为等于4.7万元，指标完成率为100%，根据评分标准，该指标不扣分，得5分。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县委党校维修改造费用指标，预期指标值为小于等于10.65万元，实际完成值为等于10.65万元，指标完成率为100%，根据评分标准，该指标不扣分，得5分。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合计得14.81分。</w:t>
      </w:r>
    </w:p>
    <w:p w14:paraId="4B276C74">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14:paraId="062157C4">
      <w:pPr>
        <w:spacing w:line="540" w:lineRule="exact"/>
        <w:ind w:firstLine="567"/>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项目效益类指标包括项目效益1个方面的内容，由2个三级指标构成，权重分为20分，实际得分20分，得分率为100%。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（1）对于“社会效益指标”：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改善教学培训环境，提高培训效果指标，该指标预期指标值为提高，实际完成值为提高，指标完成率为100%，与预期指标一致，根据评分标准，该指标不扣分，得10分。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实施效益指标合计得10分。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（2）对于“经济效益指标”：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（3）对于“生态效益指标”：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无。</w:t>
      </w:r>
    </w:p>
    <w:p w14:paraId="7ED97BC6">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w:t>
      </w:r>
      <w:r>
        <w:rPr>
          <w:rFonts w:hint="eastAsia" w:ascii="楷体" w:hAnsi="楷体" w:eastAsia="楷体" w:cs="楷体"/>
          <w:b/>
          <w:spacing w:val="-4"/>
          <w:sz w:val="32"/>
          <w:szCs w:val="32"/>
          <w:lang w:val="en-US" w:eastAsia="zh-CN"/>
        </w:rPr>
        <w:t>五</w:t>
      </w:r>
      <w:r>
        <w:rPr>
          <w:rFonts w:hint="eastAsia" w:ascii="楷体" w:hAnsi="楷体" w:eastAsia="楷体" w:cs="楷体"/>
          <w:b/>
          <w:spacing w:val="-4"/>
          <w:sz w:val="32"/>
          <w:szCs w:val="32"/>
        </w:rPr>
        <w:t>）满意度指标完成情况分析。</w:t>
      </w:r>
    </w:p>
    <w:p w14:paraId="4B64F3F0">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满意度指标分析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对于“满意度指标：受益师生满意度指标，该指标预期指标值为100%，实际完成值为100%，指标完成率为100%，与预期目标一致，根据评分标准，该指标不扣分,得10分。</w:t>
      </w:r>
    </w:p>
    <w:p w14:paraId="6442C732">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五、预算执行进度与绩效指标偏差</w:t>
      </w:r>
    </w:p>
    <w:p w14:paraId="6CA9477A">
      <w:pPr>
        <w:spacing w:line="540" w:lineRule="exact"/>
        <w:ind w:firstLine="567"/>
        <w:rPr>
          <w:rFonts w:ascii="仿宋" w:hAnsi="仿宋" w:eastAsia="仿宋" w:cs="仿宋"/>
          <w:spacing w:val="-4"/>
          <w:sz w:val="32"/>
          <w:szCs w:val="32"/>
        </w:rPr>
      </w:pPr>
      <w:r>
        <w:rPr>
          <w:rStyle w:val="18"/>
          <w:rFonts w:hint="eastAsia" w:ascii="仿宋" w:hAnsi="仿宋" w:eastAsia="仿宋" w:cs="仿宋"/>
          <w:b w:val="0"/>
          <w:bCs w:val="0"/>
          <w:spacing w:val="-4"/>
          <w:sz w:val="32"/>
          <w:szCs w:val="32"/>
        </w:rPr>
        <w:t>县委党校党性教育现场教学培训费项目预算24.49万元，到位24.49万元，实际支出24.15万元，预算执行率为98.61%，项目绩效指标总体完成率为99.70%。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偏差原因：开展党性教育现场教学食宿、车辆保障、餐饮等费用指标，预期指标值为小于等于9.14万元，实际完成值为等于8.8万元，指标完成率为96.28%。本项目通过拨付资金24.15万元，已确保完成本年度工作任务，导致出现正偏差，改进措施：根据项目需求，后续合理设置绩效指标，合理规划和调配资金，保障工作按时按量进行，避免资金闲置，提高资金使用效率。</w:t>
      </w:r>
    </w:p>
    <w:p w14:paraId="0C91E31C">
      <w:pPr>
        <w:spacing w:line="570" w:lineRule="exact"/>
        <w:ind w:firstLine="624" w:firstLineChars="200"/>
        <w:rPr>
          <w:rStyle w:val="18"/>
          <w:rFonts w:hint="eastAsia" w:ascii="黑体" w:hAnsi="黑体" w:eastAsia="黑体" w:cs="黑体"/>
          <w:b w:val="0"/>
          <w:spacing w:val="-4"/>
          <w:sz w:val="32"/>
          <w:szCs w:val="32"/>
          <w:lang w:eastAsia="zh-CN"/>
        </w:rPr>
      </w:pPr>
      <w:r>
        <w:rPr>
          <w:rStyle w:val="18"/>
          <w:rFonts w:hint="eastAsia" w:ascii="黑体" w:hAnsi="黑体" w:eastAsia="黑体" w:cs="黑体"/>
          <w:b w:val="0"/>
          <w:spacing w:val="-4"/>
          <w:sz w:val="32"/>
          <w:szCs w:val="32"/>
        </w:rPr>
        <w:t>六、主要经验及做法、存在的问题及原因分析</w:t>
      </w:r>
      <w:r>
        <w:rPr>
          <w:rStyle w:val="18"/>
          <w:rFonts w:hint="eastAsia" w:ascii="黑体" w:hAnsi="黑体" w:eastAsia="黑体" w:cs="黑体"/>
          <w:b w:val="0"/>
          <w:spacing w:val="-4"/>
          <w:sz w:val="32"/>
          <w:szCs w:val="32"/>
          <w:lang w:eastAsia="zh-CN"/>
        </w:rPr>
        <w:t>、下一步改进措施</w:t>
      </w:r>
    </w:p>
    <w:p w14:paraId="7B08CE2A">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（一）主要经验及做法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一是本项目能够严格按照《项目实施方案》执行，项目执行情况较好。二是加强组织领导，本项目绩效评价工作，有主要领导亲自挂帅，分管领导具体负责，从项目到资金，均能够很好的执行。三是加强沟通协调，我单位及时向领导汇报项目建设进度，加强与施工单位的沟通，确保项目按期完工。</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（二）存在问题及原因分析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14:paraId="0765D604">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七、有关建议</w:t>
      </w:r>
    </w:p>
    <w:p w14:paraId="45C88454">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项目建设的程序进一步规范。项目前期做好可行性研究报告，更加细化实施方案，严格执行资金管理办法和财政资金管理制度，严格按照项目实施方案、政府采购办法等稳步推进工作，各部门单位根据自己项目的特点进行总结。</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2.项目评价资料有待进一步完善。项目启动时同步做好档案的归纳与整理，及时整理、收集、汇总，健全档案资料。项目后续管理有待进一步加强和跟踪。</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3.通过绩效管理，发现实施中存在漏洞，以后加强管理，及时掌握与之相关的各类信息，减少成本，使资金效益最大化。</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4．评价工作应从项目实施方案源头抓起，评价工作和意识应贯穿项目整个过程。</w:t>
      </w:r>
    </w:p>
    <w:p w14:paraId="69FDA20E">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八、其他需要说明的问题</w:t>
      </w:r>
    </w:p>
    <w:p w14:paraId="7EB2CE58">
      <w:pPr>
        <w:spacing w:line="540" w:lineRule="exact"/>
        <w:ind w:firstLine="567"/>
        <w:rPr>
          <w:rStyle w:val="18"/>
          <w:rFonts w:ascii="仿宋" w:hAnsi="仿宋" w:eastAsia="仿宋"/>
          <w:b w:val="0"/>
          <w:spacing w:val="-4"/>
          <w:sz w:val="32"/>
          <w:szCs w:val="32"/>
        </w:rPr>
      </w:pPr>
      <w:r>
        <w:rPr>
          <w:rStyle w:val="18"/>
          <w:rFonts w:hint="eastAsia" w:ascii="仿宋" w:hAnsi="仿宋" w:eastAsia="仿宋" w:cs="仿宋"/>
          <w:b w:val="0"/>
          <w:bCs w:val="0"/>
          <w:spacing w:val="-4"/>
          <w:sz w:val="32"/>
          <w:szCs w:val="32"/>
        </w:rPr>
        <w:t>我单位对上述项目支出绩效评价报告内反映内容的真实性、完整性负责，接受上级部门及社会公众监督。</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1D1F75ED">
        <w:pPr>
          <w:pStyle w:val="12"/>
          <w:jc w:val="center"/>
        </w:pPr>
        <w:r>
          <w:fldChar w:fldCharType="begin"/>
        </w:r>
        <w:r>
          <w:instrText xml:space="preserve">PAGE   \* MERGEFORMAT</w:instrText>
        </w:r>
        <w:r>
          <w:fldChar w:fldCharType="separate"/>
        </w:r>
        <w:r>
          <w:rPr>
            <w:lang w:val="zh-CN"/>
          </w:rPr>
          <w:t>1</w:t>
        </w:r>
        <w:r>
          <w:fldChar w:fldCharType="end"/>
        </w:r>
      </w:p>
    </w:sdtContent>
  </w:sdt>
  <w:p w14:paraId="3E2BB1B1">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7"/>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c0ZGFmZGVlMTU2YmFlODYzODJmYzUzZGI2NmMwNGEifQ=="/>
  </w:docVars>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19DD4B55"/>
    <w:rsid w:val="2AE11386"/>
    <w:rsid w:val="2D4C6AD2"/>
    <w:rsid w:val="2D5A6638"/>
    <w:rsid w:val="340D5924"/>
    <w:rsid w:val="43B04001"/>
    <w:rsid w:val="4609551D"/>
    <w:rsid w:val="4D2606A1"/>
    <w:rsid w:val="4DD42C22"/>
    <w:rsid w:val="503863D1"/>
    <w:rsid w:val="50796DE0"/>
    <w:rsid w:val="5DA70C36"/>
    <w:rsid w:val="716B6B6A"/>
    <w:rsid w:val="72F325A8"/>
    <w:rsid w:val="7A780714"/>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26</Pages>
  <Words>10187</Words>
  <Characters>10908</Characters>
  <Lines>5</Lines>
  <Paragraphs>1</Paragraphs>
  <TotalTime>0</TotalTime>
  <ScaleCrop>false</ScaleCrop>
  <LinksUpToDate>false</LinksUpToDate>
  <CharactersWithSpaces>12199</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2022-01-14T05:11:00Z</dcterms:created>
  <dc:creator>赵 恺（预算处）</dc:creator>
  <cp:lastModifiedBy>周丽君</cp:lastModifiedBy>
  <cp:lastPrinted>2018-12-31T10:56:00Z</cp:lastPrinted>
  <dcterms:modified xsi:type="dcterms:W3CDTF">2025-09-04T08:45:19Z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299A846E7742483FADE25949A45A48D3_12</vt:lpwstr>
  </property>
  <property fmtid="{D5CDD505-2E9C-101B-9397-08002B2CF9AE}" pid="4" name="KSOTemplateDocerSaveRecord">
    <vt:lpwstr>eyJoZGlkIjoiZjc0YWFlMzUxNjVlZTcxY2FlZTNjZDFlMzE3YzBjNDEiLCJ1c2VySWQiOiIyMDM3MTI1NTkifQ==</vt:lpwstr>
  </property>
</Properties>
</file>