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82" w:rsidRDefault="006E3D82">
      <w:pPr>
        <w:jc w:val="center"/>
        <w:rPr>
          <w:rFonts w:ascii="宋体" w:cs="宋体"/>
          <w:sz w:val="44"/>
          <w:szCs w:val="44"/>
        </w:rPr>
      </w:pPr>
      <w:r>
        <w:rPr>
          <w:rFonts w:ascii="宋体" w:hAnsi="宋体" w:cs="宋体"/>
          <w:sz w:val="44"/>
          <w:szCs w:val="44"/>
        </w:rPr>
        <w:t>2015</w:t>
      </w:r>
      <w:r>
        <w:rPr>
          <w:rFonts w:ascii="宋体" w:hAnsi="宋体" w:cs="宋体" w:hint="eastAsia"/>
          <w:sz w:val="44"/>
          <w:szCs w:val="44"/>
        </w:rPr>
        <w:t>年塔什库尔干县农林水利局部门决算说明</w:t>
      </w:r>
    </w:p>
    <w:p w:rsidR="006E3D82" w:rsidRDefault="006E3D82">
      <w:pPr>
        <w:spacing w:line="560" w:lineRule="exact"/>
        <w:jc w:val="center"/>
        <w:rPr>
          <w:rFonts w:ascii="仿宋_GB2312" w:eastAsia="仿宋_GB2312" w:hAnsi="宋体"/>
          <w:b/>
          <w:bCs/>
          <w:sz w:val="32"/>
          <w:szCs w:val="32"/>
        </w:rPr>
      </w:pPr>
    </w:p>
    <w:p w:rsidR="006E3D82" w:rsidRDefault="006E3D82">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单位概述</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塔什库尔干县农林水利局单位性质为事业单位全额拨款，执行会计制度为事业会计制度。独立编制机构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）根据全县经济社会发展总体规划和战略目标，拟定水利发展战略和中长期规划，组织拟定综合利用规划和专业规划并监督实施，负责组织、指导水法律法规的行政执法、水政监察</w:t>
      </w:r>
      <w:r>
        <w:rPr>
          <w:rFonts w:ascii="仿宋_GB2312" w:eastAsia="仿宋_GB2312" w:hAnsi="仿宋_GB2312" w:cs="仿宋_GB2312"/>
          <w:sz w:val="32"/>
          <w:szCs w:val="32"/>
        </w:rPr>
        <w:t>.</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统一管理全县水资源，组织拟定全县水长期供水计划、水量分配方案并监督实施；组织有关全县国民经济总体规划、城市规划及重大建设项目的水资源和防洪的论证工作；组织实施取水许可制度和水资源费征收制度；发布全县水资源公报；拟定节约用水政策，编制节约用水规划、组织、指导和监督全市节约用水工作。</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）按照国家资源与环境保护的有关法律法规和标准，拟定水资源保护规划；组织水功能区的划分和向饮水区等区域排污的控制；检测江河湖库的水量、水质，审定水域纳污能力；提出限制排污总量的意见。</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）拟定水利行业的经济调节措施；对水利资金的使用进行调节；指导水利行业的供水、小水电及多种经营工作；研究提出有关水利的价格、税收及水利信贷、财务等经济调节意见。</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）负责水利基建项目建议书、可行性报告、初步设计、概预算和施工图审查并组织项目验收和后评价；指导水利行业技术质量标准和水利工程的规程、规范的实施和监督。</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）组织、指导水利设施、水域及其岸线、城镇河道的管理与保护；组织、指导江河湖库、城镇河道的治理和开发；组织建设和管理具有控制性的重要水利工程；组织、指导水库、水电站大坝的安全监管。</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）指导农村水利工作；组织协调农田水利基本建设、乡镇供水、人畜饮水工程。</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）指导水利行业的水电管理。组织协调农村小水电电气化建设工作，组织实施水利行业农电体制改革。</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）负责全县水土保持工作，研究拟定水土保持规划，组织水土流失的监测、执法管理和综合防治。</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）负责水利方面的科技和外事工作；指导全县水利队伍建设。</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）承担县人民政府防汛抗旱指挥部的日常工作，组织、协调、监督、指导全县防洪及抗旱工作，对主要江河和重要水利工程实施防汛抗旱调度。</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 xml:space="preserve">）承办县委、县人民政府防汛抗旱指挥部交办的其它事项。　　</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113</w:t>
      </w:r>
      <w:r>
        <w:rPr>
          <w:rFonts w:ascii="仿宋_GB2312" w:eastAsia="仿宋_GB2312" w:hAnsi="仿宋_GB2312" w:cs="仿宋_GB2312" w:hint="eastAsia"/>
          <w:sz w:val="32"/>
          <w:szCs w:val="32"/>
        </w:rPr>
        <w:t>人，按照编委文件填报，实际实有在职人数</w:t>
      </w:r>
      <w:r>
        <w:rPr>
          <w:rFonts w:ascii="仿宋_GB2312" w:eastAsia="仿宋_GB2312" w:hAnsi="仿宋_GB2312" w:cs="仿宋_GB2312"/>
          <w:sz w:val="32"/>
          <w:szCs w:val="32"/>
        </w:rPr>
        <w:t>114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32</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114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32</w:t>
      </w:r>
      <w:r>
        <w:rPr>
          <w:rFonts w:ascii="仿宋_GB2312" w:eastAsia="仿宋_GB2312" w:hAnsi="仿宋_GB2312" w:cs="仿宋_GB2312" w:hint="eastAsia"/>
          <w:sz w:val="32"/>
          <w:szCs w:val="32"/>
        </w:rPr>
        <w:t>人。</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6E3D82" w:rsidRDefault="006E3D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纳入塔什库尔干县水利局单位</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7"/>
        <w:gridCol w:w="5855"/>
        <w:gridCol w:w="1220"/>
      </w:tblGrid>
      <w:tr w:rsidR="006E3D82">
        <w:tc>
          <w:tcPr>
            <w:tcW w:w="1447"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序号</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单位名称</w:t>
            </w:r>
          </w:p>
        </w:tc>
        <w:tc>
          <w:tcPr>
            <w:tcW w:w="1220"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6E3D82">
        <w:tc>
          <w:tcPr>
            <w:tcW w:w="1447"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1</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塔什库尔干县水利局</w:t>
            </w:r>
          </w:p>
        </w:tc>
        <w:tc>
          <w:tcPr>
            <w:tcW w:w="1220" w:type="dxa"/>
          </w:tcPr>
          <w:p w:rsidR="006E3D82" w:rsidRDefault="006E3D82">
            <w:pPr>
              <w:spacing w:line="560" w:lineRule="exact"/>
              <w:rPr>
                <w:rFonts w:ascii="仿宋_GB2312" w:eastAsia="仿宋_GB2312" w:hAnsi="仿宋_GB2312" w:cs="仿宋_GB2312"/>
                <w:sz w:val="32"/>
                <w:szCs w:val="32"/>
              </w:rPr>
            </w:pPr>
          </w:p>
        </w:tc>
      </w:tr>
      <w:tr w:rsidR="006E3D82">
        <w:tc>
          <w:tcPr>
            <w:tcW w:w="1447"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2</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塔什库尔干县各乡农经站</w:t>
            </w:r>
          </w:p>
        </w:tc>
        <w:tc>
          <w:tcPr>
            <w:tcW w:w="1220" w:type="dxa"/>
          </w:tcPr>
          <w:p w:rsidR="006E3D82" w:rsidRDefault="006E3D82">
            <w:pPr>
              <w:spacing w:line="560" w:lineRule="exact"/>
              <w:rPr>
                <w:rFonts w:ascii="仿宋_GB2312" w:eastAsia="仿宋_GB2312" w:hAnsi="仿宋_GB2312" w:cs="仿宋_GB2312"/>
                <w:sz w:val="32"/>
                <w:szCs w:val="32"/>
              </w:rPr>
            </w:pPr>
          </w:p>
        </w:tc>
      </w:tr>
      <w:tr w:rsidR="006E3D82">
        <w:tc>
          <w:tcPr>
            <w:tcW w:w="1447"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3</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塔什库尔干县林管站</w:t>
            </w:r>
          </w:p>
        </w:tc>
        <w:tc>
          <w:tcPr>
            <w:tcW w:w="1220" w:type="dxa"/>
          </w:tcPr>
          <w:p w:rsidR="006E3D82" w:rsidRDefault="006E3D82">
            <w:pPr>
              <w:spacing w:line="560" w:lineRule="exact"/>
              <w:rPr>
                <w:rFonts w:ascii="仿宋_GB2312" w:eastAsia="仿宋_GB2312" w:hAnsi="仿宋_GB2312" w:cs="仿宋_GB2312"/>
                <w:sz w:val="32"/>
                <w:szCs w:val="32"/>
              </w:rPr>
            </w:pPr>
          </w:p>
        </w:tc>
      </w:tr>
      <w:tr w:rsidR="006E3D82">
        <w:tc>
          <w:tcPr>
            <w:tcW w:w="1447" w:type="dxa"/>
          </w:tcPr>
          <w:p w:rsidR="006E3D82" w:rsidRDefault="006E3D82" w:rsidP="00F96895">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sz w:val="32"/>
                <w:szCs w:val="32"/>
              </w:rPr>
              <w:t>4</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塔什库尔干县农林局</w:t>
            </w:r>
          </w:p>
        </w:tc>
        <w:tc>
          <w:tcPr>
            <w:tcW w:w="1220" w:type="dxa"/>
          </w:tcPr>
          <w:p w:rsidR="006E3D82" w:rsidRDefault="006E3D82">
            <w:pPr>
              <w:spacing w:line="560" w:lineRule="exact"/>
              <w:rPr>
                <w:rFonts w:ascii="仿宋_GB2312" w:eastAsia="仿宋_GB2312" w:hAnsi="仿宋_GB2312" w:cs="仿宋_GB2312"/>
                <w:sz w:val="32"/>
                <w:szCs w:val="32"/>
              </w:rPr>
            </w:pPr>
          </w:p>
        </w:tc>
      </w:tr>
      <w:tr w:rsidR="006E3D82">
        <w:tc>
          <w:tcPr>
            <w:tcW w:w="1447" w:type="dxa"/>
          </w:tcPr>
          <w:p w:rsidR="006E3D82" w:rsidRDefault="006E3D82" w:rsidP="00F96895">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sz w:val="32"/>
                <w:szCs w:val="32"/>
              </w:rPr>
              <w:t>5</w:t>
            </w:r>
          </w:p>
        </w:tc>
        <w:tc>
          <w:tcPr>
            <w:tcW w:w="5855" w:type="dxa"/>
          </w:tcPr>
          <w:p w:rsidR="006E3D82" w:rsidRDefault="006E3D8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塔什库尔干县农技站</w:t>
            </w:r>
          </w:p>
        </w:tc>
        <w:tc>
          <w:tcPr>
            <w:tcW w:w="1220" w:type="dxa"/>
          </w:tcPr>
          <w:p w:rsidR="006E3D82" w:rsidRDefault="006E3D82">
            <w:pPr>
              <w:spacing w:line="560" w:lineRule="exact"/>
              <w:rPr>
                <w:rFonts w:ascii="仿宋_GB2312" w:eastAsia="仿宋_GB2312" w:hAnsi="仿宋_GB2312" w:cs="仿宋_GB2312"/>
                <w:sz w:val="32"/>
                <w:szCs w:val="32"/>
              </w:rPr>
            </w:pPr>
          </w:p>
        </w:tc>
      </w:tr>
    </w:tbl>
    <w:p w:rsidR="006E3D82" w:rsidRDefault="006E3D82">
      <w:pPr>
        <w:snapToGrid w:val="0"/>
        <w:spacing w:line="560" w:lineRule="exact"/>
        <w:rPr>
          <w:rFonts w:ascii="仿宋_GB2312" w:eastAsia="仿宋_GB2312" w:hAnsi="仿宋_GB2312" w:cs="仿宋_GB2312"/>
          <w:b/>
          <w:bCs/>
          <w:sz w:val="32"/>
          <w:szCs w:val="32"/>
        </w:rPr>
      </w:pPr>
      <w:bookmarkStart w:id="0" w:name="YS060102"/>
    </w:p>
    <w:p w:rsidR="006E3D82" w:rsidRDefault="006E3D8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sz w:val="32"/>
          <w:szCs w:val="32"/>
        </w:rPr>
        <w:t>塔什库尔干县水利局</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年度部门决算报表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一、收入支出决算总表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二、财政拨款收入支出决算总表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三、收入支出决算表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四、收入决算表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五、支出决算表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六、支出决算明细表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七、基本支出决算明细表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八、项目支出决算明细表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九、项目收入支出决算表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十、行政事业类项目收入支出决算表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十一、基本建设类项目收入支出决算表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十二、一般公共预算财政拨款收入支出决算表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十三、一般公共预算财政拨款支出决算明细表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十四、一般公共预算财政拨款基本支出决算表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十五、一般公共预算财政拨款项目支出决算表</w:t>
      </w:r>
      <w:r w:rsidRPr="00EC5F18">
        <w:rPr>
          <w:rFonts w:ascii="仿宋_GB2312" w:eastAsia="仿宋_GB2312" w:hAnsi="仿宋_GB2312" w:cs="仿宋_GB2312"/>
          <w:sz w:val="32"/>
          <w:szCs w:val="32"/>
        </w:rPr>
        <w:t xml:space="preserve"> </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十六、政府性基金预算财政拨款收入支出决算表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十七、政府性基金预算财政拨款支出决算明细表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十八、政府性基金预算财政拨款基本支出决算明细表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十九、政府性基金预算财政拨款项目支出决算明细表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二十、财政专户管理资金收入支出决算表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二十一、资产负债表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二十二、部门决算相关信息统计表</w:t>
      </w:r>
    </w:p>
    <w:p w:rsidR="006E3D82" w:rsidRPr="00EC5F18" w:rsidRDefault="006E3D82" w:rsidP="00EC5F18">
      <w:pPr>
        <w:snapToGrid w:val="0"/>
        <w:spacing w:line="560" w:lineRule="exact"/>
        <w:ind w:firstLineChars="200" w:firstLine="640"/>
        <w:rPr>
          <w:rFonts w:ascii="仿宋_GB2312" w:eastAsia="仿宋_GB2312" w:hAnsi="仿宋_GB2312" w:cs="仿宋_GB2312"/>
          <w:sz w:val="32"/>
          <w:szCs w:val="32"/>
        </w:rPr>
      </w:pPr>
      <w:r w:rsidRPr="00EC5F18">
        <w:rPr>
          <w:rFonts w:ascii="仿宋_GB2312" w:eastAsia="仿宋_GB2312" w:hAnsi="仿宋_GB2312" w:cs="仿宋_GB2312" w:hint="eastAsia"/>
          <w:sz w:val="32"/>
          <w:szCs w:val="32"/>
        </w:rPr>
        <w:t>二十三、政府采购情况表</w:t>
      </w:r>
    </w:p>
    <w:p w:rsidR="006E3D82" w:rsidRDefault="006E3D82" w:rsidP="00EC5F18">
      <w:pPr>
        <w:snapToGrid w:val="0"/>
        <w:spacing w:line="560" w:lineRule="exact"/>
        <w:ind w:firstLineChars="200" w:firstLine="640"/>
        <w:rPr>
          <w:rFonts w:ascii="仿宋_GB2312" w:eastAsia="仿宋_GB2312" w:hAnsi="仿宋_GB2312" w:cs="仿宋_GB2312"/>
          <w:b/>
          <w:bCs/>
          <w:sz w:val="32"/>
          <w:szCs w:val="32"/>
        </w:rPr>
      </w:pPr>
      <w:r w:rsidRPr="00EC5F18">
        <w:rPr>
          <w:rFonts w:ascii="仿宋_GB2312" w:eastAsia="仿宋_GB2312" w:hAnsi="仿宋_GB2312" w:cs="仿宋_GB2312" w:hint="eastAsia"/>
          <w:sz w:val="32"/>
          <w:szCs w:val="32"/>
        </w:rPr>
        <w:t>二十四、</w:t>
      </w:r>
      <w:r w:rsidRPr="00EC5F18">
        <w:rPr>
          <w:rFonts w:ascii="仿宋_GB2312" w:eastAsia="仿宋_GB2312" w:hAnsi="仿宋_GB2312" w:cs="仿宋_GB2312"/>
          <w:sz w:val="32"/>
          <w:szCs w:val="32"/>
        </w:rPr>
        <w:t>2015</w:t>
      </w:r>
      <w:r w:rsidRPr="00EC5F18">
        <w:rPr>
          <w:rFonts w:ascii="仿宋_GB2312" w:eastAsia="仿宋_GB2312" w:hAnsi="仿宋_GB2312" w:cs="仿宋_GB2312" w:hint="eastAsia"/>
          <w:sz w:val="32"/>
          <w:szCs w:val="32"/>
        </w:rPr>
        <w:t>年度财政拨款“三公”经费支出表及说明</w:t>
      </w:r>
      <w:r w:rsidRPr="00EC5F18">
        <w:rPr>
          <w:rFonts w:ascii="仿宋_GB2312" w:eastAsia="仿宋_GB2312" w:hAnsi="仿宋_GB2312" w:cs="仿宋_GB2312"/>
          <w:sz w:val="32"/>
          <w:szCs w:val="32"/>
        </w:rPr>
        <w:t xml:space="preserve"> </w:t>
      </w:r>
      <w:r>
        <w:rPr>
          <w:rFonts w:ascii="仿宋_GB2312" w:eastAsia="仿宋_GB2312" w:hAnsi="仿宋_GB2312" w:cs="仿宋_GB2312"/>
          <w:sz w:val="32"/>
          <w:szCs w:val="32"/>
        </w:rPr>
        <w:t xml:space="preserve"> </w:t>
      </w:r>
    </w:p>
    <w:p w:rsidR="006E3D82" w:rsidRDefault="006E3D82">
      <w:pPr>
        <w:snapToGrid w:val="0"/>
        <w:spacing w:line="560" w:lineRule="exact"/>
        <w:ind w:firstLineChars="200" w:firstLine="643"/>
        <w:rPr>
          <w:rFonts w:ascii="仿宋_GB2312" w:eastAsia="仿宋_GB2312" w:hAnsi="仿宋_GB2312" w:cs="仿宋_GB2312"/>
          <w:b/>
          <w:bCs/>
          <w:sz w:val="32"/>
          <w:szCs w:val="32"/>
        </w:rPr>
      </w:pPr>
    </w:p>
    <w:p w:rsidR="006E3D82" w:rsidRDefault="006E3D8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sz w:val="32"/>
          <w:szCs w:val="32"/>
        </w:rPr>
        <w:t>塔什库尔干县水利局</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年度部门决算情况说明</w:t>
      </w:r>
    </w:p>
    <w:p w:rsidR="006E3D82" w:rsidRDefault="006E3D8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6E3D82" w:rsidRDefault="006E3D8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年全年收入合计</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 xml:space="preserve">  </w:t>
      </w:r>
      <w:r w:rsidRPr="007B1CAE">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sz w:val="32"/>
          <w:szCs w:val="32"/>
        </w:rPr>
        <w:t>元，其中基本支出</w:t>
      </w:r>
      <w:r w:rsidRPr="00AB4A08">
        <w:rPr>
          <w:rFonts w:ascii="仿宋_GB2312" w:eastAsia="仿宋_GB2312" w:hAnsi="仿宋_GB2312" w:cs="仿宋_GB2312"/>
          <w:color w:val="000000"/>
          <w:kern w:val="0"/>
          <w:sz w:val="32"/>
          <w:szCs w:val="32"/>
        </w:rPr>
        <w:t>15300757.97</w:t>
      </w:r>
      <w:r>
        <w:rPr>
          <w:rFonts w:ascii="仿宋_GB2312" w:eastAsia="仿宋_GB2312" w:hAnsi="仿宋_GB2312" w:cs="仿宋_GB2312" w:hint="eastAsia"/>
          <w:sz w:val="32"/>
          <w:szCs w:val="32"/>
        </w:rPr>
        <w:t>元，项目支出</w:t>
      </w:r>
      <w:r w:rsidRPr="00AB4A08">
        <w:rPr>
          <w:rFonts w:ascii="仿宋_GB2312" w:eastAsia="仿宋_GB2312" w:hAnsi="仿宋_GB2312" w:cs="仿宋_GB2312"/>
          <w:color w:val="000000"/>
          <w:kern w:val="0"/>
          <w:sz w:val="32"/>
          <w:szCs w:val="32"/>
        </w:rPr>
        <w:t>127764696</w:t>
      </w:r>
      <w:r>
        <w:rPr>
          <w:rFonts w:ascii="仿宋_GB2312" w:eastAsia="仿宋_GB2312" w:hAnsi="仿宋_GB2312" w:cs="仿宋_GB2312" w:hint="eastAsia"/>
          <w:sz w:val="32"/>
          <w:szCs w:val="32"/>
        </w:rPr>
        <w:t>元。</w:t>
      </w:r>
    </w:p>
    <w:bookmarkEnd w:id="0"/>
    <w:p w:rsidR="006E3D82" w:rsidRDefault="006E3D82">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6E3D82" w:rsidRDefault="006E3D82">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年本年收入合计</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sz w:val="32"/>
          <w:szCs w:val="32"/>
        </w:rPr>
        <w:t>元，其中：财政拨款收入</w:t>
      </w:r>
      <w:r w:rsidRPr="007514DD">
        <w:rPr>
          <w:rFonts w:ascii="仿宋_GB2312" w:eastAsia="仿宋_GB2312" w:hAnsi="仿宋_GB2312" w:cs="仿宋_GB2312"/>
          <w:color w:val="000000"/>
          <w:kern w:val="0"/>
          <w:sz w:val="32"/>
          <w:szCs w:val="32"/>
        </w:rPr>
        <w:t>143043860.83</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 xml:space="preserve"> 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sidRPr="007514DD">
        <w:rPr>
          <w:rFonts w:ascii="仿宋_GB2312" w:eastAsia="仿宋_GB2312" w:hAnsi="仿宋_GB2312" w:cs="仿宋_GB2312"/>
          <w:sz w:val="32"/>
          <w:szCs w:val="32"/>
        </w:rPr>
        <w:t>21593.14</w:t>
      </w:r>
      <w:r>
        <w:rPr>
          <w:rFonts w:ascii="仿宋_GB2312" w:eastAsia="仿宋_GB2312" w:hAnsi="仿宋_GB2312" w:cs="仿宋_GB2312" w:hint="eastAsia"/>
          <w:sz w:val="32"/>
          <w:szCs w:val="32"/>
        </w:rPr>
        <w:t>元。</w:t>
      </w:r>
    </w:p>
    <w:p w:rsidR="006E3D82" w:rsidRDefault="006E3D82">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6E3D82" w:rsidRDefault="006E3D82">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sz w:val="32"/>
          <w:szCs w:val="32"/>
        </w:rPr>
        <w:t>元，其中：基本支出</w:t>
      </w:r>
      <w:r w:rsidRPr="00AB4A08">
        <w:rPr>
          <w:rFonts w:ascii="仿宋_GB2312" w:eastAsia="仿宋_GB2312" w:hAnsi="仿宋_GB2312" w:cs="仿宋_GB2312"/>
          <w:color w:val="000000"/>
          <w:kern w:val="0"/>
          <w:sz w:val="32"/>
          <w:szCs w:val="32"/>
        </w:rPr>
        <w:t>15300757.97</w:t>
      </w:r>
      <w:r>
        <w:rPr>
          <w:rFonts w:ascii="仿宋_GB2312" w:eastAsia="仿宋_GB2312" w:hAnsi="仿宋_GB2312" w:cs="仿宋_GB2312" w:hint="eastAsia"/>
          <w:sz w:val="32"/>
          <w:szCs w:val="32"/>
        </w:rPr>
        <w:t>元，项目支出</w:t>
      </w:r>
      <w:r w:rsidRPr="00AB4A08">
        <w:rPr>
          <w:rFonts w:ascii="仿宋_GB2312" w:eastAsia="仿宋_GB2312" w:hAnsi="仿宋_GB2312" w:cs="仿宋_GB2312"/>
          <w:color w:val="000000"/>
          <w:kern w:val="0"/>
          <w:sz w:val="32"/>
          <w:szCs w:val="32"/>
        </w:rPr>
        <w:t>127764696</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p>
    <w:p w:rsidR="006E3D82" w:rsidRDefault="006E3D82">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6E3D82" w:rsidRDefault="006E3D8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r>
        <w:rPr>
          <w:rFonts w:ascii="仿宋_GB2312" w:eastAsia="仿宋_GB2312" w:hAnsi="仿宋_GB2312" w:cs="仿宋_GB2312" w:hint="eastAsia"/>
          <w:sz w:val="32"/>
          <w:szCs w:val="32"/>
        </w:rPr>
        <w:t>。</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五、“三公”经费、会议费和培训费支出情况说明</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年“三公”经费实际支出</w:t>
      </w:r>
      <w:r>
        <w:rPr>
          <w:rFonts w:ascii="仿宋_GB2312" w:eastAsia="仿宋_GB2312" w:hAnsi="仿宋_GB2312" w:cs="仿宋_GB2312"/>
          <w:color w:val="000000"/>
          <w:sz w:val="32"/>
          <w:szCs w:val="32"/>
        </w:rPr>
        <w:t>80000</w:t>
      </w:r>
      <w:r>
        <w:rPr>
          <w:rFonts w:ascii="仿宋_GB2312" w:eastAsia="仿宋_GB2312" w:hAnsi="仿宋_GB2312" w:cs="仿宋_GB2312" w:hint="eastAsia"/>
          <w:color w:val="000000"/>
          <w:sz w:val="32"/>
          <w:szCs w:val="32"/>
        </w:rPr>
        <w:t>元，其中：因公出国（境）费用</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元，共组团</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批次</w:t>
      </w:r>
      <w:r>
        <w:rPr>
          <w:rFonts w:ascii="仿宋_GB2312" w:eastAsia="仿宋_GB2312" w:hAnsi="仿宋_GB2312" w:cs="仿宋_GB2312"/>
          <w:color w:val="000000"/>
          <w:sz w:val="32"/>
          <w:szCs w:val="32"/>
        </w:rPr>
        <w:t xml:space="preserve"> 0</w:t>
      </w:r>
      <w:r>
        <w:rPr>
          <w:rFonts w:ascii="仿宋_GB2312" w:eastAsia="仿宋_GB2312" w:hAnsi="仿宋_GB2312" w:cs="仿宋_GB2312" w:hint="eastAsia"/>
          <w:color w:val="000000"/>
          <w:sz w:val="32"/>
          <w:szCs w:val="32"/>
        </w:rPr>
        <w:t>人次</w:t>
      </w: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出国事由：无；公务接待费</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元，共接待</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批次</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人次；公务用车购置</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元，年末公务用车保有量为</w:t>
      </w: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辆；公务用车维护费</w:t>
      </w:r>
      <w:r>
        <w:rPr>
          <w:rFonts w:ascii="仿宋_GB2312" w:eastAsia="仿宋_GB2312" w:hAnsi="仿宋_GB2312" w:cs="仿宋_GB2312"/>
          <w:color w:val="000000"/>
          <w:sz w:val="32"/>
          <w:szCs w:val="32"/>
        </w:rPr>
        <w:t>80000</w:t>
      </w:r>
      <w:r>
        <w:rPr>
          <w:rFonts w:ascii="仿宋_GB2312" w:eastAsia="仿宋_GB2312" w:hAnsi="仿宋_GB2312" w:cs="仿宋_GB2312" w:hint="eastAsia"/>
          <w:color w:val="000000"/>
          <w:sz w:val="32"/>
          <w:szCs w:val="32"/>
        </w:rPr>
        <w:t>元。</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“三公”经费较上年相比多支出</w:t>
      </w:r>
      <w:r>
        <w:rPr>
          <w:rFonts w:ascii="仿宋_GB2312" w:eastAsia="仿宋_GB2312" w:hAnsi="仿宋_GB2312" w:cs="仿宋_GB2312"/>
          <w:color w:val="000000"/>
          <w:sz w:val="32"/>
          <w:szCs w:val="32"/>
        </w:rPr>
        <w:t>16893</w:t>
      </w:r>
      <w:r>
        <w:rPr>
          <w:rFonts w:ascii="仿宋_GB2312" w:eastAsia="仿宋_GB2312" w:hAnsi="仿宋_GB2312" w:cs="仿宋_GB2312" w:hint="eastAsia"/>
          <w:color w:val="000000"/>
          <w:sz w:val="32"/>
          <w:szCs w:val="32"/>
        </w:rPr>
        <w:t>元，其中：因公出国（境）费用多支</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元；公务接待费多支出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元；公务用车购置费多支出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元；公务用车维护费多支出</w:t>
      </w:r>
      <w:r>
        <w:rPr>
          <w:rFonts w:ascii="仿宋_GB2312" w:eastAsia="仿宋_GB2312" w:hAnsi="仿宋_GB2312" w:cs="仿宋_GB2312"/>
          <w:color w:val="000000"/>
          <w:sz w:val="32"/>
          <w:szCs w:val="32"/>
        </w:rPr>
        <w:t>16893</w:t>
      </w:r>
      <w:r>
        <w:rPr>
          <w:rFonts w:ascii="仿宋_GB2312" w:eastAsia="仿宋_GB2312" w:hAnsi="仿宋_GB2312" w:cs="仿宋_GB2312" w:hint="eastAsia"/>
          <w:color w:val="000000"/>
          <w:sz w:val="32"/>
          <w:szCs w:val="32"/>
        </w:rPr>
        <w:t>元。主要原因为：车辆老化维修费用高。</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年会议费</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元，主要是：无。</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年培训费</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元，主要是：无。</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六、预算执行情况说明</w:t>
      </w:r>
    </w:p>
    <w:p w:rsidR="006E3D82" w:rsidRDefault="006E3D8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年本年收入</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color w:val="000000"/>
          <w:sz w:val="32"/>
          <w:szCs w:val="32"/>
        </w:rPr>
        <w:t>元，比</w:t>
      </w:r>
      <w:r>
        <w:rPr>
          <w:rFonts w:ascii="仿宋_GB2312" w:eastAsia="仿宋_GB2312" w:hAnsi="仿宋_GB2312" w:cs="仿宋_GB2312"/>
          <w:color w:val="000000"/>
          <w:sz w:val="32"/>
          <w:szCs w:val="32"/>
        </w:rPr>
        <w:t>2014</w:t>
      </w:r>
      <w:r>
        <w:rPr>
          <w:rFonts w:ascii="仿宋_GB2312" w:eastAsia="仿宋_GB2312" w:hAnsi="仿宋_GB2312" w:cs="仿宋_GB2312" w:hint="eastAsia"/>
          <w:color w:val="000000"/>
          <w:sz w:val="32"/>
          <w:szCs w:val="32"/>
        </w:rPr>
        <w:t>年增加</w:t>
      </w:r>
      <w:r>
        <w:rPr>
          <w:rFonts w:ascii="仿宋_GB2312" w:eastAsia="仿宋_GB2312" w:hAnsi="仿宋_GB2312" w:cs="仿宋_GB2312"/>
          <w:color w:val="000000"/>
          <w:sz w:val="32"/>
          <w:szCs w:val="32"/>
        </w:rPr>
        <w:t>45305915.95</w:t>
      </w:r>
      <w:r>
        <w:rPr>
          <w:rFonts w:ascii="仿宋_GB2312" w:eastAsia="仿宋_GB2312" w:hAnsi="仿宋_GB2312" w:cs="仿宋_GB2312" w:hint="eastAsia"/>
          <w:color w:val="000000"/>
          <w:sz w:val="32"/>
          <w:szCs w:val="32"/>
        </w:rPr>
        <w:t>元，增加原因：</w:t>
      </w:r>
      <w:r>
        <w:rPr>
          <w:rFonts w:ascii="仿宋_GB2312" w:eastAsia="仿宋_GB2312" w:hAnsi="仿宋_GB2312" w:cs="仿宋_GB2312" w:hint="eastAsia"/>
          <w:color w:val="000000"/>
          <w:kern w:val="0"/>
          <w:sz w:val="32"/>
          <w:szCs w:val="32"/>
        </w:rPr>
        <w:t>项目增加。</w:t>
      </w:r>
    </w:p>
    <w:p w:rsidR="006E3D82" w:rsidRDefault="006E3D8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年本年支出</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color w:val="000000"/>
          <w:sz w:val="32"/>
          <w:szCs w:val="32"/>
        </w:rPr>
        <w:t>元，比</w:t>
      </w:r>
      <w:r>
        <w:rPr>
          <w:rFonts w:ascii="仿宋_GB2312" w:eastAsia="仿宋_GB2312" w:hAnsi="仿宋_GB2312" w:cs="仿宋_GB2312"/>
          <w:color w:val="000000"/>
          <w:sz w:val="32"/>
          <w:szCs w:val="32"/>
        </w:rPr>
        <w:t>2014</w:t>
      </w:r>
      <w:r>
        <w:rPr>
          <w:rFonts w:ascii="仿宋_GB2312" w:eastAsia="仿宋_GB2312" w:hAnsi="仿宋_GB2312" w:cs="仿宋_GB2312" w:hint="eastAsia"/>
          <w:color w:val="000000"/>
          <w:sz w:val="32"/>
          <w:szCs w:val="32"/>
        </w:rPr>
        <w:t>年增加</w:t>
      </w:r>
      <w:r>
        <w:rPr>
          <w:rFonts w:ascii="仿宋_GB2312" w:eastAsia="仿宋_GB2312" w:hAnsi="仿宋_GB2312" w:cs="仿宋_GB2312"/>
          <w:color w:val="000000"/>
          <w:sz w:val="32"/>
          <w:szCs w:val="32"/>
        </w:rPr>
        <w:t>45305915.95</w:t>
      </w:r>
      <w:r>
        <w:rPr>
          <w:rFonts w:ascii="仿宋_GB2312" w:eastAsia="仿宋_GB2312" w:hAnsi="仿宋_GB2312" w:cs="仿宋_GB2312" w:hint="eastAsia"/>
          <w:color w:val="000000"/>
          <w:sz w:val="32"/>
          <w:szCs w:val="32"/>
        </w:rPr>
        <w:t>元，减少原因：</w:t>
      </w:r>
      <w:r>
        <w:rPr>
          <w:rFonts w:ascii="仿宋_GB2312" w:eastAsia="仿宋_GB2312" w:hAnsi="仿宋_GB2312" w:cs="仿宋_GB2312" w:hint="eastAsia"/>
          <w:color w:val="000000"/>
          <w:kern w:val="0"/>
          <w:sz w:val="32"/>
          <w:szCs w:val="32"/>
        </w:rPr>
        <w:t>项目增加。</w:t>
      </w:r>
    </w:p>
    <w:p w:rsidR="006E3D82" w:rsidRDefault="006E3D8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年财政拨款支出</w:t>
      </w:r>
      <w:r w:rsidRPr="001A4EA5">
        <w:rPr>
          <w:rFonts w:ascii="仿宋_GB2312" w:eastAsia="仿宋_GB2312" w:hAnsi="仿宋_GB2312" w:cs="仿宋_GB2312"/>
          <w:color w:val="000000"/>
          <w:kern w:val="0"/>
          <w:sz w:val="32"/>
          <w:szCs w:val="32"/>
        </w:rPr>
        <w:t>143065453.97</w:t>
      </w:r>
      <w:r>
        <w:rPr>
          <w:rFonts w:ascii="仿宋_GB2312" w:eastAsia="仿宋_GB2312" w:hAnsi="仿宋_GB2312" w:cs="仿宋_GB2312" w:hint="eastAsia"/>
          <w:color w:val="000000"/>
          <w:sz w:val="32"/>
          <w:szCs w:val="32"/>
        </w:rPr>
        <w:t>元，年初预算数</w:t>
      </w:r>
      <w:r>
        <w:rPr>
          <w:rFonts w:ascii="仿宋_GB2312" w:eastAsia="仿宋_GB2312" w:hAnsi="仿宋_GB2312" w:cs="仿宋_GB2312"/>
          <w:color w:val="000000"/>
          <w:sz w:val="32"/>
          <w:szCs w:val="32"/>
        </w:rPr>
        <w:t xml:space="preserve">  </w:t>
      </w:r>
      <w:r w:rsidRPr="00772CAC">
        <w:rPr>
          <w:rFonts w:ascii="仿宋_GB2312" w:eastAsia="仿宋_GB2312" w:hAnsi="仿宋_GB2312" w:cs="仿宋_GB2312"/>
          <w:color w:val="000000"/>
          <w:kern w:val="0"/>
          <w:sz w:val="32"/>
          <w:szCs w:val="32"/>
        </w:rPr>
        <w:t>44101712.95</w:t>
      </w: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元，差异原因：人员经费增加和部分</w:t>
      </w:r>
      <w:r>
        <w:rPr>
          <w:rFonts w:ascii="仿宋_GB2312" w:eastAsia="仿宋_GB2312" w:hAnsi="仿宋_GB2312" w:cs="仿宋_GB2312" w:hint="eastAsia"/>
          <w:color w:val="000000"/>
          <w:kern w:val="0"/>
          <w:sz w:val="32"/>
          <w:szCs w:val="32"/>
        </w:rPr>
        <w:t>项目支出未纳入年初预算。</w:t>
      </w:r>
    </w:p>
    <w:p w:rsidR="006E3D82" w:rsidRDefault="006E3D82">
      <w:pPr>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七、决算公开其他重要事项情况说明</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年塔什库尔干县农林水利局机关运行经费支出</w:t>
      </w:r>
      <w:r w:rsidRPr="00907F84">
        <w:rPr>
          <w:rFonts w:ascii="仿宋_GB2312" w:eastAsia="仿宋_GB2312" w:hAnsi="仿宋_GB2312" w:cs="仿宋_GB2312"/>
          <w:color w:val="000000"/>
          <w:sz w:val="32"/>
          <w:szCs w:val="32"/>
        </w:rPr>
        <w:t>505062.97</w:t>
      </w:r>
      <w:r>
        <w:rPr>
          <w:rFonts w:ascii="仿宋_GB2312" w:eastAsia="仿宋_GB2312" w:hAnsi="仿宋_GB2312" w:cs="仿宋_GB2312" w:hint="eastAsia"/>
          <w:color w:val="000000"/>
          <w:sz w:val="32"/>
          <w:szCs w:val="32"/>
        </w:rPr>
        <w:t>元，比</w:t>
      </w:r>
      <w:r>
        <w:rPr>
          <w:rFonts w:ascii="仿宋_GB2312" w:eastAsia="仿宋_GB2312" w:hAnsi="仿宋_GB2312" w:cs="仿宋_GB2312"/>
          <w:color w:val="000000"/>
          <w:sz w:val="32"/>
          <w:szCs w:val="32"/>
        </w:rPr>
        <w:t>2014</w:t>
      </w:r>
      <w:r>
        <w:rPr>
          <w:rFonts w:ascii="仿宋_GB2312" w:eastAsia="仿宋_GB2312" w:hAnsi="仿宋_GB2312" w:cs="仿宋_GB2312" w:hint="eastAsia"/>
          <w:color w:val="000000"/>
          <w:sz w:val="32"/>
          <w:szCs w:val="32"/>
        </w:rPr>
        <w:t>年减少</w:t>
      </w:r>
      <w:r>
        <w:rPr>
          <w:rFonts w:ascii="仿宋_GB2312" w:eastAsia="仿宋_GB2312" w:hAnsi="仿宋_GB2312" w:cs="仿宋_GB2312"/>
          <w:color w:val="000000"/>
          <w:sz w:val="32"/>
          <w:szCs w:val="32"/>
        </w:rPr>
        <w:t>910410.71</w:t>
      </w:r>
      <w:r>
        <w:rPr>
          <w:rFonts w:ascii="仿宋_GB2312" w:eastAsia="仿宋_GB2312" w:hAnsi="仿宋_GB2312" w:cs="仿宋_GB2312" w:hint="eastAsia"/>
          <w:color w:val="000000"/>
          <w:sz w:val="32"/>
          <w:szCs w:val="32"/>
        </w:rPr>
        <w:t>元，降低</w:t>
      </w:r>
      <w:r>
        <w:rPr>
          <w:rFonts w:ascii="仿宋_GB2312" w:eastAsia="仿宋_GB2312" w:hAnsi="仿宋_GB2312" w:cs="仿宋_GB2312"/>
          <w:color w:val="000000"/>
          <w:sz w:val="32"/>
          <w:szCs w:val="32"/>
        </w:rPr>
        <w:t xml:space="preserve">64.32% </w:t>
      </w:r>
      <w:r>
        <w:rPr>
          <w:rFonts w:ascii="仿宋_GB2312" w:eastAsia="仿宋_GB2312" w:hAnsi="仿宋_GB2312" w:cs="仿宋_GB2312" w:hint="eastAsia"/>
          <w:color w:val="000000"/>
          <w:sz w:val="32"/>
          <w:szCs w:val="32"/>
        </w:rPr>
        <w:t>，主要原因是：劳务费减少</w:t>
      </w:r>
      <w:r>
        <w:rPr>
          <w:rFonts w:ascii="仿宋_GB2312" w:eastAsia="仿宋_GB2312" w:hAnsi="仿宋_GB2312" w:cs="仿宋_GB2312"/>
          <w:color w:val="000000"/>
          <w:sz w:val="32"/>
          <w:szCs w:val="32"/>
        </w:rPr>
        <w:t>873700</w:t>
      </w:r>
      <w:r>
        <w:rPr>
          <w:rFonts w:ascii="仿宋_GB2312" w:eastAsia="仿宋_GB2312" w:hAnsi="仿宋_GB2312" w:cs="仿宋_GB2312" w:hint="eastAsia"/>
          <w:color w:val="000000"/>
          <w:sz w:val="32"/>
          <w:szCs w:val="32"/>
        </w:rPr>
        <w:t>元。</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（二）政府采购支出情况</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年，塔什库尔干县农林水利局政府采购支出总额</w:t>
      </w:r>
      <w:r w:rsidRPr="006D1136">
        <w:rPr>
          <w:rFonts w:ascii="仿宋_GB2312" w:eastAsia="仿宋_GB2312" w:hAnsi="仿宋_GB2312" w:cs="仿宋_GB2312"/>
          <w:color w:val="000000"/>
          <w:sz w:val="32"/>
          <w:szCs w:val="32"/>
        </w:rPr>
        <w:t>5831141.07</w:t>
      </w:r>
      <w:r>
        <w:rPr>
          <w:rFonts w:ascii="仿宋_GB2312" w:eastAsia="仿宋_GB2312" w:hAnsi="仿宋_GB2312" w:cs="仿宋_GB2312" w:hint="eastAsia"/>
          <w:color w:val="000000"/>
          <w:sz w:val="32"/>
          <w:szCs w:val="32"/>
        </w:rPr>
        <w:t>元，其中政府采购货物支出</w:t>
      </w:r>
      <w:r w:rsidRPr="006D1136">
        <w:rPr>
          <w:rFonts w:ascii="仿宋_GB2312" w:eastAsia="仿宋_GB2312" w:hAnsi="仿宋_GB2312" w:cs="仿宋_GB2312"/>
          <w:color w:val="000000"/>
          <w:sz w:val="32"/>
          <w:szCs w:val="32"/>
        </w:rPr>
        <w:t>5805540</w:t>
      </w:r>
      <w:r>
        <w:rPr>
          <w:rFonts w:ascii="仿宋_GB2312" w:eastAsia="仿宋_GB2312" w:hAnsi="仿宋_GB2312" w:cs="仿宋_GB2312" w:hint="eastAsia"/>
          <w:color w:val="000000"/>
          <w:sz w:val="32"/>
          <w:szCs w:val="32"/>
        </w:rPr>
        <w:t>元，政府采购工程支出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元，政府采购服务支出</w:t>
      </w:r>
      <w:r w:rsidRPr="006D1136">
        <w:rPr>
          <w:rFonts w:ascii="仿宋_GB2312" w:eastAsia="仿宋_GB2312" w:hAnsi="仿宋_GB2312" w:cs="仿宋_GB2312"/>
          <w:color w:val="000000"/>
          <w:sz w:val="32"/>
          <w:szCs w:val="32"/>
        </w:rPr>
        <w:t>25601.07</w:t>
      </w:r>
      <w:r>
        <w:rPr>
          <w:rFonts w:ascii="仿宋_GB2312" w:eastAsia="仿宋_GB2312" w:hAnsi="仿宋_GB2312" w:cs="仿宋_GB2312" w:hint="eastAsia"/>
          <w:color w:val="000000"/>
          <w:sz w:val="32"/>
          <w:szCs w:val="32"/>
        </w:rPr>
        <w:t>元。喀什地区为偏远地区，参与招投标的供应商基本为中小微企业。</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（三）国有资产占用情况</w:t>
      </w:r>
    </w:p>
    <w:p w:rsidR="006E3D82" w:rsidRDefault="006E3D82">
      <w:pPr>
        <w:spacing w:line="560" w:lineRule="exac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sz w:val="32"/>
          <w:szCs w:val="32"/>
        </w:rPr>
        <w:t>截止</w:t>
      </w: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w:t>
      </w:r>
      <w:r>
        <w:rPr>
          <w:rFonts w:ascii="仿宋_GB2312" w:eastAsia="仿宋_GB2312" w:hAnsi="仿宋_GB2312" w:cs="仿宋_GB2312"/>
          <w:color w:val="000000"/>
          <w:sz w:val="32"/>
          <w:szCs w:val="32"/>
        </w:rPr>
        <w:t>12</w:t>
      </w:r>
      <w:r>
        <w:rPr>
          <w:rFonts w:ascii="仿宋_GB2312" w:eastAsia="仿宋_GB2312" w:hAnsi="仿宋_GB2312" w:cs="仿宋_GB2312" w:hint="eastAsia"/>
          <w:color w:val="000000"/>
          <w:sz w:val="32"/>
          <w:szCs w:val="32"/>
        </w:rPr>
        <w:t>月</w:t>
      </w:r>
      <w:r>
        <w:rPr>
          <w:rFonts w:ascii="仿宋_GB2312" w:eastAsia="仿宋_GB2312" w:hAnsi="仿宋_GB2312" w:cs="仿宋_GB2312"/>
          <w:color w:val="000000"/>
          <w:sz w:val="32"/>
          <w:szCs w:val="32"/>
        </w:rPr>
        <w:t>31</w:t>
      </w:r>
      <w:r>
        <w:rPr>
          <w:rFonts w:ascii="仿宋_GB2312" w:eastAsia="仿宋_GB2312" w:hAnsi="仿宋_GB2312" w:cs="仿宋_GB2312" w:hint="eastAsia"/>
          <w:color w:val="000000"/>
          <w:sz w:val="32"/>
          <w:szCs w:val="32"/>
        </w:rPr>
        <w:t>日，本单位共有车辆</w:t>
      </w:r>
      <w:bookmarkStart w:id="1" w:name="_GoBack"/>
      <w:bookmarkEnd w:id="1"/>
      <w:r>
        <w:rPr>
          <w:rFonts w:ascii="仿宋_GB2312" w:eastAsia="仿宋_GB2312" w:hAnsi="仿宋_GB2312" w:cs="仿宋_GB2312"/>
          <w:color w:val="000000"/>
          <w:sz w:val="32"/>
          <w:szCs w:val="32"/>
        </w:rPr>
        <w:t>6</w:t>
      </w:r>
      <w:r>
        <w:rPr>
          <w:rFonts w:ascii="仿宋_GB2312" w:eastAsia="仿宋_GB2312" w:hAnsi="仿宋_GB2312" w:cs="仿宋_GB2312" w:hint="eastAsia"/>
          <w:color w:val="000000"/>
          <w:sz w:val="32"/>
          <w:szCs w:val="32"/>
        </w:rPr>
        <w:t>辆，其中一般公务用车</w:t>
      </w:r>
      <w:r>
        <w:rPr>
          <w:rFonts w:ascii="仿宋_GB2312" w:eastAsia="仿宋_GB2312" w:hAnsi="仿宋_GB2312" w:cs="仿宋_GB2312"/>
          <w:color w:val="000000"/>
          <w:sz w:val="32"/>
          <w:szCs w:val="32"/>
        </w:rPr>
        <w:t>1</w:t>
      </w:r>
      <w:r>
        <w:rPr>
          <w:rFonts w:ascii="仿宋_GB2312" w:eastAsia="仿宋_GB2312" w:hAnsi="仿宋_GB2312" w:cs="仿宋_GB2312" w:hint="eastAsia"/>
          <w:color w:val="000000"/>
          <w:sz w:val="32"/>
          <w:szCs w:val="32"/>
        </w:rPr>
        <w:t>辆，一般执法执勤用车</w:t>
      </w:r>
      <w:r>
        <w:rPr>
          <w:rFonts w:ascii="仿宋_GB2312" w:eastAsia="仿宋_GB2312" w:hAnsi="仿宋_GB2312" w:cs="仿宋_GB2312"/>
          <w:color w:val="000000"/>
          <w:sz w:val="32"/>
          <w:szCs w:val="32"/>
        </w:rPr>
        <w:t>1</w:t>
      </w:r>
      <w:r>
        <w:rPr>
          <w:rFonts w:ascii="仿宋_GB2312" w:eastAsia="仿宋_GB2312" w:hAnsi="仿宋_GB2312" w:cs="仿宋_GB2312" w:hint="eastAsia"/>
          <w:color w:val="000000"/>
          <w:sz w:val="32"/>
          <w:szCs w:val="32"/>
        </w:rPr>
        <w:t>辆，特种专业技术用车</w:t>
      </w:r>
      <w:r>
        <w:rPr>
          <w:rFonts w:ascii="仿宋_GB2312" w:eastAsia="仿宋_GB2312" w:hAnsi="仿宋_GB2312" w:cs="仿宋_GB2312"/>
          <w:color w:val="000000"/>
          <w:sz w:val="32"/>
          <w:szCs w:val="32"/>
        </w:rPr>
        <w:t xml:space="preserve"> 0</w:t>
      </w:r>
      <w:r>
        <w:rPr>
          <w:rFonts w:ascii="仿宋_GB2312" w:eastAsia="仿宋_GB2312" w:hAnsi="仿宋_GB2312" w:cs="仿宋_GB2312" w:hint="eastAsia"/>
          <w:color w:val="000000"/>
          <w:sz w:val="32"/>
          <w:szCs w:val="32"/>
        </w:rPr>
        <w:t>辆，其他车辆</w:t>
      </w: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辆，其他用车主要是基层抢险、道路平整等用车，单位价值在</w:t>
      </w:r>
      <w:r>
        <w:rPr>
          <w:rFonts w:ascii="仿宋_GB2312" w:eastAsia="仿宋_GB2312" w:hAnsi="仿宋_GB2312" w:cs="仿宋_GB2312"/>
          <w:color w:val="000000"/>
          <w:sz w:val="32"/>
          <w:szCs w:val="32"/>
        </w:rPr>
        <w:t>20</w:t>
      </w:r>
      <w:r>
        <w:rPr>
          <w:rFonts w:ascii="仿宋_GB2312" w:eastAsia="仿宋_GB2312" w:hAnsi="仿宋_GB2312" w:cs="仿宋_GB2312" w:hint="eastAsia"/>
          <w:color w:val="000000"/>
          <w:sz w:val="32"/>
          <w:szCs w:val="32"/>
        </w:rPr>
        <w:t>万元以上的设备</w:t>
      </w:r>
      <w:r>
        <w:rPr>
          <w:rFonts w:ascii="仿宋_GB2312" w:eastAsia="仿宋_GB2312" w:hAnsi="仿宋_GB2312" w:cs="仿宋_GB2312"/>
          <w:color w:val="000000"/>
          <w:sz w:val="32"/>
          <w:szCs w:val="32"/>
        </w:rPr>
        <w:t xml:space="preserve"> 3 </w:t>
      </w:r>
      <w:r>
        <w:rPr>
          <w:rFonts w:ascii="仿宋_GB2312" w:eastAsia="仿宋_GB2312" w:hAnsi="仿宋_GB2312" w:cs="仿宋_GB2312" w:hint="eastAsia"/>
          <w:color w:val="000000"/>
          <w:sz w:val="32"/>
          <w:szCs w:val="32"/>
        </w:rPr>
        <w:t>台（套），价值</w:t>
      </w:r>
      <w:r>
        <w:rPr>
          <w:rFonts w:ascii="仿宋_GB2312" w:eastAsia="仿宋_GB2312" w:hAnsi="仿宋_GB2312" w:cs="仿宋_GB2312"/>
          <w:color w:val="000000"/>
          <w:kern w:val="0"/>
          <w:sz w:val="32"/>
          <w:szCs w:val="32"/>
        </w:rPr>
        <w:t>2018000.00</w:t>
      </w:r>
      <w:r>
        <w:rPr>
          <w:rFonts w:ascii="仿宋_GB2312" w:eastAsia="仿宋_GB2312" w:hAnsi="仿宋_GB2312" w:cs="仿宋_GB2312" w:hint="eastAsia"/>
          <w:color w:val="000000"/>
          <w:sz w:val="32"/>
          <w:szCs w:val="32"/>
        </w:rPr>
        <w:t>元。</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（四）民生项目、重点支出项目绩效评价结果</w:t>
      </w:r>
    </w:p>
    <w:p w:rsidR="006E3D82" w:rsidRDefault="006E3D82">
      <w:pPr>
        <w:spacing w:line="560" w:lineRule="exact"/>
        <w:rPr>
          <w:rFonts w:ascii="仿宋_GB2312" w:eastAsia="仿宋_GB2312" w:hAnsi="仿宋_GB2312" w:cs="仿宋_GB2312"/>
          <w:color w:val="000000"/>
          <w:kern w:val="0"/>
          <w:sz w:val="32"/>
          <w:szCs w:val="32"/>
        </w:rPr>
      </w:pPr>
      <w:r>
        <w:rPr>
          <w:rFonts w:ascii="仿宋_GB2312" w:eastAsia="仿宋_GB2312" w:hAnsi="仿宋_GB2312" w:cs="仿宋_GB2312"/>
          <w:color w:val="000000"/>
          <w:sz w:val="32"/>
          <w:szCs w:val="32"/>
        </w:rPr>
        <w:t>2015</w:t>
      </w:r>
      <w:r>
        <w:rPr>
          <w:rFonts w:ascii="仿宋_GB2312" w:eastAsia="仿宋_GB2312" w:hAnsi="仿宋_GB2312" w:cs="仿宋_GB2312" w:hint="eastAsia"/>
          <w:color w:val="000000"/>
          <w:sz w:val="32"/>
          <w:szCs w:val="32"/>
        </w:rPr>
        <w:t>年，塔什库尔干县农林水利局共组织对</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个项目进行了预算绩效评价，涉及一般公共预算当年财政拨款</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sz w:val="32"/>
          <w:szCs w:val="32"/>
        </w:rPr>
        <w:t>元。绩效评价结果：无。</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（五）事业收入明细、经营收入明细</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按收入项目分别列示：无</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八、专业名词解释</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（一）财政拨款收入：指单位本年度从本级财政部门取得得财政拨款。</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（二）事业收入：指事业单位开展专业业务活动及辅助活动所取得的收入。</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（三）经营收入：指事业单位在专业业务活动及其辅助活动之外开展非独立核算经营活动取得的收入。</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（四）其他收入：指除上述“财政拨款收入”、“事业收入”、“经营收入”等以外的收入。</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五</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（六）年初结转和结余：指以前年度尚未完成、结转到本年按有关规定继续使用的资金。</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（七）结余分配：指事业单位按规定提取的职工福利基</w:t>
      </w:r>
    </w:p>
    <w:p w:rsidR="006E3D82" w:rsidRDefault="006E3D82">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金、事业基金和缴纳的所得税，以及建设单位按规定应交回的基本建设竣工项目结余资金。</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（八）年末结转和结余：指本年度或以前年度预算安排、</w:t>
      </w:r>
    </w:p>
    <w:p w:rsidR="006E3D82" w:rsidRDefault="006E3D82">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因客观条件发生变化无法按原计划实施，需要延迟到以后年度按有关规定继续使用的资金。</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（九）基本支出：指为保障机构正常运转、完成日常工作任务而发生的人员支出和公用支出。</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（十）项目支出：指在基本支出之外为完成特定行政任务和事业发展目标所发生的支出。</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（十一）经营支出：指事业单位在专业业务活动及其辅助活动之外开展非独立核算经营活动发生的支出。</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hAnsi="仿宋_GB2312" w:cs="仿宋_GB2312"/>
          <w:color w:val="000000"/>
          <w:sz w:val="32"/>
          <w:szCs w:val="32"/>
        </w:rPr>
        <w:t xml:space="preserve"> </w:t>
      </w:r>
    </w:p>
    <w:p w:rsidR="006E3D82" w:rsidRDefault="006E3D8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6E3D82" w:rsidRDefault="006E3D82">
      <w:pPr>
        <w:snapToGrid w:val="0"/>
        <w:spacing w:line="360" w:lineRule="auto"/>
        <w:rPr>
          <w:rFonts w:ascii="仿宋_GB2312" w:eastAsia="仿宋_GB2312" w:hAnsi="仿宋_GB2312" w:cs="仿宋_GB2312"/>
          <w:color w:val="FF0000"/>
          <w:sz w:val="32"/>
          <w:szCs w:val="32"/>
        </w:rPr>
      </w:pPr>
    </w:p>
    <w:p w:rsidR="006E3D82" w:rsidRDefault="006E3D82">
      <w:pPr>
        <w:rPr>
          <w:rFonts w:ascii="仿宋_GB2312" w:eastAsia="仿宋_GB2312" w:hAnsi="仿宋_GB2312" w:cs="仿宋_GB2312"/>
          <w:sz w:val="32"/>
          <w:szCs w:val="32"/>
        </w:rPr>
      </w:pPr>
    </w:p>
    <w:sectPr w:rsidR="006E3D82" w:rsidSect="00097B2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D82" w:rsidRDefault="006E3D82">
      <w:r>
        <w:separator/>
      </w:r>
    </w:p>
  </w:endnote>
  <w:endnote w:type="continuationSeparator" w:id="0">
    <w:p w:rsidR="006E3D82" w:rsidRDefault="006E3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D82" w:rsidRDefault="006E3D82">
      <w:r>
        <w:separator/>
      </w:r>
    </w:p>
  </w:footnote>
  <w:footnote w:type="continuationSeparator" w:id="0">
    <w:p w:rsidR="006E3D82" w:rsidRDefault="006E3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rsidP="006D113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82" w:rsidRDefault="006E3D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6518"/>
    <w:rsid w:val="00006518"/>
    <w:rsid w:val="000120AA"/>
    <w:rsid w:val="00016EC8"/>
    <w:rsid w:val="000418BF"/>
    <w:rsid w:val="00097B2E"/>
    <w:rsid w:val="000B34C2"/>
    <w:rsid w:val="000B7E48"/>
    <w:rsid w:val="000C748B"/>
    <w:rsid w:val="000F3CE0"/>
    <w:rsid w:val="00143207"/>
    <w:rsid w:val="001911EA"/>
    <w:rsid w:val="00197937"/>
    <w:rsid w:val="001A4EA5"/>
    <w:rsid w:val="001B72CC"/>
    <w:rsid w:val="001D09C9"/>
    <w:rsid w:val="001D0C6E"/>
    <w:rsid w:val="001E4DD8"/>
    <w:rsid w:val="00200EBA"/>
    <w:rsid w:val="00242C3C"/>
    <w:rsid w:val="00245819"/>
    <w:rsid w:val="002C6864"/>
    <w:rsid w:val="002D3363"/>
    <w:rsid w:val="002F3CCE"/>
    <w:rsid w:val="00300152"/>
    <w:rsid w:val="00300D8E"/>
    <w:rsid w:val="00311221"/>
    <w:rsid w:val="003624BD"/>
    <w:rsid w:val="003A54F0"/>
    <w:rsid w:val="004274F9"/>
    <w:rsid w:val="00457096"/>
    <w:rsid w:val="004743B3"/>
    <w:rsid w:val="004D48D7"/>
    <w:rsid w:val="00504124"/>
    <w:rsid w:val="00565025"/>
    <w:rsid w:val="00570ADF"/>
    <w:rsid w:val="005B58D4"/>
    <w:rsid w:val="005C2A29"/>
    <w:rsid w:val="005F04AE"/>
    <w:rsid w:val="00616A41"/>
    <w:rsid w:val="0067508B"/>
    <w:rsid w:val="006A4743"/>
    <w:rsid w:val="006D1136"/>
    <w:rsid w:val="006E3D82"/>
    <w:rsid w:val="007226FB"/>
    <w:rsid w:val="007514DD"/>
    <w:rsid w:val="00755806"/>
    <w:rsid w:val="00772CAC"/>
    <w:rsid w:val="007B1CAE"/>
    <w:rsid w:val="007E29A4"/>
    <w:rsid w:val="00814FAA"/>
    <w:rsid w:val="00837AA8"/>
    <w:rsid w:val="00873E77"/>
    <w:rsid w:val="00880D0D"/>
    <w:rsid w:val="008F153D"/>
    <w:rsid w:val="00907F84"/>
    <w:rsid w:val="00954B4B"/>
    <w:rsid w:val="00964ACE"/>
    <w:rsid w:val="009815AF"/>
    <w:rsid w:val="009A709B"/>
    <w:rsid w:val="009B3806"/>
    <w:rsid w:val="009E09B3"/>
    <w:rsid w:val="009E6327"/>
    <w:rsid w:val="00A05354"/>
    <w:rsid w:val="00A407D1"/>
    <w:rsid w:val="00A90AC7"/>
    <w:rsid w:val="00AB4A08"/>
    <w:rsid w:val="00AC1986"/>
    <w:rsid w:val="00B02CB0"/>
    <w:rsid w:val="00B1226D"/>
    <w:rsid w:val="00B55014"/>
    <w:rsid w:val="00B559ED"/>
    <w:rsid w:val="00B6713B"/>
    <w:rsid w:val="00B8487D"/>
    <w:rsid w:val="00B86794"/>
    <w:rsid w:val="00BD5D70"/>
    <w:rsid w:val="00C024C5"/>
    <w:rsid w:val="00C20207"/>
    <w:rsid w:val="00C26211"/>
    <w:rsid w:val="00C516AB"/>
    <w:rsid w:val="00C57506"/>
    <w:rsid w:val="00C74B51"/>
    <w:rsid w:val="00C94BAF"/>
    <w:rsid w:val="00D23E5F"/>
    <w:rsid w:val="00D23E64"/>
    <w:rsid w:val="00D37641"/>
    <w:rsid w:val="00D456BF"/>
    <w:rsid w:val="00D52C92"/>
    <w:rsid w:val="00E50C46"/>
    <w:rsid w:val="00E8388E"/>
    <w:rsid w:val="00EC5F18"/>
    <w:rsid w:val="00ED0CAD"/>
    <w:rsid w:val="00EE2953"/>
    <w:rsid w:val="00F53829"/>
    <w:rsid w:val="00F579D1"/>
    <w:rsid w:val="00F66597"/>
    <w:rsid w:val="00F7146B"/>
    <w:rsid w:val="00F7586D"/>
    <w:rsid w:val="00F85DA9"/>
    <w:rsid w:val="00F96895"/>
    <w:rsid w:val="00FA7939"/>
    <w:rsid w:val="00FC7919"/>
    <w:rsid w:val="0D342AE7"/>
    <w:rsid w:val="22AF7A01"/>
    <w:rsid w:val="23F27D68"/>
    <w:rsid w:val="308E7116"/>
    <w:rsid w:val="33515A34"/>
    <w:rsid w:val="37107AA4"/>
    <w:rsid w:val="38673495"/>
    <w:rsid w:val="478A1617"/>
    <w:rsid w:val="4A106E42"/>
    <w:rsid w:val="4CB17706"/>
    <w:rsid w:val="518F4BB5"/>
    <w:rsid w:val="53915BAE"/>
    <w:rsid w:val="541645FC"/>
    <w:rsid w:val="565A2EE0"/>
    <w:rsid w:val="5EAA7454"/>
    <w:rsid w:val="61F67927"/>
    <w:rsid w:val="645C0887"/>
    <w:rsid w:val="66F50D1D"/>
    <w:rsid w:val="68603EBF"/>
    <w:rsid w:val="6A5A0ADD"/>
    <w:rsid w:val="6DB52827"/>
    <w:rsid w:val="76025F62"/>
    <w:rsid w:val="78536E19"/>
    <w:rsid w:val="7A9F0C33"/>
    <w:rsid w:val="7CEE49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B2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097B2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97B2E"/>
    <w:rPr>
      <w:rFonts w:ascii="Times New Roman" w:eastAsia="宋体" w:hAnsi="Times New Roman" w:cs="Times New Roman"/>
      <w:sz w:val="18"/>
      <w:szCs w:val="18"/>
    </w:rPr>
  </w:style>
  <w:style w:type="paragraph" w:styleId="Header">
    <w:name w:val="header"/>
    <w:basedOn w:val="Normal"/>
    <w:link w:val="HeaderChar"/>
    <w:uiPriority w:val="99"/>
    <w:semiHidden/>
    <w:rsid w:val="00097B2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97B2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575</Words>
  <Characters>3282</Characters>
  <Application>Microsoft Office Outlook</Application>
  <DocSecurity>0</DocSecurity>
  <Lines>0</Lines>
  <Paragraphs>0</Paragraphs>
  <ScaleCrop>false</ScaleCrop>
  <Company>塔县财政局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SLJCW</dc:creator>
  <cp:keywords/>
  <dc:description/>
  <cp:lastModifiedBy>微软用户</cp:lastModifiedBy>
  <cp:revision>109</cp:revision>
  <dcterms:created xsi:type="dcterms:W3CDTF">2016-08-19T02:13:00Z</dcterms:created>
  <dcterms:modified xsi:type="dcterms:W3CDTF">2019-01-12T12:38:00Z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