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CEE" w:rsidRDefault="00D07CEE">
      <w:pPr>
        <w:jc w:val="center"/>
        <w:rPr>
          <w:rFonts w:ascii="宋体" w:cs="宋体"/>
          <w:sz w:val="44"/>
          <w:szCs w:val="44"/>
        </w:rPr>
      </w:pPr>
    </w:p>
    <w:p w:rsidR="00D07CEE" w:rsidRDefault="00D07CEE">
      <w:pPr>
        <w:jc w:val="center"/>
        <w:rPr>
          <w:rFonts w:ascii="宋体"/>
          <w:sz w:val="44"/>
          <w:szCs w:val="44"/>
        </w:rPr>
      </w:pPr>
      <w:r>
        <w:rPr>
          <w:rFonts w:ascii="宋体" w:hAnsi="宋体" w:cs="宋体"/>
          <w:sz w:val="44"/>
          <w:szCs w:val="44"/>
        </w:rPr>
        <w:t>2015</w:t>
      </w:r>
      <w:r>
        <w:rPr>
          <w:rFonts w:ascii="宋体" w:hAnsi="宋体" w:cs="宋体" w:hint="eastAsia"/>
          <w:sz w:val="44"/>
          <w:szCs w:val="44"/>
        </w:rPr>
        <w:t>年喀什地区塔什库尔干县疾病预防控制中心部门决算说明</w:t>
      </w:r>
    </w:p>
    <w:p w:rsidR="00D07CEE" w:rsidRDefault="00D07CEE">
      <w:pPr>
        <w:spacing w:line="540" w:lineRule="exact"/>
        <w:jc w:val="center"/>
        <w:rPr>
          <w:rFonts w:ascii="仿宋_GB2312" w:eastAsia="仿宋_GB2312" w:hAnsi="仿宋_GB2312"/>
          <w:b/>
          <w:bCs/>
          <w:sz w:val="32"/>
          <w:szCs w:val="32"/>
        </w:rPr>
      </w:pPr>
    </w:p>
    <w:p w:rsidR="00D07CEE" w:rsidRDefault="00D07CEE">
      <w:pPr>
        <w:spacing w:line="360" w:lineRule="auto"/>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塔什库尔干县疾病预防控制中心单位性质为事业单位全额拨款，执行会计制度为事业单位会计制度。独立编制机构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个，独立编制机构与上年无变动，变动原因：无。</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一、主要职能：根据国家卫生部《关于疾病预防控制体制改革的指导意见》、《各级塔什库尔干县疾病预防控制中心基本职能》、《关于疾病预防控制体系建设的若干规定》和市、县编办的有关文件，县疾控中心在县委、县政府和县卫生局的领导及上级疾病预防控制机构的指导下，履行如下工作职责：</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、拟定和指导实施全县急慢性传染病、慢性非传染性疾病、职业病、地方病等疾病的预防控制规划、计划、实施方案、工作规范、标准、防制对策与技术措施。并对实施情况进行质量控制和效果评估。</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、建立突发公共卫生事件应急处理运行机制，指导和参与调查处理全县发生的重大传染病疫情、新发传染病、群体性不明原因疾病等突发公共卫生事件。</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、开展对影响人群生存环境卫生质量及生命质量的危险因素和食品、职业、环境、放射、学校卫生等卫生学监测、评价，组织开展健康危害因素干预。</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、对全县急慢性传染病、地方病、寄生虫病、慢性非传染性疾病、职业病、公害病、学生常见病及意外伤害等发生、分布和发展的规律进行流行病学监测、分析和预测、预报。</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、组织开展全县免疫和规划免疫预防接种工作，负责免疫预防的技术指导、效果监测与评价，预防用生物制品的计划、订购、供应及冷链系统的监测与使用管理。</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、拟定健康教育工作规划、计划与实施方案，开展健康教育和健康促进工作。</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、拟定全县消毒杀虫工作规划、计划和技术措施，组织开展病原媒介生物和消毒杀虫工作效果监测与评价。</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8</w:t>
      </w:r>
      <w:r>
        <w:rPr>
          <w:rFonts w:ascii="仿宋_GB2312" w:eastAsia="仿宋_GB2312" w:hAnsi="仿宋_GB2312" w:cs="仿宋_GB2312" w:hint="eastAsia"/>
          <w:sz w:val="32"/>
          <w:szCs w:val="32"/>
        </w:rPr>
        <w:t>、负责全县传染病疫情等突发公共卫生事件及有关公共卫生信息的收集、分析、报告、管理工作。</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9</w:t>
      </w:r>
      <w:r>
        <w:rPr>
          <w:rFonts w:ascii="仿宋_GB2312" w:eastAsia="仿宋_GB2312" w:hAnsi="仿宋_GB2312" w:cs="仿宋_GB2312" w:hint="eastAsia"/>
          <w:sz w:val="32"/>
          <w:szCs w:val="32"/>
        </w:rPr>
        <w:t>、承担卫生监测检验、预防性健康检查、健康相关产品的卫生质量检验、鉴定工作。</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10</w:t>
      </w:r>
      <w:r>
        <w:rPr>
          <w:rFonts w:ascii="仿宋_GB2312" w:eastAsia="仿宋_GB2312" w:hAnsi="仿宋_GB2312" w:cs="仿宋_GB2312" w:hint="eastAsia"/>
          <w:sz w:val="32"/>
          <w:szCs w:val="32"/>
        </w:rPr>
        <w:t>、负责对新建、改建、扩建建设项目的选址、设计和竣工验收的卫生学评价工作。</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11</w:t>
      </w:r>
      <w:r>
        <w:rPr>
          <w:rFonts w:ascii="仿宋_GB2312" w:eastAsia="仿宋_GB2312" w:hAnsi="仿宋_GB2312" w:cs="仿宋_GB2312" w:hint="eastAsia"/>
          <w:sz w:val="32"/>
          <w:szCs w:val="32"/>
        </w:rPr>
        <w:t>、指导和参与社区卫生服务、初级卫生保健和改水改厕工作。</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12</w:t>
      </w:r>
      <w:r>
        <w:rPr>
          <w:rFonts w:ascii="仿宋_GB2312" w:eastAsia="仿宋_GB2312" w:hAnsi="仿宋_GB2312" w:cs="仿宋_GB2312" w:hint="eastAsia"/>
          <w:sz w:val="32"/>
          <w:szCs w:val="32"/>
        </w:rPr>
        <w:t>、向社会提供相关的预防保健信息、健康咨询和预防医学诊疗等专业技术服务。</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13</w:t>
      </w:r>
      <w:r>
        <w:rPr>
          <w:rFonts w:ascii="仿宋_GB2312" w:eastAsia="仿宋_GB2312" w:hAnsi="仿宋_GB2312" w:cs="仿宋_GB2312" w:hint="eastAsia"/>
          <w:sz w:val="32"/>
          <w:szCs w:val="32"/>
        </w:rPr>
        <w:t>、负责全县疾病预防控制业务人员的技术培训、进修和业务指导。</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14</w:t>
      </w:r>
      <w:r>
        <w:rPr>
          <w:rFonts w:ascii="仿宋_GB2312" w:eastAsia="仿宋_GB2312" w:hAnsi="仿宋_GB2312" w:cs="仿宋_GB2312" w:hint="eastAsia"/>
          <w:sz w:val="32"/>
          <w:szCs w:val="32"/>
        </w:rPr>
        <w:t>、承担上级卫生行政和业务部门交办的其它事宜。</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18</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16</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11</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29</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16</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13</w:t>
      </w:r>
      <w:r>
        <w:rPr>
          <w:rFonts w:ascii="仿宋_GB2312" w:eastAsia="仿宋_GB2312" w:hAnsi="仿宋_GB2312" w:cs="仿宋_GB2312" w:hint="eastAsia"/>
          <w:sz w:val="32"/>
          <w:szCs w:val="32"/>
        </w:rPr>
        <w:t>人。</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三、决算单位构成</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纳入塔什库尔干县疾病预防控制中心单位</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1"/>
        <w:gridCol w:w="5805"/>
        <w:gridCol w:w="1586"/>
      </w:tblGrid>
      <w:tr w:rsidR="00D07CEE">
        <w:tc>
          <w:tcPr>
            <w:tcW w:w="1131" w:type="dxa"/>
          </w:tcPr>
          <w:p w:rsidR="00D07CEE" w:rsidRDefault="00D07CEE">
            <w:pPr>
              <w:spacing w:line="560" w:lineRule="exact"/>
              <w:rPr>
                <w:rFonts w:ascii="仿宋_GB2312" w:eastAsia="仿宋_GB2312" w:hAnsi="仿宋_GB2312"/>
                <w:sz w:val="32"/>
                <w:szCs w:val="32"/>
              </w:rPr>
            </w:pPr>
            <w:r>
              <w:rPr>
                <w:rFonts w:ascii="仿宋_GB2312" w:eastAsia="仿宋_GB2312" w:hAnsi="仿宋_GB2312" w:cs="仿宋_GB2312" w:hint="eastAsia"/>
                <w:sz w:val="32"/>
                <w:szCs w:val="32"/>
              </w:rPr>
              <w:t>序号</w:t>
            </w:r>
          </w:p>
        </w:tc>
        <w:tc>
          <w:tcPr>
            <w:tcW w:w="5805" w:type="dxa"/>
          </w:tcPr>
          <w:p w:rsidR="00D07CEE" w:rsidRDefault="00D07CEE">
            <w:pPr>
              <w:spacing w:line="560" w:lineRule="exact"/>
              <w:rPr>
                <w:rFonts w:ascii="仿宋_GB2312" w:eastAsia="仿宋_GB2312" w:hAnsi="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单位名称</w:t>
            </w:r>
          </w:p>
        </w:tc>
        <w:tc>
          <w:tcPr>
            <w:tcW w:w="1586" w:type="dxa"/>
          </w:tcPr>
          <w:p w:rsidR="00D07CEE" w:rsidRDefault="00D07CEE">
            <w:pPr>
              <w:spacing w:line="560" w:lineRule="exact"/>
              <w:rPr>
                <w:rFonts w:ascii="仿宋_GB2312" w:eastAsia="仿宋_GB2312" w:hAnsi="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备注</w:t>
            </w:r>
          </w:p>
        </w:tc>
      </w:tr>
      <w:tr w:rsidR="00D07CEE">
        <w:tc>
          <w:tcPr>
            <w:tcW w:w="1131" w:type="dxa"/>
          </w:tcPr>
          <w:p w:rsidR="00D07CEE" w:rsidRDefault="00D07CEE">
            <w:pPr>
              <w:spacing w:line="560" w:lineRule="exact"/>
              <w:jc w:val="center"/>
              <w:rPr>
                <w:rFonts w:ascii="仿宋_GB2312" w:eastAsia="仿宋_GB2312" w:hAnsi="仿宋_GB2312" w:cs="仿宋_GB2312"/>
                <w:sz w:val="32"/>
                <w:szCs w:val="32"/>
              </w:rPr>
            </w:pPr>
            <w:r>
              <w:rPr>
                <w:rFonts w:ascii="仿宋_GB2312" w:eastAsia="仿宋_GB2312" w:hAnsi="仿宋_GB2312" w:cs="仿宋_GB2312"/>
                <w:sz w:val="32"/>
                <w:szCs w:val="32"/>
              </w:rPr>
              <w:t>1</w:t>
            </w:r>
          </w:p>
        </w:tc>
        <w:tc>
          <w:tcPr>
            <w:tcW w:w="5805" w:type="dxa"/>
          </w:tcPr>
          <w:p w:rsidR="00D07CEE" w:rsidRDefault="00D07CEE">
            <w:pPr>
              <w:spacing w:line="560" w:lineRule="exact"/>
              <w:rPr>
                <w:rFonts w:ascii="仿宋_GB2312" w:eastAsia="仿宋_GB2312" w:hAnsi="仿宋_GB2312"/>
                <w:sz w:val="32"/>
                <w:szCs w:val="32"/>
              </w:rPr>
            </w:pPr>
            <w:r>
              <w:rPr>
                <w:rFonts w:ascii="仿宋_GB2312" w:eastAsia="仿宋_GB2312" w:hAnsi="仿宋_GB2312" w:cs="仿宋_GB2312" w:hint="eastAsia"/>
                <w:sz w:val="32"/>
                <w:szCs w:val="32"/>
              </w:rPr>
              <w:t>塔什库尔干县疾病预防控制中心</w:t>
            </w:r>
          </w:p>
        </w:tc>
        <w:tc>
          <w:tcPr>
            <w:tcW w:w="1586" w:type="dxa"/>
          </w:tcPr>
          <w:p w:rsidR="00D07CEE" w:rsidRDefault="00D07CEE">
            <w:pPr>
              <w:spacing w:line="560" w:lineRule="exact"/>
              <w:rPr>
                <w:rFonts w:ascii="仿宋_GB2312" w:eastAsia="仿宋_GB2312" w:hAnsi="仿宋_GB2312"/>
                <w:sz w:val="32"/>
                <w:szCs w:val="32"/>
              </w:rPr>
            </w:pPr>
          </w:p>
        </w:tc>
      </w:tr>
    </w:tbl>
    <w:p w:rsidR="00D07CEE" w:rsidRDefault="00D07CEE">
      <w:pPr>
        <w:snapToGrid w:val="0"/>
        <w:spacing w:line="560" w:lineRule="exact"/>
        <w:ind w:firstLineChars="200" w:firstLine="643"/>
        <w:rPr>
          <w:rFonts w:ascii="仿宋_GB2312" w:eastAsia="仿宋_GB2312" w:hAnsi="仿宋_GB2312"/>
          <w:b/>
          <w:bCs/>
          <w:sz w:val="32"/>
          <w:szCs w:val="32"/>
        </w:rPr>
      </w:pPr>
      <w:bookmarkStart w:id="0" w:name="YS060102"/>
    </w:p>
    <w:p w:rsidR="00D07CEE" w:rsidRDefault="00D07CEE">
      <w:pPr>
        <w:snapToGrid w:val="0"/>
        <w:spacing w:line="560" w:lineRule="exact"/>
        <w:ind w:firstLineChars="200" w:firstLine="643"/>
        <w:rPr>
          <w:rFonts w:ascii="仿宋_GB2312" w:eastAsia="仿宋_GB2312" w:hAnsi="仿宋_GB2312"/>
          <w:b/>
          <w:bCs/>
          <w:sz w:val="32"/>
          <w:szCs w:val="32"/>
        </w:rPr>
      </w:pPr>
      <w:r>
        <w:rPr>
          <w:rFonts w:ascii="仿宋_GB2312" w:eastAsia="仿宋_GB2312" w:hAnsi="仿宋_GB2312" w:cs="仿宋_GB2312" w:hint="eastAsia"/>
          <w:b/>
          <w:bCs/>
          <w:sz w:val="32"/>
          <w:szCs w:val="32"/>
        </w:rPr>
        <w:t>第二部分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塔什库尔干县疾病预防控制中心</w:t>
      </w:r>
      <w:r>
        <w:rPr>
          <w:rFonts w:ascii="仿宋_GB2312" w:eastAsia="仿宋_GB2312" w:hAnsi="仿宋_GB2312" w:cs="仿宋_GB2312"/>
          <w:b/>
          <w:bCs/>
          <w:sz w:val="32"/>
          <w:szCs w:val="32"/>
        </w:rPr>
        <w:t>2015</w:t>
      </w:r>
      <w:r>
        <w:rPr>
          <w:rFonts w:ascii="仿宋_GB2312" w:eastAsia="仿宋_GB2312" w:hAnsi="仿宋_GB2312" w:cs="仿宋_GB2312" w:hint="eastAsia"/>
          <w:b/>
          <w:bCs/>
          <w:sz w:val="32"/>
          <w:szCs w:val="32"/>
        </w:rPr>
        <w:t>年度部门决算报表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一、收入支出决算总表</w:t>
      </w:r>
      <w:r w:rsidRPr="006F5014">
        <w:rPr>
          <w:rFonts w:ascii="仿宋_GB2312" w:eastAsia="仿宋_GB2312" w:hAnsi="仿宋_GB2312" w:cs="仿宋_GB2312"/>
          <w:sz w:val="32"/>
          <w:szCs w:val="32"/>
        </w:rPr>
        <w:t xml:space="preserve"> </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二、财政拨款收入支出决算总表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三、收入支出决算表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四、收入决算表</w:t>
      </w:r>
      <w:r w:rsidRPr="006F5014">
        <w:rPr>
          <w:rFonts w:ascii="仿宋_GB2312" w:eastAsia="仿宋_GB2312" w:hAnsi="仿宋_GB2312" w:cs="仿宋_GB2312"/>
          <w:sz w:val="32"/>
          <w:szCs w:val="32"/>
        </w:rPr>
        <w:t xml:space="preserve"> </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五、支出决算表</w:t>
      </w:r>
      <w:r w:rsidRPr="006F5014">
        <w:rPr>
          <w:rFonts w:ascii="仿宋_GB2312" w:eastAsia="仿宋_GB2312" w:hAnsi="仿宋_GB2312" w:cs="仿宋_GB2312"/>
          <w:sz w:val="32"/>
          <w:szCs w:val="32"/>
        </w:rPr>
        <w:t xml:space="preserve"> </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六、支出决算明细表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七、基本支出决算明细表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八、项目支出决算明细表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九、项目收入支出决算表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十、行政事业类项目收入支出决算表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十一、基本建设类项目收入支出决算表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十二、一般公共预算财政拨款收入支出决算表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十三、一般公共预算财政拨款支出决算明细表</w:t>
      </w:r>
      <w:r w:rsidRPr="006F5014">
        <w:rPr>
          <w:rFonts w:ascii="仿宋_GB2312" w:eastAsia="仿宋_GB2312" w:hAnsi="仿宋_GB2312" w:cs="仿宋_GB2312"/>
          <w:sz w:val="32"/>
          <w:szCs w:val="32"/>
        </w:rPr>
        <w:t xml:space="preserve"> </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十四、一般公共预算财政拨款基本支出决算表</w:t>
      </w:r>
      <w:r w:rsidRPr="006F5014">
        <w:rPr>
          <w:rFonts w:ascii="仿宋_GB2312" w:eastAsia="仿宋_GB2312" w:hAnsi="仿宋_GB2312" w:cs="仿宋_GB2312"/>
          <w:sz w:val="32"/>
          <w:szCs w:val="32"/>
        </w:rPr>
        <w:t xml:space="preserve"> </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十五、一般公共预算财政拨款项目支出决算表</w:t>
      </w:r>
      <w:r w:rsidRPr="006F5014">
        <w:rPr>
          <w:rFonts w:ascii="仿宋_GB2312" w:eastAsia="仿宋_GB2312" w:hAnsi="仿宋_GB2312" w:cs="仿宋_GB2312"/>
          <w:sz w:val="32"/>
          <w:szCs w:val="32"/>
        </w:rPr>
        <w:t xml:space="preserve"> </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十六、政府性基金预算财政拨款收入支出决算表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十七、政府性基金预算财政拨款支出决算明细表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十八、政府性基金预算财政拨款基本支出决算明细表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十九、政府性基金预算财政拨款项目支出决算明细表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二十、财政专户管理资金收入支出决算表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二十一、资产负债表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二十二、部门决算相关信息统计表</w:t>
      </w:r>
    </w:p>
    <w:p w:rsidR="00D07CEE" w:rsidRPr="006F5014"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二十三、政府采购情况表</w:t>
      </w:r>
    </w:p>
    <w:p w:rsidR="00D07CEE" w:rsidRDefault="00D07CEE" w:rsidP="006F5014">
      <w:pPr>
        <w:snapToGrid w:val="0"/>
        <w:spacing w:line="560" w:lineRule="exact"/>
        <w:ind w:firstLineChars="200" w:firstLine="640"/>
        <w:rPr>
          <w:rFonts w:ascii="仿宋_GB2312" w:eastAsia="仿宋_GB2312" w:hAnsi="仿宋_GB2312" w:cs="仿宋_GB2312"/>
          <w:sz w:val="32"/>
          <w:szCs w:val="32"/>
        </w:rPr>
      </w:pPr>
      <w:r w:rsidRPr="006F5014">
        <w:rPr>
          <w:rFonts w:ascii="仿宋_GB2312" w:eastAsia="仿宋_GB2312" w:hAnsi="仿宋_GB2312" w:cs="仿宋_GB2312" w:hint="eastAsia"/>
          <w:sz w:val="32"/>
          <w:szCs w:val="32"/>
        </w:rPr>
        <w:t>二十四、</w:t>
      </w:r>
      <w:r w:rsidRPr="006F5014">
        <w:rPr>
          <w:rFonts w:ascii="仿宋_GB2312" w:eastAsia="仿宋_GB2312" w:hAnsi="仿宋_GB2312" w:cs="仿宋_GB2312"/>
          <w:sz w:val="32"/>
          <w:szCs w:val="32"/>
        </w:rPr>
        <w:t>2015</w:t>
      </w:r>
      <w:r w:rsidRPr="006F5014">
        <w:rPr>
          <w:rFonts w:ascii="仿宋_GB2312" w:eastAsia="仿宋_GB2312" w:hAnsi="仿宋_GB2312" w:cs="仿宋_GB2312" w:hint="eastAsia"/>
          <w:sz w:val="32"/>
          <w:szCs w:val="32"/>
        </w:rPr>
        <w:t>年度财政拨款“三公”经费支出表及说明</w:t>
      </w:r>
    </w:p>
    <w:p w:rsidR="00D07CEE" w:rsidRPr="006F5014" w:rsidRDefault="00D07CEE" w:rsidP="006F5014">
      <w:pPr>
        <w:snapToGrid w:val="0"/>
        <w:spacing w:line="560" w:lineRule="exact"/>
        <w:ind w:firstLineChars="200" w:firstLine="643"/>
        <w:rPr>
          <w:rFonts w:ascii="仿宋_GB2312" w:eastAsia="仿宋_GB2312" w:hAnsi="仿宋_GB2312" w:cs="仿宋_GB2312"/>
          <w:b/>
          <w:bCs/>
          <w:sz w:val="32"/>
          <w:szCs w:val="32"/>
        </w:rPr>
      </w:pPr>
    </w:p>
    <w:p w:rsidR="00D07CEE" w:rsidRDefault="00D07CEE">
      <w:pPr>
        <w:snapToGrid w:val="0"/>
        <w:spacing w:line="560" w:lineRule="exact"/>
        <w:ind w:firstLineChars="200" w:firstLine="643"/>
        <w:rPr>
          <w:rFonts w:ascii="仿宋_GB2312" w:eastAsia="仿宋_GB2312" w:hAnsi="仿宋_GB2312"/>
          <w:b/>
          <w:bCs/>
          <w:sz w:val="32"/>
          <w:szCs w:val="32"/>
        </w:rPr>
      </w:pPr>
      <w:r>
        <w:rPr>
          <w:rFonts w:ascii="仿宋_GB2312" w:eastAsia="仿宋_GB2312" w:hAnsi="仿宋_GB2312" w:cs="仿宋_GB2312" w:hint="eastAsia"/>
          <w:b/>
          <w:bCs/>
          <w:sz w:val="32"/>
          <w:szCs w:val="32"/>
        </w:rPr>
        <w:t>第三部分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塔什库尔干县疾病预防控制中心单位</w:t>
      </w:r>
      <w:r>
        <w:rPr>
          <w:rFonts w:ascii="仿宋_GB2312" w:eastAsia="仿宋_GB2312" w:hAnsi="仿宋_GB2312" w:cs="仿宋_GB2312"/>
          <w:b/>
          <w:bCs/>
          <w:sz w:val="32"/>
          <w:szCs w:val="32"/>
        </w:rPr>
        <w:t>2015</w:t>
      </w:r>
      <w:r>
        <w:rPr>
          <w:rFonts w:ascii="仿宋_GB2312" w:eastAsia="仿宋_GB2312" w:hAnsi="仿宋_GB2312" w:cs="仿宋_GB2312" w:hint="eastAsia"/>
          <w:b/>
          <w:bCs/>
          <w:sz w:val="32"/>
          <w:szCs w:val="32"/>
        </w:rPr>
        <w:t>年度部门决算情况说明</w:t>
      </w:r>
    </w:p>
    <w:p w:rsidR="00D07CEE" w:rsidRDefault="00D07CEE">
      <w:pPr>
        <w:snapToGrid w:val="0"/>
        <w:spacing w:line="560" w:lineRule="exact"/>
        <w:ind w:leftChars="71" w:left="149" w:firstLineChars="150" w:firstLine="480"/>
        <w:rPr>
          <w:rFonts w:ascii="仿宋_GB2312" w:eastAsia="仿宋_GB2312" w:hAnsi="仿宋_GB2312"/>
          <w:sz w:val="32"/>
          <w:szCs w:val="32"/>
        </w:rPr>
      </w:pPr>
      <w:r>
        <w:rPr>
          <w:rFonts w:ascii="仿宋_GB2312" w:eastAsia="仿宋_GB2312" w:hAnsi="仿宋_GB2312" w:cs="仿宋_GB2312" w:hint="eastAsia"/>
          <w:sz w:val="32"/>
          <w:szCs w:val="32"/>
        </w:rPr>
        <w:t>一、部门收入支出决算总体情况说明：</w:t>
      </w:r>
    </w:p>
    <w:p w:rsidR="00D07CEE" w:rsidRDefault="00D07CEE">
      <w:pPr>
        <w:snapToGrid w:val="0"/>
        <w:spacing w:line="560" w:lineRule="exact"/>
        <w:ind w:leftChars="71" w:left="149" w:firstLineChars="150" w:firstLine="480"/>
        <w:rPr>
          <w:rFonts w:ascii="仿宋_GB2312" w:eastAsia="仿宋_GB2312" w:hAnsi="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年全年收入合计</w:t>
      </w:r>
      <w:r>
        <w:rPr>
          <w:rFonts w:ascii="仿宋_GB2312" w:eastAsia="仿宋_GB2312" w:hAnsi="仿宋_GB2312" w:cs="仿宋_GB2312"/>
          <w:sz w:val="32"/>
          <w:szCs w:val="32"/>
        </w:rPr>
        <w:t>3507982.93</w:t>
      </w:r>
      <w:r>
        <w:rPr>
          <w:rFonts w:ascii="仿宋_GB2312" w:eastAsia="仿宋_GB2312" w:hAnsi="仿宋_GB2312" w:cs="仿宋_GB2312" w:hint="eastAsia"/>
          <w:sz w:val="32"/>
          <w:szCs w:val="32"/>
        </w:rPr>
        <w:t>元，支出合计</w:t>
      </w:r>
      <w:r>
        <w:rPr>
          <w:rFonts w:ascii="仿宋_GB2312" w:eastAsia="仿宋_GB2312" w:hAnsi="仿宋_GB2312" w:cs="仿宋_GB2312"/>
          <w:sz w:val="32"/>
          <w:szCs w:val="32"/>
        </w:rPr>
        <w:t>3507982.93</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3386982.93</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121000</w:t>
      </w:r>
      <w:r>
        <w:rPr>
          <w:rFonts w:ascii="仿宋_GB2312" w:eastAsia="仿宋_GB2312" w:hAnsi="仿宋_GB2312" w:cs="仿宋_GB2312" w:hint="eastAsia"/>
          <w:sz w:val="32"/>
          <w:szCs w:val="32"/>
        </w:rPr>
        <w:t>元。</w:t>
      </w:r>
    </w:p>
    <w:bookmarkEnd w:id="0"/>
    <w:p w:rsidR="00D07CEE" w:rsidRDefault="00D07CEE">
      <w:pPr>
        <w:numPr>
          <w:ilvl w:val="0"/>
          <w:numId w:val="2"/>
        </w:numPr>
        <w:snapToGrid w:val="0"/>
        <w:spacing w:line="560" w:lineRule="exact"/>
        <w:rPr>
          <w:rFonts w:ascii="仿宋_GB2312" w:eastAsia="仿宋_GB2312" w:hAnsi="仿宋_GB2312"/>
          <w:sz w:val="32"/>
          <w:szCs w:val="32"/>
        </w:rPr>
      </w:pPr>
      <w:r>
        <w:rPr>
          <w:rFonts w:ascii="仿宋_GB2312" w:eastAsia="仿宋_GB2312" w:hAnsi="仿宋_GB2312" w:cs="仿宋_GB2312" w:hint="eastAsia"/>
          <w:sz w:val="32"/>
          <w:szCs w:val="32"/>
        </w:rPr>
        <w:t>收入情况说明</w:t>
      </w:r>
    </w:p>
    <w:p w:rsidR="00D07CEE" w:rsidRDefault="00D07CEE">
      <w:pPr>
        <w:snapToGrid w:val="0"/>
        <w:spacing w:line="560" w:lineRule="exact"/>
        <w:ind w:leftChars="70" w:left="147" w:firstLineChars="150" w:firstLine="480"/>
        <w:rPr>
          <w:rFonts w:ascii="仿宋_GB2312" w:eastAsia="仿宋_GB2312" w:hAnsi="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年本年收入合计</w:t>
      </w:r>
      <w:r>
        <w:rPr>
          <w:rFonts w:ascii="仿宋_GB2312" w:eastAsia="仿宋_GB2312" w:hAnsi="仿宋_GB2312" w:cs="仿宋_GB2312"/>
          <w:sz w:val="32"/>
          <w:szCs w:val="32"/>
        </w:rPr>
        <w:t>3507982.93</w:t>
      </w:r>
      <w:r>
        <w:rPr>
          <w:rFonts w:ascii="仿宋_GB2312" w:eastAsia="仿宋_GB2312" w:hAnsi="仿宋_GB2312" w:cs="仿宋_GB2312" w:hint="eastAsia"/>
          <w:sz w:val="32"/>
          <w:szCs w:val="32"/>
        </w:rPr>
        <w:t>元，其中：财政拨款收入</w:t>
      </w:r>
      <w:r>
        <w:rPr>
          <w:rFonts w:ascii="仿宋_GB2312" w:eastAsia="仿宋_GB2312" w:hAnsi="仿宋_GB2312" w:cs="仿宋_GB2312"/>
          <w:sz w:val="32"/>
          <w:szCs w:val="32"/>
        </w:rPr>
        <w:t>3507982.93</w:t>
      </w:r>
      <w:r>
        <w:rPr>
          <w:rFonts w:ascii="仿宋_GB2312" w:eastAsia="仿宋_GB2312" w:hAnsi="仿宋_GB2312" w:cs="仿宋_GB2312" w:hint="eastAsia"/>
          <w:sz w:val="32"/>
          <w:szCs w:val="32"/>
        </w:rPr>
        <w:t>元，事业收入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D07CEE" w:rsidRDefault="00D07CEE">
      <w:pPr>
        <w:snapToGrid w:val="0"/>
        <w:spacing w:line="560" w:lineRule="exact"/>
        <w:ind w:leftChars="70" w:left="147" w:firstLineChars="150" w:firstLine="480"/>
        <w:rPr>
          <w:rFonts w:ascii="仿宋_GB2312" w:eastAsia="仿宋_GB2312" w:hAnsi="仿宋_GB2312"/>
          <w:sz w:val="32"/>
          <w:szCs w:val="32"/>
        </w:rPr>
      </w:pPr>
      <w:r>
        <w:rPr>
          <w:rFonts w:ascii="仿宋_GB2312" w:eastAsia="仿宋_GB2312" w:hAnsi="仿宋_GB2312" w:cs="仿宋_GB2312" w:hint="eastAsia"/>
          <w:sz w:val="32"/>
          <w:szCs w:val="32"/>
        </w:rPr>
        <w:t>三、支出情况说明</w:t>
      </w:r>
    </w:p>
    <w:p w:rsidR="00D07CEE" w:rsidRDefault="00D07CEE">
      <w:pPr>
        <w:snapToGrid w:val="0"/>
        <w:spacing w:line="560" w:lineRule="exact"/>
        <w:ind w:leftChars="100" w:left="210" w:firstLineChars="150" w:firstLine="480"/>
        <w:rPr>
          <w:rFonts w:ascii="仿宋_GB2312" w:eastAsia="仿宋_GB2312" w:hAnsi="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 xml:space="preserve">3507982.93 </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3386982.93</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121000</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D07CEE" w:rsidRDefault="00D07CEE">
      <w:pPr>
        <w:snapToGrid w:val="0"/>
        <w:spacing w:line="560" w:lineRule="exact"/>
        <w:ind w:leftChars="100" w:left="210" w:firstLineChars="150" w:firstLine="480"/>
        <w:rPr>
          <w:rFonts w:ascii="仿宋_GB2312" w:eastAsia="仿宋_GB2312" w:hAnsi="仿宋_GB2312"/>
          <w:sz w:val="32"/>
          <w:szCs w:val="32"/>
        </w:rPr>
      </w:pPr>
      <w:r>
        <w:rPr>
          <w:rFonts w:ascii="仿宋_GB2312" w:eastAsia="仿宋_GB2312" w:hAnsi="仿宋_GB2312" w:cs="仿宋_GB2312" w:hint="eastAsia"/>
          <w:sz w:val="32"/>
          <w:szCs w:val="32"/>
        </w:rPr>
        <w:t>四、年末结转结余情况说明</w:t>
      </w:r>
    </w:p>
    <w:p w:rsidR="00D07CEE" w:rsidRDefault="00D07CEE">
      <w:pPr>
        <w:snapToGrid w:val="0"/>
        <w:spacing w:line="560" w:lineRule="exact"/>
        <w:ind w:leftChars="71" w:left="149" w:firstLineChars="150" w:firstLine="480"/>
        <w:rPr>
          <w:rFonts w:ascii="仿宋_GB2312" w:eastAsia="仿宋_GB2312" w:hAnsi="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年结转结余资金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元（其中：财政拨款基本支出结转结余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元，主要无，项目支出结转结余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w:t>
      </w:r>
    </w:p>
    <w:p w:rsidR="00D07CEE" w:rsidRDefault="00D07CEE">
      <w:pPr>
        <w:snapToGrid w:val="0"/>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五、“三公”经费、会议费和培训费支出情况说明</w:t>
      </w:r>
    </w:p>
    <w:p w:rsidR="00D07CEE" w:rsidRDefault="00D07CEE">
      <w:pPr>
        <w:snapToGrid w:val="0"/>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年“三公”经费实际支出</w:t>
      </w:r>
      <w:r>
        <w:rPr>
          <w:rFonts w:ascii="仿宋_GB2312" w:eastAsia="仿宋_GB2312" w:hAnsi="仿宋_GB2312" w:cs="仿宋_GB2312"/>
          <w:sz w:val="32"/>
          <w:szCs w:val="32"/>
        </w:rPr>
        <w:t>19950</w:t>
      </w:r>
      <w:r>
        <w:rPr>
          <w:rFonts w:ascii="仿宋_GB2312" w:eastAsia="仿宋_GB2312" w:hAnsi="仿宋_GB2312" w:cs="仿宋_GB2312" w:hint="eastAsia"/>
          <w:sz w:val="32"/>
          <w:szCs w:val="32"/>
        </w:rPr>
        <w:t>元，其中：国（境）费用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出国事由：无；公务接待费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元，年末公务用车保有量为</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辆；公务用车维护费</w:t>
      </w:r>
      <w:r>
        <w:rPr>
          <w:rFonts w:ascii="仿宋_GB2312" w:eastAsia="仿宋_GB2312" w:hAnsi="仿宋_GB2312" w:cs="仿宋_GB2312"/>
          <w:sz w:val="32"/>
          <w:szCs w:val="32"/>
        </w:rPr>
        <w:t>19950</w:t>
      </w:r>
      <w:r>
        <w:rPr>
          <w:rFonts w:ascii="仿宋_GB2312" w:eastAsia="仿宋_GB2312" w:hAnsi="仿宋_GB2312" w:cs="仿宋_GB2312" w:hint="eastAsia"/>
          <w:sz w:val="32"/>
          <w:szCs w:val="32"/>
        </w:rPr>
        <w:t>元。</w:t>
      </w:r>
    </w:p>
    <w:p w:rsidR="00D07CEE" w:rsidRDefault="00D07CEE">
      <w:pPr>
        <w:snapToGrid w:val="0"/>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“三公”经费较上年相比多支出</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元，其中：因公出国（境）费用多支</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元；公务接待费多支出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元；公务用车购置费多支出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元；公务用车维护费多支出</w:t>
      </w:r>
      <w:r>
        <w:rPr>
          <w:rFonts w:ascii="仿宋_GB2312" w:eastAsia="仿宋_GB2312" w:hAnsi="仿宋_GB2312" w:cs="仿宋_GB2312"/>
          <w:sz w:val="32"/>
          <w:szCs w:val="32"/>
        </w:rPr>
        <w:t>50</w:t>
      </w:r>
      <w:r>
        <w:rPr>
          <w:rFonts w:ascii="仿宋_GB2312" w:eastAsia="仿宋_GB2312" w:hAnsi="仿宋_GB2312" w:cs="仿宋_GB2312" w:hint="eastAsia"/>
          <w:sz w:val="32"/>
          <w:szCs w:val="32"/>
        </w:rPr>
        <w:t>元。主要原因为：基本持平。</w:t>
      </w:r>
    </w:p>
    <w:p w:rsidR="00D07CEE" w:rsidRDefault="00D07CEE">
      <w:pPr>
        <w:snapToGrid w:val="0"/>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D07CEE" w:rsidRDefault="00D07CEE">
      <w:pPr>
        <w:snapToGrid w:val="0"/>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年培训费</w:t>
      </w:r>
      <w:r>
        <w:rPr>
          <w:rFonts w:ascii="仿宋_GB2312" w:eastAsia="仿宋_GB2312" w:hAnsi="仿宋_GB2312" w:cs="仿宋_GB2312"/>
          <w:sz w:val="32"/>
          <w:szCs w:val="32"/>
        </w:rPr>
        <w:t>10340</w:t>
      </w:r>
      <w:r>
        <w:rPr>
          <w:rFonts w:ascii="仿宋_GB2312" w:eastAsia="仿宋_GB2312" w:hAnsi="仿宋_GB2312" w:cs="仿宋_GB2312" w:hint="eastAsia"/>
          <w:sz w:val="32"/>
          <w:szCs w:val="32"/>
        </w:rPr>
        <w:t>元，主要是：参加地区、自治区培训。</w:t>
      </w:r>
    </w:p>
    <w:p w:rsidR="00D07CEE" w:rsidRDefault="00D07CEE">
      <w:pPr>
        <w:snapToGrid w:val="0"/>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六、预算执行情况说明</w:t>
      </w:r>
    </w:p>
    <w:p w:rsidR="00D07CEE" w:rsidRDefault="00D07CEE">
      <w:pPr>
        <w:snapToGrid w:val="0"/>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年本年收入</w:t>
      </w:r>
      <w:r>
        <w:rPr>
          <w:rFonts w:ascii="仿宋_GB2312" w:eastAsia="仿宋_GB2312" w:hAnsi="仿宋_GB2312" w:cs="仿宋_GB2312"/>
          <w:sz w:val="32"/>
          <w:szCs w:val="32"/>
        </w:rPr>
        <w:t>35079</w:t>
      </w:r>
      <w:bookmarkStart w:id="1" w:name="_GoBack"/>
      <w:bookmarkEnd w:id="1"/>
      <w:r>
        <w:rPr>
          <w:rFonts w:ascii="仿宋_GB2312" w:eastAsia="仿宋_GB2312" w:hAnsi="仿宋_GB2312" w:cs="仿宋_GB2312"/>
          <w:sz w:val="32"/>
          <w:szCs w:val="32"/>
        </w:rPr>
        <w:t>82.93</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2014</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573773.08</w:t>
      </w:r>
      <w:r>
        <w:rPr>
          <w:rFonts w:ascii="仿宋_GB2312" w:eastAsia="仿宋_GB2312" w:hAnsi="仿宋_GB2312" w:cs="仿宋_GB2312" w:hint="eastAsia"/>
          <w:sz w:val="32"/>
          <w:szCs w:val="32"/>
        </w:rPr>
        <w:t>元，增加原因：人员经费增加。</w:t>
      </w:r>
    </w:p>
    <w:p w:rsidR="00D07CEE" w:rsidRDefault="00D07CEE">
      <w:pPr>
        <w:snapToGrid w:val="0"/>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年本年支出</w:t>
      </w:r>
      <w:r>
        <w:rPr>
          <w:rFonts w:ascii="仿宋_GB2312" w:eastAsia="仿宋_GB2312" w:hAnsi="仿宋_GB2312" w:cs="仿宋_GB2312"/>
          <w:sz w:val="32"/>
          <w:szCs w:val="32"/>
        </w:rPr>
        <w:t>3507982.93</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2014</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573773.08</w:t>
      </w:r>
      <w:r>
        <w:rPr>
          <w:rFonts w:ascii="仿宋_GB2312" w:eastAsia="仿宋_GB2312" w:hAnsi="仿宋_GB2312" w:cs="仿宋_GB2312" w:hint="eastAsia"/>
          <w:sz w:val="32"/>
          <w:szCs w:val="32"/>
        </w:rPr>
        <w:t>元，增加原因：人员经费增加。</w:t>
      </w:r>
    </w:p>
    <w:p w:rsidR="00D07CEE" w:rsidRDefault="00D07CEE">
      <w:pPr>
        <w:snapToGrid w:val="0"/>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年财政拨款支出</w:t>
      </w:r>
      <w:r>
        <w:rPr>
          <w:rFonts w:ascii="仿宋_GB2312" w:eastAsia="仿宋_GB2312" w:hAnsi="仿宋_GB2312" w:cs="仿宋_GB2312"/>
          <w:sz w:val="32"/>
          <w:szCs w:val="32"/>
        </w:rPr>
        <w:t>3507982.93</w:t>
      </w:r>
      <w:r>
        <w:rPr>
          <w:rFonts w:ascii="仿宋_GB2312" w:eastAsia="仿宋_GB2312" w:hAnsi="仿宋_GB2312" w:cs="仿宋_GB2312" w:hint="eastAsia"/>
          <w:sz w:val="32"/>
          <w:szCs w:val="32"/>
        </w:rPr>
        <w:t>元，年初预算数</w:t>
      </w:r>
      <w:r>
        <w:rPr>
          <w:rFonts w:ascii="仿宋_GB2312" w:eastAsia="仿宋_GB2312" w:hAnsi="仿宋_GB2312" w:cs="仿宋_GB2312"/>
          <w:sz w:val="32"/>
          <w:szCs w:val="32"/>
        </w:rPr>
        <w:t>1425895.01</w:t>
      </w:r>
      <w:r>
        <w:rPr>
          <w:rFonts w:ascii="仿宋_GB2312" w:eastAsia="仿宋_GB2312" w:hAnsi="仿宋_GB2312" w:cs="仿宋_GB2312" w:hint="eastAsia"/>
          <w:sz w:val="32"/>
          <w:szCs w:val="32"/>
        </w:rPr>
        <w:t>元，差异原因：人员工资增加和项目未纳入年如预算。</w:t>
      </w:r>
    </w:p>
    <w:p w:rsidR="00D07CEE" w:rsidRDefault="00D07CEE">
      <w:pPr>
        <w:snapToGrid w:val="0"/>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七、决算公开其他重要事项情况说明</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（一）机关运行经费支出情况</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年塔什库尔干县疾病预防控制中心机关运行经费支出</w:t>
      </w:r>
      <w:r>
        <w:rPr>
          <w:rFonts w:ascii="仿宋_GB2312" w:eastAsia="仿宋_GB2312" w:hAnsi="仿宋_GB2312" w:cs="仿宋_GB2312"/>
          <w:sz w:val="32"/>
          <w:szCs w:val="32"/>
        </w:rPr>
        <w:t>51771.6</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2014</w:t>
      </w:r>
      <w:r>
        <w:rPr>
          <w:rFonts w:ascii="仿宋_GB2312" w:eastAsia="仿宋_GB2312" w:hAnsi="仿宋_GB2312" w:cs="仿宋_GB2312" w:hint="eastAsia"/>
          <w:sz w:val="32"/>
          <w:szCs w:val="32"/>
        </w:rPr>
        <w:t>年减少</w:t>
      </w:r>
      <w:r>
        <w:rPr>
          <w:rFonts w:ascii="仿宋_GB2312" w:eastAsia="仿宋_GB2312" w:hAnsi="仿宋_GB2312" w:cs="仿宋_GB2312"/>
          <w:sz w:val="32"/>
          <w:szCs w:val="32"/>
        </w:rPr>
        <w:t>51836.72</w:t>
      </w:r>
      <w:r>
        <w:rPr>
          <w:rFonts w:ascii="仿宋_GB2312" w:eastAsia="仿宋_GB2312" w:hAnsi="仿宋_GB2312" w:cs="仿宋_GB2312" w:hint="eastAsia"/>
          <w:sz w:val="32"/>
          <w:szCs w:val="32"/>
        </w:rPr>
        <w:t>元，降低</w:t>
      </w:r>
      <w:r>
        <w:rPr>
          <w:rFonts w:ascii="仿宋_GB2312" w:eastAsia="仿宋_GB2312" w:hAnsi="仿宋_GB2312" w:cs="仿宋_GB2312"/>
          <w:sz w:val="32"/>
          <w:szCs w:val="32"/>
        </w:rPr>
        <w:t>50.03%</w:t>
      </w:r>
      <w:r>
        <w:rPr>
          <w:rFonts w:ascii="仿宋_GB2312" w:eastAsia="仿宋_GB2312" w:hAnsi="仿宋_GB2312" w:cs="仿宋_GB2312" w:hint="eastAsia"/>
          <w:sz w:val="32"/>
          <w:szCs w:val="32"/>
        </w:rPr>
        <w:t>，主要原因是：节约运行经费支出。</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（二）政府采购支出情况</w:t>
      </w:r>
    </w:p>
    <w:p w:rsidR="00D07CEE" w:rsidRDefault="00D07CE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年，塔什库尔干县疾病预防控制中心政府采购支出总额</w:t>
      </w:r>
      <w:r>
        <w:rPr>
          <w:rFonts w:ascii="仿宋_GB2312" w:eastAsia="仿宋_GB2312" w:hAnsi="仿宋_GB2312" w:cs="仿宋_GB2312"/>
          <w:sz w:val="32"/>
          <w:szCs w:val="32"/>
        </w:rPr>
        <w:t>4471.32</w:t>
      </w:r>
      <w:r>
        <w:rPr>
          <w:rFonts w:ascii="仿宋_GB2312" w:eastAsia="仿宋_GB2312" w:hAnsi="仿宋_GB2312" w:cs="仿宋_GB2312" w:hint="eastAsia"/>
          <w:sz w:val="32"/>
          <w:szCs w:val="32"/>
        </w:rPr>
        <w:t>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4471.32</w:t>
      </w:r>
      <w:r>
        <w:rPr>
          <w:rFonts w:ascii="仿宋_GB2312" w:eastAsia="仿宋_GB2312" w:hAnsi="仿宋_GB2312" w:cs="仿宋_GB2312" w:hint="eastAsia"/>
          <w:sz w:val="32"/>
          <w:szCs w:val="32"/>
        </w:rPr>
        <w:t>元。喀什地区为偏远地区，参与招投标的供应商基本为中小微企业。</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（三）国有资产占用情况</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6</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辆，其他用车主要是外出医务用车，单位价值在</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（四）民生项目、重点支出项目绩效评价结果</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年，塔什库尔干县疾病预防控制中心共组织对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元。绩效评价结果：无。</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（五）事业收入明细、经营收入明细</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按收入项目分别列示：无。</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八、专业名词解释</w:t>
      </w:r>
    </w:p>
    <w:p w:rsidR="00D07CEE" w:rsidRDefault="00D07CE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p>
    <w:p w:rsidR="00D07CEE" w:rsidRDefault="00D07CE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p>
    <w:p w:rsidR="00D07CEE" w:rsidRDefault="00D07CE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p>
    <w:p w:rsidR="00D07CEE" w:rsidRDefault="00D07CE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p>
    <w:p w:rsidR="00D07CEE" w:rsidRDefault="00D07CE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D07CEE" w:rsidRDefault="00D07CE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（七）结余分配：指事业单位按规定提取的职工福利基</w:t>
      </w:r>
    </w:p>
    <w:p w:rsidR="00D07CEE" w:rsidRDefault="00D07CE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（八）年末结转和结余：指本年度或以前年度预算安排、</w:t>
      </w:r>
    </w:p>
    <w:p w:rsidR="00D07CEE" w:rsidRDefault="00D07CE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p>
    <w:p w:rsidR="00D07CEE" w:rsidRDefault="00D07CE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p>
    <w:p w:rsidR="00D07CEE" w:rsidRDefault="00D07CE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p>
    <w:p w:rsidR="00D07CEE" w:rsidRDefault="00D07CE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p>
    <w:p w:rsidR="00D07CEE" w:rsidRDefault="00D07CEE">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D07CEE" w:rsidRDefault="00D07CEE">
      <w:pPr>
        <w:spacing w:line="56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D07CEE" w:rsidRDefault="00D07CEE">
      <w:pPr>
        <w:spacing w:line="540" w:lineRule="exact"/>
        <w:ind w:firstLineChars="200" w:firstLine="640"/>
        <w:rPr>
          <w:rFonts w:ascii="仿宋_GB2312" w:eastAsia="仿宋_GB2312" w:hAnsi="仿宋_GB2312"/>
          <w:sz w:val="32"/>
          <w:szCs w:val="32"/>
        </w:rPr>
      </w:pPr>
    </w:p>
    <w:sectPr w:rsidR="00D07CEE" w:rsidSect="00417ABD">
      <w:headerReference w:type="even" r:id="rId7"/>
      <w:headerReference w:type="default" r:id="rId8"/>
      <w:footerReference w:type="even" r:id="rId9"/>
      <w:footerReference w:type="default" r:id="rId10"/>
      <w:headerReference w:type="first" r:id="rId11"/>
      <w:footerReference w:type="first" r:id="rId12"/>
      <w:pgSz w:w="11906" w:h="16838"/>
      <w:pgMar w:top="1440" w:right="1588" w:bottom="1440"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CEE" w:rsidRDefault="00D07CEE" w:rsidP="00417ABD">
      <w:r>
        <w:separator/>
      </w:r>
    </w:p>
  </w:endnote>
  <w:endnote w:type="continuationSeparator" w:id="0">
    <w:p w:rsidR="00D07CEE" w:rsidRDefault="00D07CEE" w:rsidP="00417A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CEE" w:rsidRDefault="00D07C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CEE" w:rsidRDefault="00D07C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D07CEE" w:rsidRDefault="00D07CE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CEE" w:rsidRDefault="00D07CE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CEE" w:rsidRDefault="00D07CEE" w:rsidP="00417ABD">
      <w:r>
        <w:separator/>
      </w:r>
    </w:p>
  </w:footnote>
  <w:footnote w:type="continuationSeparator" w:id="0">
    <w:p w:rsidR="00D07CEE" w:rsidRDefault="00D07CEE" w:rsidP="00417A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CEE" w:rsidRDefault="00D07CE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CEE" w:rsidRDefault="00D07CEE" w:rsidP="005B507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CEE" w:rsidRDefault="00D07CE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467C"/>
    <w:rsid w:val="0000633B"/>
    <w:rsid w:val="00006A87"/>
    <w:rsid w:val="000119EB"/>
    <w:rsid w:val="00014CCD"/>
    <w:rsid w:val="00034248"/>
    <w:rsid w:val="0004067B"/>
    <w:rsid w:val="000449E7"/>
    <w:rsid w:val="00052FE0"/>
    <w:rsid w:val="00054384"/>
    <w:rsid w:val="00067B66"/>
    <w:rsid w:val="00070900"/>
    <w:rsid w:val="00086A97"/>
    <w:rsid w:val="000930C9"/>
    <w:rsid w:val="00093926"/>
    <w:rsid w:val="00094D69"/>
    <w:rsid w:val="000A65DB"/>
    <w:rsid w:val="000C3B20"/>
    <w:rsid w:val="000D4620"/>
    <w:rsid w:val="000F6A90"/>
    <w:rsid w:val="00132E5A"/>
    <w:rsid w:val="00137B02"/>
    <w:rsid w:val="001400C3"/>
    <w:rsid w:val="00140E78"/>
    <w:rsid w:val="00147040"/>
    <w:rsid w:val="00151463"/>
    <w:rsid w:val="00170582"/>
    <w:rsid w:val="0017653B"/>
    <w:rsid w:val="001B16DE"/>
    <w:rsid w:val="001D09C9"/>
    <w:rsid w:val="001D1557"/>
    <w:rsid w:val="001D1677"/>
    <w:rsid w:val="001D39A8"/>
    <w:rsid w:val="001E4658"/>
    <w:rsid w:val="001F6332"/>
    <w:rsid w:val="00201438"/>
    <w:rsid w:val="0020466C"/>
    <w:rsid w:val="002048AB"/>
    <w:rsid w:val="00210987"/>
    <w:rsid w:val="002151D0"/>
    <w:rsid w:val="002443ED"/>
    <w:rsid w:val="00267BB1"/>
    <w:rsid w:val="00267D65"/>
    <w:rsid w:val="002743C3"/>
    <w:rsid w:val="0029734C"/>
    <w:rsid w:val="002A0F4A"/>
    <w:rsid w:val="002A40B2"/>
    <w:rsid w:val="002A646C"/>
    <w:rsid w:val="002C677C"/>
    <w:rsid w:val="002D702A"/>
    <w:rsid w:val="002E3A5F"/>
    <w:rsid w:val="002E5BBB"/>
    <w:rsid w:val="002F3F3E"/>
    <w:rsid w:val="00301FD1"/>
    <w:rsid w:val="00303B2E"/>
    <w:rsid w:val="00321B07"/>
    <w:rsid w:val="00322F04"/>
    <w:rsid w:val="00333969"/>
    <w:rsid w:val="00334716"/>
    <w:rsid w:val="00335EA6"/>
    <w:rsid w:val="00342A45"/>
    <w:rsid w:val="003472C5"/>
    <w:rsid w:val="00387A5F"/>
    <w:rsid w:val="00396D66"/>
    <w:rsid w:val="003A22DE"/>
    <w:rsid w:val="003B0163"/>
    <w:rsid w:val="003B0831"/>
    <w:rsid w:val="003B594E"/>
    <w:rsid w:val="003C2E54"/>
    <w:rsid w:val="003C6A3F"/>
    <w:rsid w:val="003E149C"/>
    <w:rsid w:val="00406AB0"/>
    <w:rsid w:val="00417ABD"/>
    <w:rsid w:val="00417FF0"/>
    <w:rsid w:val="00426E6C"/>
    <w:rsid w:val="0043072D"/>
    <w:rsid w:val="00431D14"/>
    <w:rsid w:val="004365B2"/>
    <w:rsid w:val="00440675"/>
    <w:rsid w:val="0045212A"/>
    <w:rsid w:val="004653B8"/>
    <w:rsid w:val="00473CDE"/>
    <w:rsid w:val="004743B3"/>
    <w:rsid w:val="004C008D"/>
    <w:rsid w:val="004C400D"/>
    <w:rsid w:val="004D48D7"/>
    <w:rsid w:val="0050291C"/>
    <w:rsid w:val="005272D8"/>
    <w:rsid w:val="00530385"/>
    <w:rsid w:val="00531FA0"/>
    <w:rsid w:val="00532879"/>
    <w:rsid w:val="0054108D"/>
    <w:rsid w:val="00546B8B"/>
    <w:rsid w:val="005503D1"/>
    <w:rsid w:val="00552B99"/>
    <w:rsid w:val="00563A82"/>
    <w:rsid w:val="00565025"/>
    <w:rsid w:val="00576004"/>
    <w:rsid w:val="0058572A"/>
    <w:rsid w:val="005A4204"/>
    <w:rsid w:val="005B5076"/>
    <w:rsid w:val="005B7D5C"/>
    <w:rsid w:val="005C280B"/>
    <w:rsid w:val="005D008D"/>
    <w:rsid w:val="005D2FBD"/>
    <w:rsid w:val="005D6922"/>
    <w:rsid w:val="005E7D78"/>
    <w:rsid w:val="005F506E"/>
    <w:rsid w:val="00624597"/>
    <w:rsid w:val="00642F1B"/>
    <w:rsid w:val="006463F3"/>
    <w:rsid w:val="00672B4C"/>
    <w:rsid w:val="00692D93"/>
    <w:rsid w:val="006A1621"/>
    <w:rsid w:val="006A7356"/>
    <w:rsid w:val="006B2538"/>
    <w:rsid w:val="006B32DC"/>
    <w:rsid w:val="006D2D73"/>
    <w:rsid w:val="006D4B96"/>
    <w:rsid w:val="006E0C74"/>
    <w:rsid w:val="006E51F2"/>
    <w:rsid w:val="006E75F3"/>
    <w:rsid w:val="006F1159"/>
    <w:rsid w:val="006F5014"/>
    <w:rsid w:val="006F64C1"/>
    <w:rsid w:val="006F7FA8"/>
    <w:rsid w:val="00703E14"/>
    <w:rsid w:val="00711912"/>
    <w:rsid w:val="00711AEC"/>
    <w:rsid w:val="00716964"/>
    <w:rsid w:val="007209E3"/>
    <w:rsid w:val="007226FB"/>
    <w:rsid w:val="0072458C"/>
    <w:rsid w:val="007264FC"/>
    <w:rsid w:val="00754EF6"/>
    <w:rsid w:val="007755EB"/>
    <w:rsid w:val="00782159"/>
    <w:rsid w:val="00782749"/>
    <w:rsid w:val="00790D8B"/>
    <w:rsid w:val="007915D9"/>
    <w:rsid w:val="007A6EEF"/>
    <w:rsid w:val="007B7379"/>
    <w:rsid w:val="007F1B43"/>
    <w:rsid w:val="007F394D"/>
    <w:rsid w:val="007F7FD4"/>
    <w:rsid w:val="00807067"/>
    <w:rsid w:val="008104D1"/>
    <w:rsid w:val="00815033"/>
    <w:rsid w:val="00847706"/>
    <w:rsid w:val="008664F8"/>
    <w:rsid w:val="00877032"/>
    <w:rsid w:val="00880D0D"/>
    <w:rsid w:val="008872A2"/>
    <w:rsid w:val="00895A64"/>
    <w:rsid w:val="00896AE9"/>
    <w:rsid w:val="008B02AA"/>
    <w:rsid w:val="008B0C77"/>
    <w:rsid w:val="008B52EC"/>
    <w:rsid w:val="008C1708"/>
    <w:rsid w:val="008C5ABD"/>
    <w:rsid w:val="008D28A9"/>
    <w:rsid w:val="008E26A2"/>
    <w:rsid w:val="008F2267"/>
    <w:rsid w:val="009078E5"/>
    <w:rsid w:val="00910498"/>
    <w:rsid w:val="00921FB2"/>
    <w:rsid w:val="00930409"/>
    <w:rsid w:val="00931A9D"/>
    <w:rsid w:val="0094593B"/>
    <w:rsid w:val="00954B4B"/>
    <w:rsid w:val="009736AC"/>
    <w:rsid w:val="00973B79"/>
    <w:rsid w:val="00993E1A"/>
    <w:rsid w:val="00995B18"/>
    <w:rsid w:val="009A53B2"/>
    <w:rsid w:val="009A692B"/>
    <w:rsid w:val="009A6CD4"/>
    <w:rsid w:val="009A7D21"/>
    <w:rsid w:val="009A7EAB"/>
    <w:rsid w:val="009C453B"/>
    <w:rsid w:val="009C7F6B"/>
    <w:rsid w:val="009D121B"/>
    <w:rsid w:val="009E1C0B"/>
    <w:rsid w:val="009F1B75"/>
    <w:rsid w:val="009F39C7"/>
    <w:rsid w:val="00A01F97"/>
    <w:rsid w:val="00A0718B"/>
    <w:rsid w:val="00A11D79"/>
    <w:rsid w:val="00A21A6D"/>
    <w:rsid w:val="00A308CD"/>
    <w:rsid w:val="00A3699B"/>
    <w:rsid w:val="00A407D1"/>
    <w:rsid w:val="00A419CE"/>
    <w:rsid w:val="00A41FCF"/>
    <w:rsid w:val="00A56A0B"/>
    <w:rsid w:val="00A6107F"/>
    <w:rsid w:val="00A900A6"/>
    <w:rsid w:val="00AA1FAA"/>
    <w:rsid w:val="00AA3003"/>
    <w:rsid w:val="00AB1EF6"/>
    <w:rsid w:val="00AB48CD"/>
    <w:rsid w:val="00AB5B2E"/>
    <w:rsid w:val="00AC139B"/>
    <w:rsid w:val="00AD7784"/>
    <w:rsid w:val="00AE1875"/>
    <w:rsid w:val="00AE5FBD"/>
    <w:rsid w:val="00AF082B"/>
    <w:rsid w:val="00AF42ED"/>
    <w:rsid w:val="00B24563"/>
    <w:rsid w:val="00B635BA"/>
    <w:rsid w:val="00B721E9"/>
    <w:rsid w:val="00B86E5E"/>
    <w:rsid w:val="00B919A9"/>
    <w:rsid w:val="00B91D4E"/>
    <w:rsid w:val="00BA1B54"/>
    <w:rsid w:val="00BA4074"/>
    <w:rsid w:val="00BB2497"/>
    <w:rsid w:val="00BB372B"/>
    <w:rsid w:val="00BB6B57"/>
    <w:rsid w:val="00BE1C4C"/>
    <w:rsid w:val="00BE4360"/>
    <w:rsid w:val="00BE6A3B"/>
    <w:rsid w:val="00BF44E2"/>
    <w:rsid w:val="00C15174"/>
    <w:rsid w:val="00C27838"/>
    <w:rsid w:val="00C30CAF"/>
    <w:rsid w:val="00C31382"/>
    <w:rsid w:val="00C45F21"/>
    <w:rsid w:val="00C57E4D"/>
    <w:rsid w:val="00C605BD"/>
    <w:rsid w:val="00C61BF6"/>
    <w:rsid w:val="00C61DC5"/>
    <w:rsid w:val="00C62DF3"/>
    <w:rsid w:val="00C71383"/>
    <w:rsid w:val="00C955CC"/>
    <w:rsid w:val="00CA575A"/>
    <w:rsid w:val="00CC1267"/>
    <w:rsid w:val="00CD5341"/>
    <w:rsid w:val="00CD7CFA"/>
    <w:rsid w:val="00CF2ADD"/>
    <w:rsid w:val="00D07CEE"/>
    <w:rsid w:val="00D33DD6"/>
    <w:rsid w:val="00D4613F"/>
    <w:rsid w:val="00D470B7"/>
    <w:rsid w:val="00D5318C"/>
    <w:rsid w:val="00D554FC"/>
    <w:rsid w:val="00D65E37"/>
    <w:rsid w:val="00D67C1E"/>
    <w:rsid w:val="00D768AE"/>
    <w:rsid w:val="00D81E3D"/>
    <w:rsid w:val="00D9042B"/>
    <w:rsid w:val="00D9471B"/>
    <w:rsid w:val="00DA16BE"/>
    <w:rsid w:val="00DB13AB"/>
    <w:rsid w:val="00DB2FC5"/>
    <w:rsid w:val="00DC0F1A"/>
    <w:rsid w:val="00DC322C"/>
    <w:rsid w:val="00DD092F"/>
    <w:rsid w:val="00DD25C2"/>
    <w:rsid w:val="00DD29C7"/>
    <w:rsid w:val="00DE344D"/>
    <w:rsid w:val="00E23ED2"/>
    <w:rsid w:val="00E24E38"/>
    <w:rsid w:val="00E25EAB"/>
    <w:rsid w:val="00E35BB7"/>
    <w:rsid w:val="00E52DC0"/>
    <w:rsid w:val="00E5662D"/>
    <w:rsid w:val="00E64681"/>
    <w:rsid w:val="00E67B49"/>
    <w:rsid w:val="00E708C0"/>
    <w:rsid w:val="00E774D0"/>
    <w:rsid w:val="00E8388E"/>
    <w:rsid w:val="00E93D3D"/>
    <w:rsid w:val="00EA5F52"/>
    <w:rsid w:val="00EA6B16"/>
    <w:rsid w:val="00EC282F"/>
    <w:rsid w:val="00EC3F0C"/>
    <w:rsid w:val="00ED7C8E"/>
    <w:rsid w:val="00EE2E07"/>
    <w:rsid w:val="00EF3B2C"/>
    <w:rsid w:val="00EF7B17"/>
    <w:rsid w:val="00F0364D"/>
    <w:rsid w:val="00F06CB4"/>
    <w:rsid w:val="00F16C5D"/>
    <w:rsid w:val="00F20B13"/>
    <w:rsid w:val="00F43CD6"/>
    <w:rsid w:val="00F453E0"/>
    <w:rsid w:val="00F75F93"/>
    <w:rsid w:val="00F93042"/>
    <w:rsid w:val="00FB1480"/>
    <w:rsid w:val="00FC2E03"/>
    <w:rsid w:val="00FE0DF3"/>
    <w:rsid w:val="00FF5D03"/>
    <w:rsid w:val="017D6CAC"/>
    <w:rsid w:val="032E032B"/>
    <w:rsid w:val="06C00E35"/>
    <w:rsid w:val="06FF01E3"/>
    <w:rsid w:val="079E2D81"/>
    <w:rsid w:val="07DE4949"/>
    <w:rsid w:val="0AC70547"/>
    <w:rsid w:val="0B9305F3"/>
    <w:rsid w:val="11BA6D41"/>
    <w:rsid w:val="13D55B3B"/>
    <w:rsid w:val="14E86690"/>
    <w:rsid w:val="150E0BEF"/>
    <w:rsid w:val="1BAC4A3F"/>
    <w:rsid w:val="1D250D28"/>
    <w:rsid w:val="1D35257F"/>
    <w:rsid w:val="1DE115E6"/>
    <w:rsid w:val="1FE522C9"/>
    <w:rsid w:val="20710BA0"/>
    <w:rsid w:val="212B680C"/>
    <w:rsid w:val="21957CFB"/>
    <w:rsid w:val="21E168F7"/>
    <w:rsid w:val="25765C5B"/>
    <w:rsid w:val="25FA04BE"/>
    <w:rsid w:val="27BE4BC9"/>
    <w:rsid w:val="2A5F76A7"/>
    <w:rsid w:val="2E930CA6"/>
    <w:rsid w:val="306B420F"/>
    <w:rsid w:val="31DE3F69"/>
    <w:rsid w:val="31FA78C9"/>
    <w:rsid w:val="3251052E"/>
    <w:rsid w:val="336D11D4"/>
    <w:rsid w:val="349A0242"/>
    <w:rsid w:val="34AA7629"/>
    <w:rsid w:val="36133631"/>
    <w:rsid w:val="3630423C"/>
    <w:rsid w:val="365D3C9D"/>
    <w:rsid w:val="37CB49D6"/>
    <w:rsid w:val="37F91E23"/>
    <w:rsid w:val="386E3C4F"/>
    <w:rsid w:val="39FE745E"/>
    <w:rsid w:val="3B11783C"/>
    <w:rsid w:val="3BA351C7"/>
    <w:rsid w:val="3E4C1288"/>
    <w:rsid w:val="3F62581A"/>
    <w:rsid w:val="41E632D0"/>
    <w:rsid w:val="42C1472B"/>
    <w:rsid w:val="42CB10C3"/>
    <w:rsid w:val="47EA27A6"/>
    <w:rsid w:val="48390484"/>
    <w:rsid w:val="491A6D34"/>
    <w:rsid w:val="49282A59"/>
    <w:rsid w:val="49D65724"/>
    <w:rsid w:val="4CC509F3"/>
    <w:rsid w:val="4F6B77E2"/>
    <w:rsid w:val="4FE36E0E"/>
    <w:rsid w:val="506E4108"/>
    <w:rsid w:val="51792412"/>
    <w:rsid w:val="52BE46C2"/>
    <w:rsid w:val="5626452D"/>
    <w:rsid w:val="56CD1C69"/>
    <w:rsid w:val="57B246F7"/>
    <w:rsid w:val="58234DF6"/>
    <w:rsid w:val="59990F8E"/>
    <w:rsid w:val="5BB8744A"/>
    <w:rsid w:val="5CFC7B80"/>
    <w:rsid w:val="5F2E4C04"/>
    <w:rsid w:val="612E3E77"/>
    <w:rsid w:val="62DE4C0C"/>
    <w:rsid w:val="64F03DDC"/>
    <w:rsid w:val="659B25C2"/>
    <w:rsid w:val="65DC7FE3"/>
    <w:rsid w:val="65F473E3"/>
    <w:rsid w:val="66046D19"/>
    <w:rsid w:val="6B93050E"/>
    <w:rsid w:val="6DD4554E"/>
    <w:rsid w:val="6F670110"/>
    <w:rsid w:val="70814235"/>
    <w:rsid w:val="71234EE2"/>
    <w:rsid w:val="71586AAF"/>
    <w:rsid w:val="74A83AA4"/>
    <w:rsid w:val="76AD5E73"/>
    <w:rsid w:val="78617F03"/>
    <w:rsid w:val="791150DD"/>
    <w:rsid w:val="7932257B"/>
    <w:rsid w:val="7AEC1A18"/>
    <w:rsid w:val="7B483490"/>
    <w:rsid w:val="7D9F7FB7"/>
    <w:rsid w:val="7ED04278"/>
    <w:rsid w:val="7FAC68CC"/>
    <w:rsid w:val="7FF37A2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AB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17ABD"/>
    <w:pPr>
      <w:ind w:leftChars="2500" w:left="100"/>
    </w:pPr>
    <w:rPr>
      <w:kern w:val="0"/>
      <w:sz w:val="24"/>
      <w:szCs w:val="24"/>
    </w:rPr>
  </w:style>
  <w:style w:type="character" w:customStyle="1" w:styleId="DateChar">
    <w:name w:val="Date Char"/>
    <w:basedOn w:val="DefaultParagraphFont"/>
    <w:link w:val="Date"/>
    <w:uiPriority w:val="99"/>
    <w:semiHidden/>
    <w:locked/>
    <w:rsid w:val="00417ABD"/>
    <w:rPr>
      <w:rFonts w:cs="Times New Roman"/>
      <w:sz w:val="24"/>
    </w:rPr>
  </w:style>
  <w:style w:type="paragraph" w:styleId="BalloonText">
    <w:name w:val="Balloon Text"/>
    <w:basedOn w:val="Normal"/>
    <w:link w:val="BalloonTextChar"/>
    <w:uiPriority w:val="99"/>
    <w:semiHidden/>
    <w:rsid w:val="00417ABD"/>
    <w:rPr>
      <w:sz w:val="18"/>
      <w:szCs w:val="18"/>
    </w:rPr>
  </w:style>
  <w:style w:type="character" w:customStyle="1" w:styleId="BalloonTextChar">
    <w:name w:val="Balloon Text Char"/>
    <w:basedOn w:val="DefaultParagraphFont"/>
    <w:link w:val="BalloonText"/>
    <w:uiPriority w:val="99"/>
    <w:locked/>
    <w:rsid w:val="00417ABD"/>
    <w:rPr>
      <w:rFonts w:cs="Times New Roman"/>
      <w:kern w:val="2"/>
      <w:sz w:val="18"/>
    </w:rPr>
  </w:style>
  <w:style w:type="paragraph" w:styleId="Footer">
    <w:name w:val="footer"/>
    <w:basedOn w:val="Normal"/>
    <w:link w:val="FooterChar"/>
    <w:uiPriority w:val="99"/>
    <w:rsid w:val="00417AB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17ABD"/>
    <w:rPr>
      <w:rFonts w:cs="Times New Roman"/>
      <w:kern w:val="2"/>
      <w:sz w:val="18"/>
    </w:rPr>
  </w:style>
  <w:style w:type="paragraph" w:styleId="Header">
    <w:name w:val="header"/>
    <w:basedOn w:val="Normal"/>
    <w:link w:val="HeaderChar"/>
    <w:uiPriority w:val="99"/>
    <w:rsid w:val="00417AB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17ABD"/>
    <w:rPr>
      <w:rFonts w:cs="Times New Roman"/>
      <w:kern w:val="2"/>
      <w:sz w:val="18"/>
    </w:rPr>
  </w:style>
  <w:style w:type="paragraph" w:styleId="NormalWeb">
    <w:name w:val="Normal (Web)"/>
    <w:basedOn w:val="Normal"/>
    <w:uiPriority w:val="99"/>
    <w:rsid w:val="00417ABD"/>
    <w:rPr>
      <w:sz w:val="24"/>
      <w:szCs w:val="24"/>
    </w:rPr>
  </w:style>
  <w:style w:type="character" w:styleId="PageNumber">
    <w:name w:val="page number"/>
    <w:basedOn w:val="DefaultParagraphFont"/>
    <w:uiPriority w:val="99"/>
    <w:rsid w:val="00417AB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8</Pages>
  <Words>560</Words>
  <Characters>3195</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63</cp:revision>
  <cp:lastPrinted>2016-08-09T05:11:00Z</cp:lastPrinted>
  <dcterms:created xsi:type="dcterms:W3CDTF">2016-08-19T11:26:00Z</dcterms:created>
  <dcterms:modified xsi:type="dcterms:W3CDTF">2019-01-12T12:52:00Z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