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B83" w:rsidRDefault="00030B83">
      <w:pPr>
        <w:jc w:val="center"/>
        <w:rPr>
          <w:rFonts w:ascii="宋体" w:cs="宋体"/>
          <w:sz w:val="44"/>
          <w:szCs w:val="44"/>
        </w:rPr>
      </w:pPr>
    </w:p>
    <w:p w:rsidR="00030B83" w:rsidRDefault="00030B83">
      <w:pPr>
        <w:jc w:val="center"/>
        <w:rPr>
          <w:rFonts w:ascii="宋体" w:cs="宋体"/>
          <w:sz w:val="44"/>
          <w:szCs w:val="44"/>
        </w:rPr>
      </w:pPr>
      <w:r>
        <w:rPr>
          <w:rFonts w:ascii="宋体" w:hAnsi="宋体" w:cs="宋体"/>
          <w:sz w:val="44"/>
          <w:szCs w:val="44"/>
        </w:rPr>
        <w:t>2015</w:t>
      </w:r>
      <w:r>
        <w:rPr>
          <w:rFonts w:ascii="宋体" w:hAnsi="宋体" w:cs="宋体" w:hint="eastAsia"/>
          <w:sz w:val="44"/>
          <w:szCs w:val="44"/>
        </w:rPr>
        <w:t>年喀什地区塔什库尔干县干休所部门决算说明</w:t>
      </w:r>
    </w:p>
    <w:p w:rsidR="00030B83" w:rsidRDefault="00030B83">
      <w:pPr>
        <w:spacing w:line="560" w:lineRule="exact"/>
        <w:jc w:val="center"/>
        <w:rPr>
          <w:rFonts w:ascii="仿宋_GB2312" w:eastAsia="仿宋_GB2312" w:hAnsi="宋体"/>
          <w:b/>
          <w:bCs/>
          <w:sz w:val="32"/>
          <w:szCs w:val="32"/>
        </w:rPr>
      </w:pPr>
    </w:p>
    <w:p w:rsidR="00030B83" w:rsidRDefault="00030B83">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塔什库尔干县干休所单位性质为行政单位全额拨款，执行会计制度为行政会</w:t>
      </w:r>
      <w:bookmarkStart w:id="0" w:name="_GoBack"/>
      <w:bookmarkEnd w:id="0"/>
      <w:r>
        <w:rPr>
          <w:rFonts w:ascii="仿宋_GB2312" w:eastAsia="仿宋_GB2312" w:hAnsi="宋体" w:cs="仿宋_GB2312" w:hint="eastAsia"/>
          <w:sz w:val="32"/>
          <w:szCs w:val="32"/>
        </w:rPr>
        <w:t>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一、主要职能：</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1.</w:t>
      </w:r>
      <w:r>
        <w:rPr>
          <w:rFonts w:ascii="仿宋_GB2312" w:eastAsia="仿宋_GB2312" w:hAnsi="宋体" w:cs="仿宋_GB2312" w:hint="eastAsia"/>
          <w:sz w:val="32"/>
          <w:szCs w:val="32"/>
        </w:rPr>
        <w:t>在老干部政治待遇的落实上，坚持抓好老干部的政治学习，坚持阅文制度，坚持重要情况通报制度，坚持抓好老干部党支部建设，坚持一年不少于两至三次就近就地参观工农业生产和改革开放成果等重要制度，从政治上关心好老干部，充分发挥他们的政治优势，发挥他们在”三个文明“建设中的作用。</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w:t>
      </w:r>
      <w:r>
        <w:rPr>
          <w:rFonts w:ascii="仿宋_GB2312" w:eastAsia="仿宋_GB2312" w:hAnsi="宋体" w:cs="仿宋_GB2312" w:hint="eastAsia"/>
          <w:sz w:val="32"/>
          <w:szCs w:val="32"/>
        </w:rPr>
        <w:t>．认真落实好老干部的生活待遇。加强与老干部原单位的联系，确保老干部的离休金、特需费、交通费、护理费、公用经费及时兑现，确保医药费及时实报实销；老干部去世后，积极协助老干部原单位做好善后工作。</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3</w:t>
      </w:r>
      <w:r>
        <w:rPr>
          <w:rFonts w:ascii="仿宋_GB2312" w:eastAsia="仿宋_GB2312" w:hAnsi="宋体" w:cs="仿宋_GB2312" w:hint="eastAsia"/>
          <w:sz w:val="32"/>
          <w:szCs w:val="32"/>
        </w:rPr>
        <w:t>．认真做好老干部的日常服务工作。全心全意为老干部服务，保障好老干部的用车、用水、用电；保证老干部小病不出所，大病及时送；保障好老干部的生命和财产安全；保障好老干部有一个环境优美、团结和谐的生活环境。</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4</w:t>
      </w:r>
      <w:r>
        <w:rPr>
          <w:rFonts w:ascii="仿宋_GB2312" w:eastAsia="仿宋_GB2312" w:hAnsi="宋体" w:cs="仿宋_GB2312" w:hint="eastAsia"/>
          <w:sz w:val="32"/>
          <w:szCs w:val="32"/>
        </w:rPr>
        <w:t>．认真做好塔什库尔干县干休所房屋、设施、设备、车辆的管理工作，搞好房屋公共部分的修缮；维护和使用好老干部活动场地、活动器材。</w:t>
      </w:r>
    </w:p>
    <w:p w:rsidR="00030B83" w:rsidRDefault="00030B83">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3</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1</w:t>
      </w:r>
      <w:r>
        <w:rPr>
          <w:rFonts w:ascii="仿宋_GB2312" w:eastAsia="仿宋_GB2312" w:hAnsi="宋体" w:cs="仿宋_GB2312" w:hint="eastAsia"/>
          <w:sz w:val="32"/>
          <w:szCs w:val="32"/>
        </w:rPr>
        <w:t>人，退休</w:t>
      </w:r>
      <w:r>
        <w:rPr>
          <w:rFonts w:ascii="仿宋_GB2312" w:eastAsia="仿宋_GB2312" w:hAnsi="宋体" w:cs="仿宋_GB2312"/>
          <w:sz w:val="32"/>
          <w:szCs w:val="32"/>
        </w:rPr>
        <w:t>33</w:t>
      </w:r>
      <w:r>
        <w:rPr>
          <w:rFonts w:ascii="仿宋_GB2312" w:eastAsia="仿宋_GB2312" w:hAnsi="宋体" w:cs="仿宋_GB2312" w:hint="eastAsia"/>
          <w:sz w:val="32"/>
          <w:szCs w:val="32"/>
        </w:rPr>
        <w:t>人，属于一般公共预算财政拨款（补助）开支</w:t>
      </w:r>
      <w:r>
        <w:rPr>
          <w:rFonts w:ascii="仿宋_GB2312" w:eastAsia="仿宋_GB2312" w:hAnsi="宋体" w:cs="仿宋_GB2312"/>
          <w:sz w:val="32"/>
          <w:szCs w:val="32"/>
        </w:rPr>
        <w:t>34</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w:t>
      </w:r>
      <w:r>
        <w:rPr>
          <w:rFonts w:ascii="仿宋_GB2312" w:eastAsia="仿宋_GB2312" w:hAnsi="宋体" w:cs="仿宋_GB2312" w:hint="eastAsia"/>
          <w:sz w:val="32"/>
          <w:szCs w:val="32"/>
        </w:rPr>
        <w:t>人，退休</w:t>
      </w:r>
      <w:r>
        <w:rPr>
          <w:rFonts w:ascii="仿宋_GB2312" w:eastAsia="仿宋_GB2312" w:hAnsi="宋体" w:cs="仿宋_GB2312"/>
          <w:sz w:val="32"/>
          <w:szCs w:val="32"/>
        </w:rPr>
        <w:t xml:space="preserve"> 33 </w:t>
      </w:r>
      <w:r>
        <w:rPr>
          <w:rFonts w:ascii="仿宋_GB2312" w:eastAsia="仿宋_GB2312" w:hAnsi="宋体" w:cs="仿宋_GB2312" w:hint="eastAsia"/>
          <w:sz w:val="32"/>
          <w:szCs w:val="32"/>
        </w:rPr>
        <w:t>人。</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纳入塔什库尔干县干休所</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02"/>
        <w:gridCol w:w="5205"/>
        <w:gridCol w:w="1715"/>
      </w:tblGrid>
      <w:tr w:rsidR="00030B83">
        <w:tc>
          <w:tcPr>
            <w:tcW w:w="1602" w:type="dxa"/>
          </w:tcPr>
          <w:p w:rsidR="00030B83" w:rsidRDefault="00030B83">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序号</w:t>
            </w:r>
          </w:p>
        </w:tc>
        <w:tc>
          <w:tcPr>
            <w:tcW w:w="5205" w:type="dxa"/>
          </w:tcPr>
          <w:p w:rsidR="00030B83" w:rsidRDefault="00030B83">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715" w:type="dxa"/>
          </w:tcPr>
          <w:p w:rsidR="00030B83" w:rsidRDefault="00030B83">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030B83">
        <w:tc>
          <w:tcPr>
            <w:tcW w:w="1602" w:type="dxa"/>
          </w:tcPr>
          <w:p w:rsidR="00030B83" w:rsidRDefault="00030B83">
            <w:pPr>
              <w:spacing w:line="560" w:lineRule="exact"/>
              <w:rPr>
                <w:rFonts w:ascii="仿宋_GB2312" w:eastAsia="仿宋_GB2312" w:cs="仿宋_GB2312"/>
                <w:sz w:val="32"/>
                <w:szCs w:val="32"/>
              </w:rPr>
            </w:pPr>
            <w:r>
              <w:rPr>
                <w:rFonts w:ascii="仿宋_GB2312" w:eastAsia="仿宋_GB2312" w:cs="仿宋_GB2312"/>
                <w:sz w:val="32"/>
                <w:szCs w:val="32"/>
              </w:rPr>
              <w:t xml:space="preserve">    1</w:t>
            </w:r>
          </w:p>
        </w:tc>
        <w:tc>
          <w:tcPr>
            <w:tcW w:w="5205" w:type="dxa"/>
          </w:tcPr>
          <w:p w:rsidR="00030B83" w:rsidRDefault="00030B83">
            <w:pPr>
              <w:spacing w:line="560" w:lineRule="exact"/>
              <w:rPr>
                <w:rFonts w:ascii="仿宋_GB2312" w:eastAsia="仿宋_GB2312"/>
                <w:sz w:val="32"/>
                <w:szCs w:val="32"/>
              </w:rPr>
            </w:pPr>
            <w:r>
              <w:rPr>
                <w:rFonts w:ascii="仿宋_GB2312" w:eastAsia="仿宋_GB2312" w:cs="仿宋_GB2312" w:hint="eastAsia"/>
                <w:sz w:val="32"/>
                <w:szCs w:val="32"/>
              </w:rPr>
              <w:t>塔什库尔干县干休所</w:t>
            </w:r>
          </w:p>
        </w:tc>
        <w:tc>
          <w:tcPr>
            <w:tcW w:w="1715" w:type="dxa"/>
          </w:tcPr>
          <w:p w:rsidR="00030B83" w:rsidRDefault="00030B83">
            <w:pPr>
              <w:spacing w:line="560" w:lineRule="exact"/>
              <w:rPr>
                <w:rFonts w:ascii="仿宋_GB2312" w:eastAsia="仿宋_GB2312"/>
                <w:sz w:val="32"/>
                <w:szCs w:val="32"/>
              </w:rPr>
            </w:pPr>
          </w:p>
        </w:tc>
      </w:tr>
    </w:tbl>
    <w:p w:rsidR="00030B83" w:rsidRDefault="00030B83">
      <w:pPr>
        <w:snapToGrid w:val="0"/>
        <w:spacing w:line="560" w:lineRule="exact"/>
        <w:ind w:firstLineChars="200" w:firstLine="643"/>
        <w:rPr>
          <w:rFonts w:ascii="仿宋_GB2312" w:eastAsia="仿宋_GB2312" w:hAnsi="宋体"/>
          <w:b/>
          <w:bCs/>
          <w:sz w:val="32"/>
          <w:szCs w:val="32"/>
        </w:rPr>
      </w:pPr>
      <w:bookmarkStart w:id="1" w:name="YS060102"/>
    </w:p>
    <w:p w:rsidR="00030B83" w:rsidRDefault="00030B83">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塔什库尔干县干休所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一、收入支出决算总表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二、财政拨款收入支出决算总表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三、收入支出决算表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四、收入决算表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五、支出决算表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六、支出决算明细表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七、基本支出决算明细表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八、项目支出决算明细表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九、项目收入支出决算表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十、行政事业类项目收入支出决算表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十一、基本建设类项目收入支出决算表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十二、一般公共预算财政拨款收入支出决算表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十三、一般公共预算财政拨款支出决算明细表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十四、一般公共预算财政拨款基本支出决算表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十五、一般公共预算财政拨款项目支出决算表</w:t>
      </w:r>
      <w:r w:rsidRPr="00352014">
        <w:rPr>
          <w:rFonts w:ascii="仿宋_GB2312" w:eastAsia="仿宋_GB2312" w:hAnsi="宋体" w:cs="仿宋_GB2312"/>
          <w:sz w:val="32"/>
          <w:szCs w:val="32"/>
        </w:rPr>
        <w:t xml:space="preserve"> </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十六、政府性基金预算财政拨款收入支出决算表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十七、政府性基金预算财政拨款支出决算明细表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十八、政府性基金预算财政拨款基本支出决算明细表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十九、政府性基金预算财政拨款项目支出决算明细表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二十、财政专户管理资金收入支出决算表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二十一、资产负债表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二十二、部门决算相关信息统计表</w:t>
      </w:r>
    </w:p>
    <w:p w:rsidR="00030B83" w:rsidRPr="00352014"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二十三、政府采购情况表</w:t>
      </w:r>
    </w:p>
    <w:p w:rsidR="00030B83" w:rsidRDefault="00030B83" w:rsidP="00352014">
      <w:pPr>
        <w:snapToGrid w:val="0"/>
        <w:spacing w:line="560" w:lineRule="exact"/>
        <w:ind w:firstLineChars="148" w:firstLine="474"/>
        <w:rPr>
          <w:rFonts w:ascii="仿宋_GB2312" w:eastAsia="仿宋_GB2312" w:hAnsi="宋体" w:cs="仿宋_GB2312"/>
          <w:sz w:val="32"/>
          <w:szCs w:val="32"/>
        </w:rPr>
      </w:pPr>
      <w:r w:rsidRPr="00352014">
        <w:rPr>
          <w:rFonts w:ascii="仿宋_GB2312" w:eastAsia="仿宋_GB2312" w:hAnsi="宋体" w:cs="仿宋_GB2312" w:hint="eastAsia"/>
          <w:sz w:val="32"/>
          <w:szCs w:val="32"/>
        </w:rPr>
        <w:t>二十四、</w:t>
      </w:r>
      <w:r w:rsidRPr="00352014">
        <w:rPr>
          <w:rFonts w:ascii="仿宋_GB2312" w:eastAsia="仿宋_GB2312" w:hAnsi="宋体" w:cs="仿宋_GB2312"/>
          <w:sz w:val="32"/>
          <w:szCs w:val="32"/>
        </w:rPr>
        <w:t>2015</w:t>
      </w:r>
      <w:r w:rsidRPr="00352014">
        <w:rPr>
          <w:rFonts w:ascii="仿宋_GB2312" w:eastAsia="仿宋_GB2312" w:hAnsi="宋体" w:cs="仿宋_GB2312" w:hint="eastAsia"/>
          <w:sz w:val="32"/>
          <w:szCs w:val="32"/>
        </w:rPr>
        <w:t>年度财政拨款“三公”经费支出表及说明</w:t>
      </w:r>
    </w:p>
    <w:p w:rsidR="00030B83" w:rsidRPr="00352014" w:rsidRDefault="00030B83" w:rsidP="00352014">
      <w:pPr>
        <w:snapToGrid w:val="0"/>
        <w:spacing w:line="560" w:lineRule="exact"/>
        <w:ind w:firstLineChars="148" w:firstLine="475"/>
        <w:rPr>
          <w:rFonts w:ascii="仿宋_GB2312" w:eastAsia="仿宋_GB2312" w:hAnsi="宋体" w:cs="仿宋_GB2312"/>
          <w:b/>
          <w:bCs/>
          <w:sz w:val="32"/>
          <w:szCs w:val="32"/>
        </w:rPr>
      </w:pPr>
    </w:p>
    <w:p w:rsidR="00030B83" w:rsidRDefault="00030B83">
      <w:pPr>
        <w:snapToGrid w:val="0"/>
        <w:spacing w:line="560" w:lineRule="exact"/>
        <w:ind w:firstLineChars="148" w:firstLine="475"/>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塔什库尔干县干休所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030B83" w:rsidRDefault="00030B8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030B83" w:rsidRDefault="00030B8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3,515,292.06</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3,515,292.06</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3,515,292.06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bookmarkEnd w:id="1"/>
    <w:p w:rsidR="00030B83" w:rsidRDefault="00030B83">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030B83" w:rsidRDefault="00030B8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3,515,292.06</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3,515,292.06</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0</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30B83" w:rsidRDefault="00030B83">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030B83" w:rsidRDefault="00030B8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 xml:space="preserve">3,515,292.06 </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3,515,292.06</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30B83" w:rsidRDefault="00030B83">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030B83" w:rsidRDefault="00030B83">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，主要为无，项目支出结转结余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，主要为无）。</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3,515,292.06</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732269.37</w:t>
      </w:r>
      <w:r>
        <w:rPr>
          <w:rFonts w:ascii="仿宋_GB2312" w:eastAsia="仿宋_GB2312" w:hAnsi="宋体" w:cs="仿宋_GB2312" w:hint="eastAsia"/>
          <w:sz w:val="32"/>
          <w:szCs w:val="32"/>
        </w:rPr>
        <w:t>元，增加原因：人员工资增加。</w:t>
      </w:r>
    </w:p>
    <w:p w:rsidR="00030B83" w:rsidRDefault="00030B83">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3,515,292.06</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732269.37</w:t>
      </w:r>
      <w:r>
        <w:rPr>
          <w:rFonts w:ascii="仿宋_GB2312" w:eastAsia="仿宋_GB2312" w:hAnsi="宋体" w:cs="仿宋_GB2312" w:hint="eastAsia"/>
          <w:sz w:val="32"/>
          <w:szCs w:val="32"/>
        </w:rPr>
        <w:t>元，增加原因：人员工资增加。</w:t>
      </w:r>
    </w:p>
    <w:p w:rsidR="00030B83" w:rsidRDefault="00030B83">
      <w:pPr>
        <w:snapToGrid w:val="0"/>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3515292.06</w:t>
      </w:r>
      <w:r>
        <w:rPr>
          <w:rFonts w:ascii="仿宋_GB2312" w:eastAsia="仿宋_GB2312" w:hAnsi="宋体" w:cs="仿宋_GB2312" w:hint="eastAsia"/>
          <w:sz w:val="32"/>
          <w:szCs w:val="32"/>
        </w:rPr>
        <w:t>元，年预算数</w:t>
      </w:r>
      <w:r>
        <w:rPr>
          <w:rFonts w:ascii="仿宋_GB2312" w:eastAsia="仿宋_GB2312" w:hAnsi="宋体" w:cs="仿宋_GB2312"/>
          <w:sz w:val="32"/>
          <w:szCs w:val="32"/>
        </w:rPr>
        <w:t>1498103.01</w:t>
      </w:r>
      <w:r>
        <w:rPr>
          <w:rFonts w:ascii="仿宋_GB2312" w:eastAsia="仿宋_GB2312" w:hAnsi="宋体" w:cs="仿宋_GB2312" w:hint="eastAsia"/>
          <w:sz w:val="32"/>
          <w:szCs w:val="32"/>
        </w:rPr>
        <w:t>元，差异原因：部分项目未纳入年初预算。</w:t>
      </w:r>
    </w:p>
    <w:p w:rsidR="00030B83" w:rsidRDefault="00030B83">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年塔什库尔干县干休所机关运行经费支出</w:t>
      </w:r>
      <w:r>
        <w:rPr>
          <w:rFonts w:ascii="仿宋_GB2312" w:eastAsia="仿宋_GB2312" w:cs="仿宋_GB2312"/>
          <w:sz w:val="32"/>
          <w:szCs w:val="32"/>
        </w:rPr>
        <w:t>30600</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年增加</w:t>
      </w:r>
      <w:r>
        <w:rPr>
          <w:rFonts w:ascii="仿宋_GB2312" w:eastAsia="仿宋_GB2312" w:cs="仿宋_GB2312"/>
          <w:sz w:val="32"/>
          <w:szCs w:val="32"/>
        </w:rPr>
        <w:t xml:space="preserve">17100 </w:t>
      </w:r>
      <w:r>
        <w:rPr>
          <w:rFonts w:ascii="仿宋_GB2312" w:eastAsia="仿宋_GB2312" w:cs="仿宋_GB2312" w:hint="eastAsia"/>
          <w:sz w:val="32"/>
          <w:szCs w:val="32"/>
        </w:rPr>
        <w:t>元，增长</w:t>
      </w:r>
      <w:r>
        <w:rPr>
          <w:rFonts w:ascii="仿宋_GB2312" w:eastAsia="仿宋_GB2312" w:cs="仿宋_GB2312"/>
          <w:sz w:val="32"/>
          <w:szCs w:val="32"/>
        </w:rPr>
        <w:t xml:space="preserve">126.67% </w:t>
      </w:r>
      <w:r>
        <w:rPr>
          <w:rFonts w:ascii="仿宋_GB2312" w:eastAsia="仿宋_GB2312" w:cs="仿宋_GB2312" w:hint="eastAsia"/>
          <w:sz w:val="32"/>
          <w:szCs w:val="32"/>
        </w:rPr>
        <w:t>，主要原因是：</w:t>
      </w:r>
      <w:r>
        <w:rPr>
          <w:rFonts w:ascii="仿宋_GB2312" w:eastAsia="仿宋_GB2312" w:cs="仿宋_GB2312"/>
          <w:sz w:val="32"/>
          <w:szCs w:val="32"/>
        </w:rPr>
        <w:t>2015</w:t>
      </w:r>
      <w:r>
        <w:rPr>
          <w:rFonts w:ascii="仿宋_GB2312" w:eastAsia="仿宋_GB2312" w:cs="仿宋_GB2312" w:hint="eastAsia"/>
          <w:sz w:val="32"/>
          <w:szCs w:val="32"/>
        </w:rPr>
        <w:t>年支出长期欠电费款及房屋的维修费。</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年，塔什库尔干县干休所政府采购支出总额</w:t>
      </w:r>
      <w:r>
        <w:rPr>
          <w:rFonts w:ascii="仿宋_GB2312" w:eastAsia="仿宋_GB2312" w:cs="仿宋_GB2312"/>
          <w:sz w:val="32"/>
          <w:szCs w:val="32"/>
        </w:rPr>
        <w:t>0</w:t>
      </w:r>
      <w:r>
        <w:rPr>
          <w:rFonts w:ascii="仿宋_GB2312" w:eastAsia="仿宋_GB2312" w:cs="仿宋_GB2312" w:hint="eastAsia"/>
          <w:sz w:val="32"/>
          <w:szCs w:val="32"/>
        </w:rPr>
        <w:t>元，其中政府采购货物支出</w:t>
      </w:r>
      <w:r>
        <w:rPr>
          <w:rFonts w:ascii="仿宋_GB2312" w:eastAsia="仿宋_GB2312" w:cs="仿宋_GB2312"/>
          <w:sz w:val="32"/>
          <w:szCs w:val="32"/>
        </w:rPr>
        <w:t>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0</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年，塔什库尔干县干休所共组织对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030B83" w:rsidRDefault="00030B83">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030B83" w:rsidRDefault="00030B83">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030B83" w:rsidRDefault="00030B83">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030B83" w:rsidRDefault="00030B83">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030B83" w:rsidRDefault="00030B83">
      <w:pPr>
        <w:ind w:firstLineChars="200" w:firstLine="640"/>
        <w:rPr>
          <w:rFonts w:ascii="仿宋_GB2312" w:eastAsia="仿宋_GB2312"/>
          <w:sz w:val="32"/>
          <w:szCs w:val="32"/>
        </w:rPr>
      </w:pPr>
    </w:p>
    <w:sectPr w:rsidR="00030B83" w:rsidSect="00C510B9">
      <w:headerReference w:type="even" r:id="rId7"/>
      <w:headerReference w:type="default" r:id="rId8"/>
      <w:footerReference w:type="even" r:id="rId9"/>
      <w:footerReference w:type="default" r:id="rId10"/>
      <w:headerReference w:type="first" r:id="rId11"/>
      <w:footerReference w:type="first" r:id="rId12"/>
      <w:pgSz w:w="11906" w:h="16838"/>
      <w:pgMar w:top="1440" w:right="1588"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B83" w:rsidRDefault="00030B83" w:rsidP="00C510B9">
      <w:r>
        <w:separator/>
      </w:r>
    </w:p>
  </w:endnote>
  <w:endnote w:type="continuationSeparator" w:id="0">
    <w:p w:rsidR="00030B83" w:rsidRDefault="00030B83" w:rsidP="00C510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030B83" w:rsidRDefault="00030B83">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B83" w:rsidRDefault="00030B83" w:rsidP="00C510B9">
      <w:r>
        <w:separator/>
      </w:r>
    </w:p>
  </w:footnote>
  <w:footnote w:type="continuationSeparator" w:id="0">
    <w:p w:rsidR="00030B83" w:rsidRDefault="00030B83" w:rsidP="00C510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rsidP="004C577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B83" w:rsidRDefault="00030B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67C"/>
    <w:rsid w:val="000056D9"/>
    <w:rsid w:val="0000633B"/>
    <w:rsid w:val="00006A87"/>
    <w:rsid w:val="000119EB"/>
    <w:rsid w:val="00014CCD"/>
    <w:rsid w:val="00030B83"/>
    <w:rsid w:val="00034248"/>
    <w:rsid w:val="0004067B"/>
    <w:rsid w:val="000449E7"/>
    <w:rsid w:val="00052FE0"/>
    <w:rsid w:val="00054384"/>
    <w:rsid w:val="00067B66"/>
    <w:rsid w:val="00070900"/>
    <w:rsid w:val="00086A97"/>
    <w:rsid w:val="00094D69"/>
    <w:rsid w:val="000A65DB"/>
    <w:rsid w:val="000C3B20"/>
    <w:rsid w:val="000D4620"/>
    <w:rsid w:val="000F6A90"/>
    <w:rsid w:val="00134E0A"/>
    <w:rsid w:val="001400C3"/>
    <w:rsid w:val="00140E78"/>
    <w:rsid w:val="00147040"/>
    <w:rsid w:val="00151463"/>
    <w:rsid w:val="00170582"/>
    <w:rsid w:val="001B16DE"/>
    <w:rsid w:val="001D09C9"/>
    <w:rsid w:val="001D1557"/>
    <w:rsid w:val="001D29FB"/>
    <w:rsid w:val="001E4658"/>
    <w:rsid w:val="001E5995"/>
    <w:rsid w:val="00201438"/>
    <w:rsid w:val="0020466C"/>
    <w:rsid w:val="002048AB"/>
    <w:rsid w:val="002151D0"/>
    <w:rsid w:val="002443ED"/>
    <w:rsid w:val="00265587"/>
    <w:rsid w:val="00267BB1"/>
    <w:rsid w:val="002743C3"/>
    <w:rsid w:val="00295AE5"/>
    <w:rsid w:val="0029734C"/>
    <w:rsid w:val="002A0F4A"/>
    <w:rsid w:val="002A40B2"/>
    <w:rsid w:val="002C677C"/>
    <w:rsid w:val="002D6D5C"/>
    <w:rsid w:val="002D702A"/>
    <w:rsid w:val="002E5BBB"/>
    <w:rsid w:val="002F098A"/>
    <w:rsid w:val="002F3F3E"/>
    <w:rsid w:val="002F48E7"/>
    <w:rsid w:val="002F685E"/>
    <w:rsid w:val="00301FD1"/>
    <w:rsid w:val="00303B2E"/>
    <w:rsid w:val="003064BE"/>
    <w:rsid w:val="00321B07"/>
    <w:rsid w:val="00322F04"/>
    <w:rsid w:val="0033308D"/>
    <w:rsid w:val="00333969"/>
    <w:rsid w:val="00334716"/>
    <w:rsid w:val="00335EA6"/>
    <w:rsid w:val="00343FF6"/>
    <w:rsid w:val="003472C5"/>
    <w:rsid w:val="00352014"/>
    <w:rsid w:val="00353B9E"/>
    <w:rsid w:val="00365C19"/>
    <w:rsid w:val="00387A5F"/>
    <w:rsid w:val="00397F2D"/>
    <w:rsid w:val="003A4923"/>
    <w:rsid w:val="003B0163"/>
    <w:rsid w:val="003B0831"/>
    <w:rsid w:val="003B2F11"/>
    <w:rsid w:val="003B594E"/>
    <w:rsid w:val="003C2E54"/>
    <w:rsid w:val="003C6A3F"/>
    <w:rsid w:val="00406AB0"/>
    <w:rsid w:val="0041140F"/>
    <w:rsid w:val="00417FF0"/>
    <w:rsid w:val="00426E6C"/>
    <w:rsid w:val="0043072D"/>
    <w:rsid w:val="00431D14"/>
    <w:rsid w:val="004365B2"/>
    <w:rsid w:val="00440675"/>
    <w:rsid w:val="0045212A"/>
    <w:rsid w:val="004550FF"/>
    <w:rsid w:val="00473CDE"/>
    <w:rsid w:val="004743B3"/>
    <w:rsid w:val="004A17D6"/>
    <w:rsid w:val="004C008D"/>
    <w:rsid w:val="004C400D"/>
    <w:rsid w:val="004C5776"/>
    <w:rsid w:val="004D48D7"/>
    <w:rsid w:val="0050291C"/>
    <w:rsid w:val="005272D8"/>
    <w:rsid w:val="00531FA0"/>
    <w:rsid w:val="00532879"/>
    <w:rsid w:val="0053637C"/>
    <w:rsid w:val="00546B8B"/>
    <w:rsid w:val="00552B99"/>
    <w:rsid w:val="00563A82"/>
    <w:rsid w:val="00565025"/>
    <w:rsid w:val="00576004"/>
    <w:rsid w:val="0058572A"/>
    <w:rsid w:val="005C280B"/>
    <w:rsid w:val="005D008D"/>
    <w:rsid w:val="005D6922"/>
    <w:rsid w:val="005E7D78"/>
    <w:rsid w:val="005F3D4E"/>
    <w:rsid w:val="005F506E"/>
    <w:rsid w:val="00622E52"/>
    <w:rsid w:val="00624597"/>
    <w:rsid w:val="00642F1B"/>
    <w:rsid w:val="006463F3"/>
    <w:rsid w:val="00666661"/>
    <w:rsid w:val="00672B4C"/>
    <w:rsid w:val="0067672D"/>
    <w:rsid w:val="00680D3A"/>
    <w:rsid w:val="00692D93"/>
    <w:rsid w:val="006A1621"/>
    <w:rsid w:val="006A7356"/>
    <w:rsid w:val="006B32DC"/>
    <w:rsid w:val="006D2D73"/>
    <w:rsid w:val="006D4B96"/>
    <w:rsid w:val="006E0C74"/>
    <w:rsid w:val="006E75F3"/>
    <w:rsid w:val="006F1159"/>
    <w:rsid w:val="006F3D27"/>
    <w:rsid w:val="006F7FA8"/>
    <w:rsid w:val="00703E14"/>
    <w:rsid w:val="00711AEC"/>
    <w:rsid w:val="00716964"/>
    <w:rsid w:val="007209E3"/>
    <w:rsid w:val="007226FB"/>
    <w:rsid w:val="0072458C"/>
    <w:rsid w:val="007264FC"/>
    <w:rsid w:val="007755EB"/>
    <w:rsid w:val="00782159"/>
    <w:rsid w:val="00790D8B"/>
    <w:rsid w:val="007F1B43"/>
    <w:rsid w:val="007F394D"/>
    <w:rsid w:val="00804BC9"/>
    <w:rsid w:val="00807067"/>
    <w:rsid w:val="008104D1"/>
    <w:rsid w:val="00815033"/>
    <w:rsid w:val="00825349"/>
    <w:rsid w:val="00840787"/>
    <w:rsid w:val="0084640A"/>
    <w:rsid w:val="00847706"/>
    <w:rsid w:val="00853FBE"/>
    <w:rsid w:val="008664F8"/>
    <w:rsid w:val="00877032"/>
    <w:rsid w:val="00880D0D"/>
    <w:rsid w:val="008872A2"/>
    <w:rsid w:val="00895A64"/>
    <w:rsid w:val="008A00A5"/>
    <w:rsid w:val="008B02AA"/>
    <w:rsid w:val="008B0C77"/>
    <w:rsid w:val="008B78F3"/>
    <w:rsid w:val="008C1708"/>
    <w:rsid w:val="008C5ABD"/>
    <w:rsid w:val="008D28A9"/>
    <w:rsid w:val="008E17FF"/>
    <w:rsid w:val="008E26A2"/>
    <w:rsid w:val="008F2267"/>
    <w:rsid w:val="009078E5"/>
    <w:rsid w:val="00910498"/>
    <w:rsid w:val="00930409"/>
    <w:rsid w:val="0094593B"/>
    <w:rsid w:val="00954B4B"/>
    <w:rsid w:val="00993E1A"/>
    <w:rsid w:val="00995B18"/>
    <w:rsid w:val="009A53B2"/>
    <w:rsid w:val="009A7D21"/>
    <w:rsid w:val="009A7EAB"/>
    <w:rsid w:val="009B73B4"/>
    <w:rsid w:val="009C453B"/>
    <w:rsid w:val="009C7F6B"/>
    <w:rsid w:val="009D121B"/>
    <w:rsid w:val="009D7261"/>
    <w:rsid w:val="009F1B75"/>
    <w:rsid w:val="009F39C7"/>
    <w:rsid w:val="00A01F97"/>
    <w:rsid w:val="00A1261F"/>
    <w:rsid w:val="00A21A6D"/>
    <w:rsid w:val="00A24B4D"/>
    <w:rsid w:val="00A3699B"/>
    <w:rsid w:val="00A407D1"/>
    <w:rsid w:val="00A419CE"/>
    <w:rsid w:val="00A41FCF"/>
    <w:rsid w:val="00A900A6"/>
    <w:rsid w:val="00AA1FAA"/>
    <w:rsid w:val="00AA3003"/>
    <w:rsid w:val="00AB20F8"/>
    <w:rsid w:val="00AB48CD"/>
    <w:rsid w:val="00AC139B"/>
    <w:rsid w:val="00AD7784"/>
    <w:rsid w:val="00AE1875"/>
    <w:rsid w:val="00AF082B"/>
    <w:rsid w:val="00AF0D0D"/>
    <w:rsid w:val="00B1713B"/>
    <w:rsid w:val="00B24563"/>
    <w:rsid w:val="00B5383B"/>
    <w:rsid w:val="00B53EA3"/>
    <w:rsid w:val="00B635BA"/>
    <w:rsid w:val="00B86E5E"/>
    <w:rsid w:val="00B919A9"/>
    <w:rsid w:val="00B91D4E"/>
    <w:rsid w:val="00B9440D"/>
    <w:rsid w:val="00BA0FE9"/>
    <w:rsid w:val="00BA1B54"/>
    <w:rsid w:val="00BB2497"/>
    <w:rsid w:val="00BB372B"/>
    <w:rsid w:val="00BE4360"/>
    <w:rsid w:val="00BE6A3B"/>
    <w:rsid w:val="00BF08F9"/>
    <w:rsid w:val="00BF327A"/>
    <w:rsid w:val="00BF44E2"/>
    <w:rsid w:val="00C15174"/>
    <w:rsid w:val="00C27838"/>
    <w:rsid w:val="00C30CAF"/>
    <w:rsid w:val="00C31382"/>
    <w:rsid w:val="00C45F21"/>
    <w:rsid w:val="00C510B9"/>
    <w:rsid w:val="00C57E4D"/>
    <w:rsid w:val="00C605BD"/>
    <w:rsid w:val="00C61BF6"/>
    <w:rsid w:val="00C61DC5"/>
    <w:rsid w:val="00C81AB7"/>
    <w:rsid w:val="00C955CC"/>
    <w:rsid w:val="00CC1267"/>
    <w:rsid w:val="00CC3C13"/>
    <w:rsid w:val="00CD212E"/>
    <w:rsid w:val="00CD5341"/>
    <w:rsid w:val="00CD7CFA"/>
    <w:rsid w:val="00CF1D7A"/>
    <w:rsid w:val="00CF2ADD"/>
    <w:rsid w:val="00CF2F1C"/>
    <w:rsid w:val="00D33DD6"/>
    <w:rsid w:val="00D4613F"/>
    <w:rsid w:val="00D5318C"/>
    <w:rsid w:val="00D554FC"/>
    <w:rsid w:val="00D81E3D"/>
    <w:rsid w:val="00D85C25"/>
    <w:rsid w:val="00D9471B"/>
    <w:rsid w:val="00DA16BE"/>
    <w:rsid w:val="00DB13AB"/>
    <w:rsid w:val="00DB2FC5"/>
    <w:rsid w:val="00DD092F"/>
    <w:rsid w:val="00DD29C7"/>
    <w:rsid w:val="00DD77D6"/>
    <w:rsid w:val="00DE344D"/>
    <w:rsid w:val="00E23ED2"/>
    <w:rsid w:val="00E3109E"/>
    <w:rsid w:val="00E45CA1"/>
    <w:rsid w:val="00E5662D"/>
    <w:rsid w:val="00E64681"/>
    <w:rsid w:val="00E67B49"/>
    <w:rsid w:val="00E774D0"/>
    <w:rsid w:val="00E8038F"/>
    <w:rsid w:val="00E8388E"/>
    <w:rsid w:val="00EA5F52"/>
    <w:rsid w:val="00EB5B82"/>
    <w:rsid w:val="00EC282F"/>
    <w:rsid w:val="00EC3F0C"/>
    <w:rsid w:val="00EC5E2C"/>
    <w:rsid w:val="00ED7C8E"/>
    <w:rsid w:val="00EE2E07"/>
    <w:rsid w:val="00EF3B2C"/>
    <w:rsid w:val="00EF7B17"/>
    <w:rsid w:val="00F0364D"/>
    <w:rsid w:val="00F06CB4"/>
    <w:rsid w:val="00F11961"/>
    <w:rsid w:val="00F16C5D"/>
    <w:rsid w:val="00F45304"/>
    <w:rsid w:val="00F453E0"/>
    <w:rsid w:val="00F75F93"/>
    <w:rsid w:val="00F93042"/>
    <w:rsid w:val="00FA403A"/>
    <w:rsid w:val="00FB3B11"/>
    <w:rsid w:val="00FC2E03"/>
    <w:rsid w:val="00FC7EFF"/>
    <w:rsid w:val="00FD4A95"/>
    <w:rsid w:val="00FE0DF3"/>
    <w:rsid w:val="00FF5D03"/>
    <w:rsid w:val="04C97607"/>
    <w:rsid w:val="06FB0218"/>
    <w:rsid w:val="07A32BDE"/>
    <w:rsid w:val="0F802296"/>
    <w:rsid w:val="15034F89"/>
    <w:rsid w:val="2047050C"/>
    <w:rsid w:val="23A05688"/>
    <w:rsid w:val="244A4BDB"/>
    <w:rsid w:val="24E23C3B"/>
    <w:rsid w:val="2C710A0B"/>
    <w:rsid w:val="32314A8C"/>
    <w:rsid w:val="324E311E"/>
    <w:rsid w:val="36F71C1F"/>
    <w:rsid w:val="409209C9"/>
    <w:rsid w:val="46160FDB"/>
    <w:rsid w:val="48C86A54"/>
    <w:rsid w:val="543F0847"/>
    <w:rsid w:val="55E1607A"/>
    <w:rsid w:val="56942250"/>
    <w:rsid w:val="57272EFF"/>
    <w:rsid w:val="5CB9792D"/>
    <w:rsid w:val="62060720"/>
    <w:rsid w:val="6D3226CD"/>
    <w:rsid w:val="6F2028BB"/>
    <w:rsid w:val="72093C3A"/>
    <w:rsid w:val="79D318F1"/>
    <w:rsid w:val="7F28559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0B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C510B9"/>
    <w:pPr>
      <w:ind w:leftChars="2500" w:left="100"/>
    </w:pPr>
    <w:rPr>
      <w:kern w:val="0"/>
      <w:sz w:val="24"/>
      <w:szCs w:val="24"/>
    </w:rPr>
  </w:style>
  <w:style w:type="character" w:customStyle="1" w:styleId="DateChar">
    <w:name w:val="Date Char"/>
    <w:basedOn w:val="DefaultParagraphFont"/>
    <w:link w:val="Date"/>
    <w:uiPriority w:val="99"/>
    <w:semiHidden/>
    <w:locked/>
    <w:rsid w:val="00C510B9"/>
    <w:rPr>
      <w:rFonts w:cs="Times New Roman"/>
      <w:sz w:val="24"/>
    </w:rPr>
  </w:style>
  <w:style w:type="paragraph" w:styleId="BalloonText">
    <w:name w:val="Balloon Text"/>
    <w:basedOn w:val="Normal"/>
    <w:link w:val="BalloonTextChar"/>
    <w:uiPriority w:val="99"/>
    <w:semiHidden/>
    <w:rsid w:val="00C510B9"/>
    <w:rPr>
      <w:sz w:val="18"/>
      <w:szCs w:val="18"/>
    </w:rPr>
  </w:style>
  <w:style w:type="character" w:customStyle="1" w:styleId="BalloonTextChar">
    <w:name w:val="Balloon Text Char"/>
    <w:basedOn w:val="DefaultParagraphFont"/>
    <w:link w:val="BalloonText"/>
    <w:uiPriority w:val="99"/>
    <w:locked/>
    <w:rsid w:val="00C510B9"/>
    <w:rPr>
      <w:rFonts w:cs="Times New Roman"/>
      <w:kern w:val="2"/>
      <w:sz w:val="18"/>
    </w:rPr>
  </w:style>
  <w:style w:type="paragraph" w:styleId="Footer">
    <w:name w:val="footer"/>
    <w:basedOn w:val="Normal"/>
    <w:link w:val="FooterChar"/>
    <w:uiPriority w:val="99"/>
    <w:rsid w:val="00C510B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C510B9"/>
    <w:rPr>
      <w:rFonts w:cs="Times New Roman"/>
      <w:kern w:val="2"/>
      <w:sz w:val="18"/>
    </w:rPr>
  </w:style>
  <w:style w:type="paragraph" w:styleId="Header">
    <w:name w:val="header"/>
    <w:basedOn w:val="Normal"/>
    <w:link w:val="HeaderChar"/>
    <w:uiPriority w:val="99"/>
    <w:rsid w:val="00C510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C510B9"/>
    <w:rPr>
      <w:rFonts w:cs="Times New Roman"/>
      <w:kern w:val="2"/>
      <w:sz w:val="18"/>
    </w:rPr>
  </w:style>
  <w:style w:type="paragraph" w:styleId="NormalWeb">
    <w:name w:val="Normal (Web)"/>
    <w:basedOn w:val="Normal"/>
    <w:uiPriority w:val="99"/>
    <w:rsid w:val="00C510B9"/>
    <w:rPr>
      <w:sz w:val="24"/>
      <w:szCs w:val="24"/>
    </w:rPr>
  </w:style>
  <w:style w:type="character" w:styleId="PageNumber">
    <w:name w:val="page number"/>
    <w:basedOn w:val="DefaultParagraphFont"/>
    <w:uiPriority w:val="99"/>
    <w:rsid w:val="00C510B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7</Pages>
  <Words>485</Words>
  <Characters>2769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65</cp:revision>
  <cp:lastPrinted>2016-08-09T05:11:00Z</cp:lastPrinted>
  <dcterms:created xsi:type="dcterms:W3CDTF">2016-08-19T11:26:00Z</dcterms:created>
  <dcterms:modified xsi:type="dcterms:W3CDTF">2019-01-12T13:02:00Z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