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9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49"/>
        <w:spacing w:line="540" w:lineRule="exact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49"/>
        <w:spacing w:line="540" w:lineRule="exact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zh-TW" w:eastAsia="zh-TW"/>
        </w:rPr>
        <w:t>新疆财政支出绩效自评报告</w:t>
      </w: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（201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年度）</w:t>
      </w: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49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项目名称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：医疗保险支出项目</w:t>
      </w:r>
    </w:p>
    <w:p>
      <w:pPr>
        <w:pStyle w:val="49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实施单位（公章）：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塔什库尔干县民政局</w:t>
      </w:r>
    </w:p>
    <w:p>
      <w:pPr>
        <w:pStyle w:val="49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主管部门（公章）：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塔什库尔干县民政局</w:t>
      </w:r>
    </w:p>
    <w:p>
      <w:pPr>
        <w:pStyle w:val="49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项目负责人（签章）：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武存社</w:t>
      </w:r>
    </w:p>
    <w:p>
      <w:pPr>
        <w:pStyle w:val="49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填报时间：201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日</w:t>
      </w:r>
    </w:p>
    <w:p>
      <w:pPr>
        <w:pStyle w:val="49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</w:p>
    <w:p>
      <w:pPr>
        <w:pStyle w:val="49"/>
        <w:spacing w:line="70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49"/>
        <w:spacing w:line="70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49"/>
        <w:spacing w:line="700" w:lineRule="exact"/>
        <w:ind w:firstLine="627" w:firstLineChars="200"/>
        <w:jc w:val="left"/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color w:val="auto"/>
          <w:spacing w:val="-4"/>
          <w:sz w:val="32"/>
          <w:szCs w:val="32"/>
        </w:rPr>
        <w:t>（一）</w:t>
      </w:r>
      <w:r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  <w:t>项目单位基本情况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塔县民政局是塔什库尔干县人民政府主管社会事务的重要部门，承担着全县城乡社会救助和社会福利、基层民主政治建设、服务军队和国防建设、管理专项社会事务四大方面二十项工作职能。目前县民政局有设6个职能股室：办公室（社工办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民间组织管理、救灾救济、社会福利、社会救助股（慈善总会）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社会事务股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优抚安置军休股（退伍军人安置办）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基层政权建设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城乡医疗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autoSpaceDN w:val="0"/>
        <w:spacing w:line="460" w:lineRule="exact"/>
        <w:ind w:firstLine="635" w:firstLineChars="200"/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  <w:t xml:space="preserve">2．机构情况  </w:t>
      </w:r>
    </w:p>
    <w:p>
      <w:pPr>
        <w:numPr>
          <w:ilvl w:val="0"/>
          <w:numId w:val="0"/>
        </w:numPr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民政局（本级）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根据国家、自治区关于民政工作的基本方针、政策、规章和法律、法规，研究提出塔什库尔干县民政事业发展规划；组织实施和监督检查塔什库尔干县民政系统执行国家、自治区民政工作有关政策法规。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根据国家、自治区社团管理、民办非企业组织和基金会的法规，负责全县社团、民办非企业和基金会及其分支机构的登记和年度检查；监督他们的活动，查处他们的违法行为和未经登记而以社团、民办非企业和基金会名义开展活动的非法组织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负责全县拥军优属、优待抚恤和革命烈士的初审申报工作；负责复员干部、退伍义务兵和转业士官的；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负责移交地方安置的军队离退休干部、士官和无军籍退休职工的接收安排工作。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负责全县救灾工作。组织核查灾情，统计汇总上报灾情，接收、管理和分配救灾款物并监督使用；组织指导救灾捐赠，指导灾区开展生产自救。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组织和指导扶贫济困等社会互助活动；管理城乡社会救济、五保户的供应、社会福利院管理。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指导全县基层政权和基层群众自治建设；指导村民委员会民主选举、民主决策、民主管理和民主监督工作，推动村务公开和基层民主政治建设；指导社区居委会建设，制定社区工作及社区服务管理办法，推动全县社区建设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负责全县婚姻登记和儿童收养工作，依法指导妇女儿童权益保护工作；积极倡导婚姻习俗改革；承办全县儿童收养业务；推行殡葬改革，负责全县的殡葬管理工作；负责县城内流浪乞讨人员的救助管理工作。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组织拟订和实施全县社会福利发展规划，推动社会化服务体系的建立和发展；会同有关部门研究拟订残疾人事业发展规划；负责全县社会福利有奖募捐工作。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编制社工规划，储备社工人才，建立社工队伍，探索自治县的社工工作。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城乡低保中心  主要负责组织和指导扶贫济困等社会互助活动；管理城乡社会救济、五保户的供应，和全县城乡居民第二次医疗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。审批城乡居民的医疗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、建档工作，负责协医疗机构对全县的居民治病实行一站式服务，协助卫生行政部门对医疗机构的监管。</w:t>
      </w:r>
    </w:p>
    <w:p>
      <w:pPr>
        <w:pStyle w:val="16"/>
        <w:widowControl/>
        <w:spacing w:line="448" w:lineRule="atLeast"/>
        <w:ind w:firstLine="472"/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  <w:t>3．人员情况，包括当年变动情况及原因。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编制人数1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人，其中：行政人员编制5人，参照公务员管理的事业单位人员编制0人，全额拨款事业单位人员编制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人，工勤人员编制1人。实有在职人数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人，其中：行政在职7人，参照公务员管理的事业单位人员0人，事业在职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人，工勤在职人数2人。离退休人员1人，其中：离休人员0人，退休人员1人。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1、项目预期目标及阶段性目标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2018年塔县实现城乡医疗一站式救助，与5家医院签订一站式救助协议，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建立以城乡居民基本医疗保险为主,大病保险与补充险(含健康险)为辅、医疗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托底多层次保障体系,确保全区城乡居民、医疗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对象公平享受医疗待遇,减轻就医负担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。紧紧围绕社会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和谐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和长治久安总目标，健全社会救助体系、保障困难群众基本医疗权益为目标，坚持托住底线、统筹衔接、公开公正、高效便捷的原则，进一步健全工作机制，完善政策措施，强化规范管理，不断提高医疗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管理服务水平，保障城乡居民基本医疗权益，最大限度减轻困难群众医疗支出负担，解决因病致贫、因病返贫现象，提升困难群众的幸福感。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本项目性质为延续性项目。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3、项目用途及范围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此资金主要用于支付城乡困难群众医疗保险资金。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发放范围：特困供养人员主要包括农村五保人、城市“三无”、孤儿名、由国家全额供养的重度精神疾病患者，二类救助对象城乡最低生活保障人员、生活困难的重点优抚对象、建档立卡贫困户中的重残、重病患者庭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主要内容：报销医疗费、支付参加城乡居民基本医疗保险个人缴费资金。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  <w:t>（一）项目资金安排落实、总投入等情况分析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  <w:t>城乡医疗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保险项目预算安排总额为1582.26万元，其中财政资金1582.26万元，2018年实际收到预算资金1582.26万元。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（二）项目资金实际使用情况分析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  <w:t>本项目实际支付资金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1582.26</w:t>
      </w:r>
      <w:r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  <w:t>万元，预算执行率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  <w:t>%，项目资金主要用于发放低保金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1582.26</w:t>
      </w:r>
      <w:r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  <w:t>万元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  <w:t>（三）项目资金管理情况分析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  <w:t>本项目支出符合《关于进一步加强和完善城乡居民医疗保障及困难群体医疗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  <w:t>服务的实施意见（试行）》的通知相关管理制度，会计人员集中核算工作管理制度、财务收支审批制度、财务稽核制度、财务牵制制度、会计主管岗位职责等制度规定，资金的拨付均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  <w:t>（一）项目组织情况分析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  <w:t>该项目属于经常性项目,没有达到招投标限额,由本单位自行组织实施。实施过程均按照本单位制定的管理制度执行。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  <w:t>本项目不存在调整情况。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  <w:t>为保证项目质量项目实施完成后，由本项目相关人员于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2018年12月31日</w:t>
      </w:r>
      <w:r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  <w:t>完成下乡检查资金落实情况。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（二）项目管理情况分析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  <w:t>项目实施过程中，塔什库尔干县民政局社会救助办建立了《塔什库尔干县加强和完善城乡居民医疗保障及困难群体医疗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  <w:t>服务的实施意见》保障项目的顺利实施。项目的实施遵守相关法律法规和业务管理规定，项目资料齐全并及时归档。定期不定期下乡核查低保资金发放情况，检查过程中发现的问题及时督促整改，确保了专项资金专款专用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  <w:lang w:val="en-US" w:eastAsia="zh-CN"/>
        </w:rPr>
        <w:t>四、项目绩效情况</w:t>
      </w:r>
    </w:p>
    <w:p>
      <w:pPr>
        <w:ind w:firstLine="627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  <w:lang w:val="en-US" w:eastAsia="zh-CN"/>
        </w:rPr>
        <w:t>（一）项目绩效目标完成情况分析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  <w:t>本项目共设置一级指标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  <w:t>个，二级指标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  <w:t>个，三级指标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  <w:t>个，其中已完成三级指标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  <w:t>个，指标完成率为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  <w:t>%。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  <w:t>经济性：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无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  <w:t>效率性：减轻医疗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  <w:t>对象医疗费用的负担，逐步减轻，且随着城乡医疗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  <w:t>制度的逐步完善，城乡医疗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  <w:t>对象的医疗费用的负担逐步减轻。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  <w:t>效益性：着城乡医疗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  <w:t>制度逐步完善、方便困难群众看病。</w:t>
      </w:r>
    </w:p>
    <w:p>
      <w:pPr>
        <w:ind w:firstLine="643" w:firstLineChars="200"/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（二）项目绩效目标未完成原因分析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  <w:lang w:val="zh-TW" w:eastAsia="zh-CN"/>
        </w:rPr>
        <w:t>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  <w:lang w:val="zh-TW" w:eastAsia="zh-CN"/>
        </w:rPr>
      </w:pPr>
      <w:r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  <w:lang w:val="zh-TW" w:eastAsia="zh-CN"/>
        </w:rPr>
        <w:t>五、其他需要说明的问题</w:t>
      </w:r>
    </w:p>
    <w:p>
      <w:pPr>
        <w:ind w:firstLine="643" w:firstLineChars="200"/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（一）后续工作计划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1、按时按月发放城乡医疗保险资金；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2、随着城乡医疗保险的分类救助，对低保信息的精准性要求越来越高，定期更新和维护系统很有必要。</w:t>
      </w:r>
    </w:p>
    <w:p>
      <w:pPr>
        <w:ind w:firstLine="643" w:firstLineChars="200"/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1、主要经验及做法</w:t>
      </w:r>
    </w:p>
    <w:p>
      <w:pPr>
        <w:spacing w:line="520" w:lineRule="exact"/>
        <w:ind w:firstLine="640" w:firstLineChars="200"/>
        <w:jc w:val="left"/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强化</w:t>
      </w:r>
      <w:r>
        <w:rPr>
          <w:rFonts w:hint="eastAsia" w:ascii="仿宋" w:hAnsi="仿宋" w:eastAsia="仿宋" w:cs="仿宋"/>
          <w:sz w:val="32"/>
          <w:szCs w:val="32"/>
        </w:rPr>
        <w:t>动员农村五保、城市“三无”、孤儿、由国家全额供养的重度精神疾病患者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城乡最低生活保障人员、生活困难的重点优抚对象、建档立卡贫困户中的重残、重病患者，宣传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城乡医疗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sz w:val="32"/>
          <w:szCs w:val="32"/>
        </w:rPr>
        <w:t>“先诊疗后付费”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政策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,让符合条件的困难群众得到实惠，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了解即使不用来民政局跑手续，就可以在医院享受报销的看病治病的费用。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  <w:lang w:val="en-US" w:eastAsia="zh-CN"/>
        </w:rPr>
        <w:t>2、</w:t>
      </w: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firstLine="640" w:firstLineChars="200"/>
        <w:textAlignment w:val="auto"/>
        <w:outlineLvl w:val="0"/>
        <w:rPr>
          <w:rFonts w:hint="eastAsia" w:ascii="仿宋_GB2312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随着城乡医疗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sz w:val="32"/>
          <w:szCs w:val="32"/>
        </w:rPr>
        <w:t>“先诊疗后付费”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综合结算平台的使用，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报销城乡医疗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资金对城乡低保系统（医疗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报销最大的群体就是城乡最低生活保障人员）的精准度要求很高，但城乡低保资金是动态管理的，除了要求各乡民政干事定期更新系统以外，还需定期不定期的维护城乡最低生活保障系统。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  <w:lang w:val="en-US" w:eastAsia="zh-CN"/>
        </w:rPr>
        <w:t>3、建议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firstLine="768" w:firstLineChars="240"/>
        <w:textAlignment w:val="auto"/>
        <w:outlineLvl w:val="0"/>
        <w:rPr>
          <w:rFonts w:hint="eastAsia" w:ascii="仿宋_GB2312" w:eastAsia="仿宋_GB2312"/>
          <w:bCs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充分发挥好各乡民政干事的和受益对象的监管作用，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强化民政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医疗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资金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社会化发放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的监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督和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管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理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工作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。让城乡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医疗保险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eastAsia="zh-CN"/>
        </w:rPr>
        <w:t>资金的发放更透明，更便捷。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无其他说明内容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  <w:t>在</w:t>
      </w:r>
      <w:r>
        <w:rPr>
          <w:rFonts w:hint="eastAsia" w:ascii="仿宋" w:hAnsi="仿宋" w:eastAsia="仿宋" w:cs="仿宋"/>
          <w:b w:val="0"/>
          <w:bCs/>
          <w:color w:val="auto"/>
          <w:spacing w:val="-4"/>
          <w:sz w:val="32"/>
          <w:szCs w:val="32"/>
          <w:lang w:val="en-US" w:eastAsia="zh-CN"/>
        </w:rPr>
        <w:t>医疗保险支出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的使用效率和效果，项目管理过程规范，完成了预期绩效目标等。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hint="eastAsia" w:ascii="仿宋" w:hAnsi="仿宋" w:eastAsia="仿宋" w:cs="仿宋"/>
          <w:color w:val="auto"/>
          <w:spacing w:val="-4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417" w:bottom="1417" w:left="141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</w:p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A6457"/>
    <w:rsid w:val="0012208E"/>
    <w:rsid w:val="00135256"/>
    <w:rsid w:val="001A4E1F"/>
    <w:rsid w:val="001A57B9"/>
    <w:rsid w:val="001C3847"/>
    <w:rsid w:val="001F3031"/>
    <w:rsid w:val="00210A26"/>
    <w:rsid w:val="002A2532"/>
    <w:rsid w:val="002A2D76"/>
    <w:rsid w:val="00365250"/>
    <w:rsid w:val="0036624C"/>
    <w:rsid w:val="00385849"/>
    <w:rsid w:val="003F1A98"/>
    <w:rsid w:val="0050167F"/>
    <w:rsid w:val="00514506"/>
    <w:rsid w:val="005162F1"/>
    <w:rsid w:val="00516E80"/>
    <w:rsid w:val="00535153"/>
    <w:rsid w:val="00575CFE"/>
    <w:rsid w:val="00583AFC"/>
    <w:rsid w:val="00592D09"/>
    <w:rsid w:val="00675D58"/>
    <w:rsid w:val="006F2E6D"/>
    <w:rsid w:val="007218B8"/>
    <w:rsid w:val="00755C6A"/>
    <w:rsid w:val="00785FDE"/>
    <w:rsid w:val="007A0351"/>
    <w:rsid w:val="007A14BC"/>
    <w:rsid w:val="007C1025"/>
    <w:rsid w:val="007E6845"/>
    <w:rsid w:val="007F5F8A"/>
    <w:rsid w:val="00826CA1"/>
    <w:rsid w:val="00835B7F"/>
    <w:rsid w:val="00855E3A"/>
    <w:rsid w:val="00882985"/>
    <w:rsid w:val="00922CB9"/>
    <w:rsid w:val="009350F7"/>
    <w:rsid w:val="009B526F"/>
    <w:rsid w:val="009C1AFD"/>
    <w:rsid w:val="009D4BFB"/>
    <w:rsid w:val="00A26421"/>
    <w:rsid w:val="00A4293B"/>
    <w:rsid w:val="00A83BD5"/>
    <w:rsid w:val="00A977DF"/>
    <w:rsid w:val="00AE6A23"/>
    <w:rsid w:val="00B06CA5"/>
    <w:rsid w:val="00B13FCF"/>
    <w:rsid w:val="00B41F61"/>
    <w:rsid w:val="00B55332"/>
    <w:rsid w:val="00B86E8C"/>
    <w:rsid w:val="00BE1A00"/>
    <w:rsid w:val="00C22CF0"/>
    <w:rsid w:val="00C56C72"/>
    <w:rsid w:val="00CA6457"/>
    <w:rsid w:val="00CC4442"/>
    <w:rsid w:val="00CC6E4D"/>
    <w:rsid w:val="00D17F2E"/>
    <w:rsid w:val="00D46194"/>
    <w:rsid w:val="00E01293"/>
    <w:rsid w:val="00E027D1"/>
    <w:rsid w:val="00E769FE"/>
    <w:rsid w:val="00EA2CBE"/>
    <w:rsid w:val="00EF3FFA"/>
    <w:rsid w:val="00F32FEE"/>
    <w:rsid w:val="00F53E69"/>
    <w:rsid w:val="09D5648B"/>
    <w:rsid w:val="12695183"/>
    <w:rsid w:val="1336109A"/>
    <w:rsid w:val="1865107B"/>
    <w:rsid w:val="1C3E7F06"/>
    <w:rsid w:val="236239D9"/>
    <w:rsid w:val="3C25425D"/>
    <w:rsid w:val="3D924501"/>
    <w:rsid w:val="40911065"/>
    <w:rsid w:val="42D77DE1"/>
    <w:rsid w:val="473B55AC"/>
    <w:rsid w:val="48FB0D4A"/>
    <w:rsid w:val="4E674557"/>
    <w:rsid w:val="5EB02968"/>
    <w:rsid w:val="62F25F05"/>
    <w:rsid w:val="79AB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5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30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7"/>
    <w:unhideWhenUsed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48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2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Normal (Web)"/>
    <w:basedOn w:val="1"/>
    <w:qFormat/>
    <w:uiPriority w:val="0"/>
    <w:rPr>
      <w:sz w:val="24"/>
    </w:rPr>
  </w:style>
  <w:style w:type="paragraph" w:styleId="17">
    <w:name w:val="Title"/>
    <w:basedOn w:val="1"/>
    <w:next w:val="1"/>
    <w:link w:val="3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2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3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4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5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6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7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8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9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30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1">
    <w:name w:val="标题 Char"/>
    <w:basedOn w:val="18"/>
    <w:link w:val="17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2">
    <w:name w:val="副标题 Char"/>
    <w:basedOn w:val="18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3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4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5">
    <w:name w:val="Quote"/>
    <w:basedOn w:val="1"/>
    <w:next w:val="1"/>
    <w:link w:val="36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6">
    <w:name w:val="引用 Char"/>
    <w:basedOn w:val="18"/>
    <w:link w:val="35"/>
    <w:qFormat/>
    <w:uiPriority w:val="29"/>
    <w:rPr>
      <w:i/>
      <w:sz w:val="24"/>
      <w:szCs w:val="24"/>
    </w:rPr>
  </w:style>
  <w:style w:type="paragraph" w:customStyle="1" w:styleId="37">
    <w:name w:val="Intense Quote"/>
    <w:basedOn w:val="1"/>
    <w:next w:val="1"/>
    <w:link w:val="38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8">
    <w:name w:val="明显引用 Char"/>
    <w:basedOn w:val="18"/>
    <w:link w:val="37"/>
    <w:qFormat/>
    <w:uiPriority w:val="30"/>
    <w:rPr>
      <w:b/>
      <w:i/>
      <w:sz w:val="24"/>
    </w:rPr>
  </w:style>
  <w:style w:type="character" w:customStyle="1" w:styleId="39">
    <w:name w:val="Subtle Emphasis"/>
    <w:qFormat/>
    <w:uiPriority w:val="19"/>
    <w:rPr>
      <w:i/>
      <w:color w:val="595959" w:themeColor="text1" w:themeTint="A5"/>
    </w:rPr>
  </w:style>
  <w:style w:type="character" w:customStyle="1" w:styleId="40">
    <w:name w:val="Intense Emphasis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1">
    <w:name w:val="Subtle Reference"/>
    <w:basedOn w:val="18"/>
    <w:qFormat/>
    <w:uiPriority w:val="31"/>
    <w:rPr>
      <w:sz w:val="24"/>
      <w:szCs w:val="24"/>
      <w:u w:val="single"/>
    </w:rPr>
  </w:style>
  <w:style w:type="character" w:customStyle="1" w:styleId="42">
    <w:name w:val="Intense Reference"/>
    <w:basedOn w:val="18"/>
    <w:qFormat/>
    <w:uiPriority w:val="32"/>
    <w:rPr>
      <w:b/>
      <w:sz w:val="24"/>
      <w:u w:val="single"/>
    </w:rPr>
  </w:style>
  <w:style w:type="character" w:customStyle="1" w:styleId="43">
    <w:name w:val="Book Title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4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5">
    <w:name w:val="页眉 Char"/>
    <w:basedOn w:val="18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页脚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7">
    <w:name w:val="文档结构图 Char"/>
    <w:basedOn w:val="18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48">
    <w:name w:val="批注框文本 Char"/>
    <w:basedOn w:val="18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9">
    <w:name w:val="正文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C9948E-C7AC-4B1A-BBAD-BEBC72B753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286</Words>
  <Characters>1633</Characters>
  <Lines>13</Lines>
  <Paragraphs>3</Paragraphs>
  <TotalTime>19</TotalTime>
  <ScaleCrop>false</ScaleCrop>
  <LinksUpToDate>false</LinksUpToDate>
  <CharactersWithSpaces>1916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Lenovo</cp:lastModifiedBy>
  <cp:lastPrinted>2019-01-15T12:49:00Z</cp:lastPrinted>
  <dcterms:modified xsi:type="dcterms:W3CDTF">2019-09-22T10:58:30Z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