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项目名称：残疾人就业和扶贫项目</w:t>
      </w:r>
    </w:p>
    <w:p>
      <w:pPr>
        <w:spacing w:line="700" w:lineRule="exact"/>
        <w:ind w:firstLine="720" w:firstLineChars="200"/>
        <w:jc w:val="left"/>
        <w:rPr>
          <w:rFonts w:hint="eastAsia" w:hAnsi="宋体" w:eastAsia="仿宋_GB2312" w:cs="宋体"/>
          <w:kern w:val="0"/>
          <w:sz w:val="36"/>
          <w:szCs w:val="36"/>
        </w:rPr>
      </w:pPr>
      <w:r>
        <w:rPr>
          <w:rFonts w:hint="eastAsia" w:hAnsi="宋体" w:eastAsia="仿宋_GB2312" w:cs="宋体"/>
          <w:kern w:val="0"/>
          <w:sz w:val="36"/>
          <w:szCs w:val="36"/>
        </w:rPr>
        <w:t>实施单位（公章）：塔什库尔干县残疾人联合会</w:t>
      </w:r>
    </w:p>
    <w:p>
      <w:pPr>
        <w:spacing w:line="700" w:lineRule="exact"/>
        <w:ind w:left="718" w:leftChars="342" w:firstLine="0" w:firstLineChars="0"/>
        <w:jc w:val="left"/>
        <w:rPr>
          <w:rFonts w:hint="eastAsia" w:hAnsi="宋体" w:eastAsia="仿宋_GB2312" w:cs="宋体"/>
          <w:kern w:val="0"/>
          <w:sz w:val="36"/>
          <w:szCs w:val="36"/>
          <w:lang w:val="en-US" w:eastAsia="zh-CN"/>
        </w:rPr>
      </w:pPr>
      <w:r>
        <w:rPr>
          <w:rFonts w:hint="eastAsia" w:hAnsi="宋体" w:eastAsia="仿宋_GB2312" w:cs="宋体"/>
          <w:kern w:val="0"/>
          <w:sz w:val="36"/>
          <w:szCs w:val="36"/>
          <w:lang w:val="zh-TW" w:eastAsia="zh-TW"/>
        </w:rPr>
        <w:t>主管部门（公章）：</w:t>
      </w:r>
      <w:r>
        <w:rPr>
          <w:rFonts w:hint="eastAsia" w:hAnsi="宋体" w:eastAsia="仿宋_GB2312" w:cs="宋体"/>
          <w:kern w:val="0"/>
          <w:sz w:val="36"/>
          <w:szCs w:val="36"/>
        </w:rPr>
        <w:t>塔什库尔干县残疾人联合会</w:t>
      </w:r>
      <w:r>
        <w:rPr>
          <w:rFonts w:hint="eastAsia" w:hAnsi="宋体" w:eastAsia="仿宋_GB2312" w:cs="宋体"/>
          <w:kern w:val="0"/>
          <w:sz w:val="36"/>
          <w:szCs w:val="36"/>
          <w:lang w:val="zh-TW" w:eastAsia="zh-TW"/>
        </w:rPr>
        <w:t>项目负责人（签章）：</w:t>
      </w:r>
      <w:r>
        <w:rPr>
          <w:rFonts w:hint="eastAsia" w:hAnsi="宋体" w:eastAsia="仿宋_GB2312" w:cs="宋体"/>
          <w:kern w:val="0"/>
          <w:sz w:val="36"/>
          <w:szCs w:val="36"/>
          <w:lang w:val="en-US" w:eastAsia="zh-CN"/>
        </w:rPr>
        <w:t>张继革</w:t>
      </w:r>
    </w:p>
    <w:p>
      <w:pPr>
        <w:spacing w:line="700" w:lineRule="exact"/>
        <w:ind w:firstLine="720" w:firstLineChars="200"/>
        <w:jc w:val="left"/>
        <w:rPr>
          <w:rFonts w:hint="eastAsia" w:hAnsi="宋体" w:eastAsia="仿宋_GB2312" w:cs="宋体"/>
          <w:kern w:val="0"/>
          <w:sz w:val="36"/>
          <w:szCs w:val="36"/>
          <w:lang w:val="zh-TW" w:eastAsia="zh-TW"/>
        </w:rPr>
      </w:pPr>
      <w:r>
        <w:rPr>
          <w:rFonts w:hint="eastAsia" w:hAnsi="宋体" w:eastAsia="仿宋_GB2312" w:cs="宋体"/>
          <w:kern w:val="0"/>
          <w:sz w:val="36"/>
          <w:szCs w:val="36"/>
          <w:lang w:val="zh-TW" w:eastAsia="zh-TW"/>
        </w:rPr>
        <w:t>填报时间：201</w:t>
      </w:r>
      <w:r>
        <w:rPr>
          <w:rFonts w:hint="eastAsia" w:hAnsi="宋体" w:eastAsia="仿宋_GB2312" w:cs="宋体"/>
          <w:kern w:val="0"/>
          <w:sz w:val="36"/>
          <w:szCs w:val="36"/>
          <w:lang w:val="en-US" w:eastAsia="zh-CN"/>
        </w:rPr>
        <w:t>8</w:t>
      </w:r>
      <w:r>
        <w:rPr>
          <w:rFonts w:hint="eastAsia" w:hAnsi="宋体" w:eastAsia="仿宋_GB2312" w:cs="宋体"/>
          <w:kern w:val="0"/>
          <w:sz w:val="36"/>
          <w:szCs w:val="36"/>
          <w:lang w:val="zh-TW" w:eastAsia="zh-TW"/>
        </w:rPr>
        <w:t>年</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en-US" w:eastAsia="zh-CN"/>
        </w:rPr>
        <w:t>12</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zh-TW" w:eastAsia="zh-TW"/>
        </w:rPr>
        <w:t>月</w:t>
      </w:r>
      <w:r>
        <w:rPr>
          <w:rFonts w:hint="eastAsia" w:hAnsi="宋体" w:eastAsia="仿宋_GB2312" w:cs="宋体"/>
          <w:kern w:val="0"/>
          <w:sz w:val="36"/>
          <w:szCs w:val="36"/>
          <w:lang w:val="en-US" w:eastAsia="zh-CN"/>
        </w:rPr>
        <w:t>31</w:t>
      </w:r>
      <w:r>
        <w:rPr>
          <w:rFonts w:hint="eastAsia" w:hAnsi="宋体" w:eastAsia="仿宋_GB2312" w:cs="宋体"/>
          <w:kern w:val="0"/>
          <w:sz w:val="36"/>
          <w:szCs w:val="36"/>
          <w:lang w:val="zh-TW" w:eastAsia="zh-TW"/>
        </w:rPr>
        <w:t>日</w:t>
      </w: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firstLineChars="200"/>
        <w:rPr>
          <w:rStyle w:val="16"/>
          <w:rFonts w:ascii="仿宋_GB2312" w:eastAsia="仿宋_GB2312"/>
          <w:b w:val="0"/>
          <w:bCs w:val="0"/>
          <w:sz w:val="32"/>
          <w:szCs w:val="32"/>
        </w:rPr>
      </w:pPr>
      <w:r>
        <w:rPr>
          <w:rFonts w:hint="eastAsia" w:ascii="仿宋_GB2312" w:eastAsia="仿宋_GB2312"/>
          <w:sz w:val="32"/>
          <w:szCs w:val="32"/>
        </w:rPr>
        <w:t>塔什库尔干塔吉克自治县残疾人联合会为正科级参公事业单位，归口县人民政府办管理，现有在编人员3人，公益岗位2人。根据2018年全国残疾人基本服务状况和需求信息数据动态更新工作系统反馈，我县现有各类持证残疾人1059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目标1：按照文件要求发放2018年残疾人事业发展补助资金：发放农村实用技术培训补贴人数20人。</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目标2：持续提高和改善残疾人生活水平，进一步推进残疾人小康进程。</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2018年发放残疾人事业发展补助资金涉及符合发放条件残疾人20人。</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pacing w:line="540" w:lineRule="exact"/>
        <w:ind w:firstLine="640" w:firstLineChars="200"/>
        <w:jc w:val="left"/>
        <w:rPr>
          <w:rStyle w:val="16"/>
          <w:rFonts w:ascii="仿宋_GB2312" w:hAnsi="宋体" w:eastAsia="仿宋_GB2312"/>
          <w:b w:val="0"/>
          <w:bCs w:val="0"/>
          <w:sz w:val="32"/>
          <w:szCs w:val="32"/>
        </w:rPr>
      </w:pPr>
      <w:r>
        <w:rPr>
          <w:rFonts w:hint="eastAsia" w:ascii="仿宋_GB2312" w:eastAsia="仿宋_GB2312"/>
          <w:sz w:val="32"/>
          <w:szCs w:val="32"/>
        </w:rPr>
        <w:t>2018年上级下拨专项资金为1万元，针对塔县12个乡（镇）符合补助发放条件的20名残疾人发放。资金包括：</w:t>
      </w:r>
      <w:r>
        <w:rPr>
          <w:rFonts w:hint="eastAsia" w:ascii="仿宋_GB2312" w:hAnsi="宋体" w:eastAsia="仿宋_GB2312"/>
          <w:sz w:val="32"/>
          <w:szCs w:val="32"/>
        </w:rPr>
        <w:t>发放农村实用技术补贴资金1万元</w:t>
      </w:r>
      <w:r>
        <w:rPr>
          <w:rFonts w:hint="eastAsia" w:ascii="仿宋_GB2312" w:eastAsia="仿宋_GB2312"/>
          <w:sz w:val="32"/>
          <w:szCs w:val="32"/>
        </w:rPr>
        <w:t>。</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项目年初预算安排情况：</w:t>
      </w:r>
      <w:r>
        <w:rPr>
          <w:rFonts w:hint="eastAsia" w:ascii="仿宋_GB2312" w:eastAsia="仿宋_GB2312"/>
          <w:sz w:val="32"/>
          <w:szCs w:val="32"/>
        </w:rPr>
        <w:t>农村实用技术培训补贴资金1万元，</w:t>
      </w:r>
      <w:r>
        <w:rPr>
          <w:rFonts w:hint="eastAsia" w:ascii="仿宋_GB2312" w:eastAsia="仿宋_GB2312"/>
          <w:bCs/>
          <w:color w:val="000000"/>
          <w:sz w:val="32"/>
          <w:szCs w:val="32"/>
        </w:rPr>
        <w:t>共计1万元。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ind w:firstLine="640" w:firstLineChars="200"/>
        <w:outlineLvl w:val="0"/>
        <w:rPr>
          <w:rFonts w:ascii="仿宋_GB2312" w:eastAsia="仿宋_GB2312"/>
          <w:bCs/>
          <w:color w:val="000000"/>
          <w:sz w:val="32"/>
          <w:szCs w:val="32"/>
        </w:rPr>
      </w:pPr>
      <w:r>
        <w:rPr>
          <w:rFonts w:hint="eastAsia" w:ascii="仿宋_GB2312" w:hAnsi="宋体" w:eastAsia="仿宋_GB2312"/>
          <w:sz w:val="32"/>
          <w:szCs w:val="32"/>
        </w:rPr>
        <w:t>农村实用技术培训补贴人数20人,补贴资金1万元</w:t>
      </w:r>
      <w:r>
        <w:rPr>
          <w:rFonts w:hint="eastAsia" w:ascii="仿宋_GB2312" w:eastAsia="仿宋_GB2312"/>
          <w:bCs/>
          <w:color w:val="000000"/>
          <w:sz w:val="32"/>
          <w:szCs w:val="32"/>
        </w:rPr>
        <w:t>，此项资金已全部拨付给马尔洋乡残联，用于给符合培训条件的残疾人进行农村养殖技术培训。</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ind w:firstLine="640" w:firstLineChars="200"/>
        <w:outlineLvl w:val="0"/>
        <w:rPr>
          <w:rFonts w:ascii="仿宋_GB2312" w:eastAsia="仿宋_GB2312"/>
          <w:bCs/>
          <w:color w:val="000000"/>
          <w:sz w:val="32"/>
          <w:szCs w:val="32"/>
        </w:rPr>
      </w:pPr>
      <w:r>
        <w:rPr>
          <w:rFonts w:hint="eastAsia" w:ascii="仿宋_GB2312" w:hAnsi="楷体_GB2312" w:eastAsia="仿宋_GB2312" w:cs="楷体_GB2312"/>
          <w:sz w:val="32"/>
          <w:szCs w:val="32"/>
        </w:rPr>
        <w:t>此项资金根据财政统一安排，实施国库集中支付，</w:t>
      </w:r>
      <w:r>
        <w:rPr>
          <w:rFonts w:hint="eastAsia" w:ascii="仿宋_GB2312" w:hAnsi="仿宋_GB2312" w:eastAsia="仿宋_GB2312" w:cs="仿宋_GB2312"/>
          <w:bCs/>
          <w:color w:val="000000"/>
          <w:sz w:val="32"/>
          <w:szCs w:val="32"/>
        </w:rPr>
        <w:t>严格按照财政资金审批制度实施执行。</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专项资金管理制度：</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专项资金实行“专人负责、专门流程、专项使用”。</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资金的拨付本着专款专用的原则，严格执行项目资金批准的使用计划，不准擅自调项、扩项、缩项，更不准拆借、挪用、挤占和随意扣压；资金使用用途，按不同专项资金的要求执行，不准任意改变；特殊状况，务必请示。</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严格执行专项资金审核制度，各类专项资金审批程序，以该专项资金审批表所列资料和文件要求为准。</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专项资金报账拨付要附真实、有效、合法的凭证。</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对专项资金要定期或不定期进行督查，确保项目资金专款专用。</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bCs/>
          <w:color w:val="000000"/>
          <w:sz w:val="32"/>
          <w:szCs w:val="32"/>
        </w:rPr>
        <w:t>根据上级来文，县残联向喀什地区财政局申请预算拨款1万元，截止2018年12月，县残联已使用残疾人发展补助资金1万元。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sz w:val="32"/>
          <w:szCs w:val="32"/>
        </w:rPr>
        <w:t>2018年上级行业部门下拨专项资金：农村实用技术培训补贴资金1万元，</w:t>
      </w:r>
      <w:r>
        <w:rPr>
          <w:rFonts w:hint="eastAsia" w:ascii="仿宋_GB2312" w:eastAsia="仿宋_GB2312"/>
          <w:bCs/>
          <w:color w:val="000000"/>
          <w:sz w:val="32"/>
          <w:szCs w:val="32"/>
        </w:rPr>
        <w:t>共计1万元，支出1万元，无结余。</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2018年10月24日，县残联对马尔洋乡残联组织农村养殖技术培训档案进行了检查，主要对实施方案、培训前组织计划、培训教材、培训效果档案进行了查看。在后续工作中，县残联将进一步对参加培训人员养殖技术是否有效提升进行实地调查，反馈培训效果。</w:t>
      </w:r>
    </w:p>
    <w:p>
      <w:pPr>
        <w:spacing w:line="540" w:lineRule="exact"/>
        <w:ind w:firstLine="624" w:firstLineChars="20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627" w:firstLineChars="200"/>
        <w:rPr>
          <w:rStyle w:val="1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产出指标分析及文字说明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（1）农村实用技术培训补贴人数20人，补助资金1万元，实际执行1万元。</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（1）足额发放农村实用技术培训补贴预期完成率100%，实际完成率100%。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残疾人事业发展补助资金足额发放及时率100%，实际完成率100%。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4、成本指标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（1）残疾人农村实用技术培训补贴资金补助标准0.05万元/人/年，按标准发放；</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绩效定性指标分析及详细文字说明：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1、经济效益指标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项目直接发放和间接补贴的方式为符合发放条件的残疾人减轻生活负担，增加收入1万元，主要体现在：残疾人就业与扶贫资金的使用为我县残疾人的生活环境改善、技术技能掌握提供了资金支持，提高了残疾人家庭生活环境的便利性，提升了残疾人养殖技术水平，为残疾人自主创业、积极脱贫提供了前提保障。。</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2、社会效益指标</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（1）计划享受残疾人事业发展补助资金残疾人共计20人,实际补助20人。</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通过建立残疾人基本信息实名制台账和建档立卡贫困残疾人基本信息实名制台账，县残联能够更加准确、全面的掌握残疾人基本状况，并实地了解建档立卡残疾人家庭困难和需求，让残疾人惠残政策运行高效透明。</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3、生态效益指标（无）</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4、可持续影响指标</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通过残疾人事业发展补助资金的发放，持续提高和改善残疾人生活水平，此项工作需要长期坚持。</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 w:hAnsi="仿宋" w:eastAsia="仿宋"/>
          <w:spacing w:val="-4"/>
          <w:sz w:val="32"/>
          <w:szCs w:val="32"/>
        </w:rPr>
      </w:pPr>
      <w:r>
        <w:rPr>
          <w:rFonts w:hint="eastAsia" w:ascii="仿宋_GB2312" w:eastAsia="仿宋_GB2312"/>
          <w:bCs/>
          <w:color w:val="000000"/>
          <w:sz w:val="32"/>
          <w:szCs w:val="32"/>
        </w:rPr>
        <w:t>全部项目已完成。</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pacing w:val="-4"/>
          <w:sz w:val="32"/>
          <w:szCs w:val="32"/>
        </w:rPr>
      </w:pPr>
      <w:r>
        <w:rPr>
          <w:rFonts w:hint="eastAsia" w:ascii="仿宋_GB2312" w:eastAsia="仿宋_GB2312"/>
          <w:bCs/>
          <w:color w:val="000000"/>
          <w:sz w:val="32"/>
          <w:szCs w:val="32"/>
        </w:rPr>
        <w:t>县残联将更加充分的利用残疾人事业发展补助资金，解决残疾人</w:t>
      </w:r>
      <w:r>
        <w:rPr>
          <w:rFonts w:hint="eastAsia" w:ascii="仿宋_GB2312" w:hAnsi="仿宋" w:eastAsia="仿宋_GB2312"/>
          <w:sz w:val="32"/>
          <w:szCs w:val="32"/>
        </w:rPr>
        <w:t>最关心、最直接、最现实的（残疾人康复、托养、就业、扶贫等）利益问题，</w:t>
      </w:r>
      <w:r>
        <w:rPr>
          <w:rFonts w:hint="eastAsia" w:ascii="仿宋_GB2312" w:hAnsi="宋体" w:eastAsia="仿宋_GB2312" w:cs="宋体"/>
          <w:color w:val="000000"/>
          <w:sz w:val="32"/>
          <w:szCs w:val="32"/>
        </w:rPr>
        <w:t>以逐步改善残疾人的基本生活为重点，创造良好的社会环境，使残疾人事业健康发展。</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项目实施过程中好的经验总结：</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合理利用专业系统核实我县残疾人基本信息，建立各类精准台账，为发放残疾人事业发展补助提供真实可靠的信息保障。</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项目实施过程中存在的问题及原因分析：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1、残联的人员编制少，使残疾人事业的宣传具有局限性，形成了一些人对发展残疾人事业的认识不深、理解不够。</w:t>
      </w:r>
    </w:p>
    <w:p>
      <w:pPr>
        <w:ind w:firstLine="640" w:firstLineChars="200"/>
        <w:outlineLvl w:val="0"/>
        <w:rPr>
          <w:rFonts w:ascii="仿宋_GB2312" w:eastAsia="仿宋_GB2312"/>
          <w:bCs/>
          <w:color w:val="000000"/>
          <w:sz w:val="32"/>
          <w:szCs w:val="32"/>
        </w:rPr>
      </w:pPr>
      <w:r>
        <w:rPr>
          <w:rFonts w:hint="eastAsia" w:ascii="仿宋_GB2312" w:hAnsi="仿宋" w:eastAsia="仿宋_GB2312"/>
          <w:sz w:val="32"/>
          <w:szCs w:val="32"/>
        </w:rPr>
        <w:t>2、各乡、镇民政干事人员流动性大，没有形成专人专责工作制度，造成对残疾人事业发展补助资金使用情况认识不到位，对残疾人进行政策宣讲和解读不到位。</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对下一年度项目实施的改进意见或措施：</w:t>
      </w:r>
    </w:p>
    <w:p>
      <w:pPr>
        <w:pStyle w:val="44"/>
        <w:spacing w:line="56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1、以健全“两个体系”（保障体系和服务体系）和“大力扶持、帮助贫困残疾人”为主题结合实际宣传在残疾人事业中取得的丰硕成果。开展多种形式的助残活动，进一步扩大扶残、助残的影响面，在全社会营造关心残疾人，支持残疾人事业的局面。积极开展各项活动，建立自治县残疾人文体人才库，提高残疾人参与社会的能力。</w:t>
      </w:r>
    </w:p>
    <w:p>
      <w:pPr>
        <w:spacing w:line="540" w:lineRule="exact"/>
        <w:ind w:firstLine="640" w:firstLineChars="200"/>
        <w:rPr>
          <w:rFonts w:ascii="仿宋_GB2312" w:hAnsi="楷体" w:eastAsia="仿宋_GB2312"/>
          <w:b/>
          <w:spacing w:val="-4"/>
          <w:sz w:val="32"/>
          <w:szCs w:val="32"/>
        </w:rPr>
      </w:pPr>
      <w:r>
        <w:rPr>
          <w:rFonts w:hint="eastAsia" w:ascii="仿宋_GB2312" w:eastAsia="仿宋_GB2312"/>
          <w:bCs/>
          <w:color w:val="000000"/>
          <w:sz w:val="32"/>
          <w:szCs w:val="32"/>
        </w:rPr>
        <w:t>2、</w:t>
      </w:r>
      <w:r>
        <w:rPr>
          <w:rFonts w:hint="eastAsia" w:ascii="仿宋_GB2312" w:hAnsi="仿宋" w:eastAsia="仿宋_GB2312"/>
          <w:sz w:val="32"/>
          <w:szCs w:val="32"/>
        </w:rPr>
        <w:t>对各乡、镇民政干事进行残疾人事业发展补助资金文件进行培训，进一步巩固民政干事对政策的认识和理解。</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hint="eastAsia" w:ascii="仿宋_GB2312" w:hAnsi="楷体" w:eastAsia="仿宋_GB2312"/>
          <w:spacing w:val="-4"/>
          <w:sz w:val="32"/>
          <w:szCs w:val="32"/>
          <w:lang w:eastAsia="zh-CN"/>
        </w:rPr>
      </w:pPr>
      <w:r>
        <w:rPr>
          <w:rFonts w:hint="eastAsia" w:ascii="仿宋_GB2312" w:hAnsi="楷体" w:eastAsia="仿宋_GB2312"/>
          <w:spacing w:val="-4"/>
          <w:sz w:val="32"/>
          <w:szCs w:val="32"/>
        </w:rPr>
        <w:t>无</w:t>
      </w:r>
      <w:r>
        <w:rPr>
          <w:rFonts w:hint="eastAsia" w:ascii="仿宋_GB2312" w:hAnsi="楷体" w:eastAsia="仿宋_GB2312"/>
          <w:spacing w:val="-4"/>
          <w:sz w:val="32"/>
          <w:szCs w:val="32"/>
          <w:lang w:eastAsia="zh-CN"/>
        </w:rPr>
        <w:t>。</w:t>
      </w:r>
    </w:p>
    <w:p>
      <w:pPr>
        <w:numPr>
          <w:ilvl w:val="0"/>
          <w:numId w:val="1"/>
        </w:numPr>
        <w:spacing w:line="540" w:lineRule="exact"/>
        <w:ind w:firstLine="624" w:firstLineChars="200"/>
        <w:rPr>
          <w:rStyle w:val="16"/>
          <w:rFonts w:hint="eastAsia" w:ascii="黑体" w:hAnsi="黑体" w:eastAsia="黑体"/>
          <w:b w:val="0"/>
          <w:spacing w:val="-4"/>
          <w:sz w:val="32"/>
          <w:szCs w:val="32"/>
        </w:rPr>
      </w:pPr>
      <w:r>
        <w:rPr>
          <w:rStyle w:val="16"/>
          <w:rFonts w:hint="eastAsia" w:ascii="黑体" w:hAnsi="黑体" w:eastAsia="黑体"/>
          <w:b w:val="0"/>
          <w:spacing w:val="-4"/>
          <w:sz w:val="32"/>
          <w:szCs w:val="32"/>
        </w:rPr>
        <w:t>项目评价工作情况</w:t>
      </w:r>
    </w:p>
    <w:p>
      <w:pPr>
        <w:spacing w:line="450" w:lineRule="atLeast"/>
        <w:ind w:firstLine="567"/>
        <w:rPr>
          <w:rFonts w:ascii="仿宋" w:hAnsi="仿宋" w:eastAsia="仿宋"/>
          <w:bCs/>
          <w:spacing w:val="-4"/>
          <w:sz w:val="32"/>
          <w:szCs w:val="32"/>
        </w:rPr>
      </w:pPr>
      <w:r>
        <w:rPr>
          <w:rFonts w:hint="eastAsia" w:ascii="仿宋" w:hAnsi="仿宋" w:eastAsia="仿宋"/>
          <w:bCs/>
          <w:spacing w:val="-4"/>
          <w:sz w:val="32"/>
          <w:szCs w:val="32"/>
        </w:rPr>
        <w:t>本次绩效评价共分三个阶段</w:t>
      </w:r>
      <w:r>
        <w:rPr>
          <w:rFonts w:ascii="仿宋" w:hAnsi="仿宋" w:eastAsia="仿宋"/>
          <w:bCs/>
          <w:spacing w:val="-4"/>
          <w:sz w:val="32"/>
          <w:szCs w:val="32"/>
        </w:rPr>
        <w:t>,</w:t>
      </w:r>
      <w:r>
        <w:rPr>
          <w:rFonts w:hint="eastAsia" w:ascii="仿宋" w:hAnsi="仿宋" w:eastAsia="仿宋"/>
          <w:bCs/>
          <w:spacing w:val="-4"/>
          <w:sz w:val="32"/>
          <w:szCs w:val="32"/>
        </w:rPr>
        <w:t>一是绩效评价准备。召开学习准备会，通过对财政预算绩效评价相关文件的学习，制定实施方案，成立评价小组。二是绩效评价实施。严格按照规定组织实施绩效评价，查阅和收集有关数据资料，并进行认真分析，初步计算出各评价指标分值。三是绩效评价报告形成。通过对各项资料进行归纳整理，形成绩效评价报告。</w:t>
      </w:r>
    </w:p>
    <w:p>
      <w:pPr>
        <w:spacing w:line="540" w:lineRule="exact"/>
        <w:rPr>
          <w:rStyle w:val="16"/>
          <w:rFonts w:ascii="黑体" w:hAnsi="黑体" w:eastAsia="黑体"/>
          <w:b w:val="0"/>
          <w:spacing w:val="-4"/>
          <w:sz w:val="32"/>
          <w:szCs w:val="32"/>
        </w:rPr>
      </w:pPr>
      <w:r>
        <w:rPr>
          <w:rStyle w:val="16"/>
          <w:rFonts w:hint="eastAsia" w:ascii="黑体" w:hAnsi="黑体" w:eastAsia="黑体"/>
          <w:b w:val="0"/>
          <w:spacing w:val="-4"/>
          <w:sz w:val="32"/>
          <w:szCs w:val="32"/>
          <w:lang w:val="en-US" w:eastAsia="zh-CN"/>
        </w:rPr>
        <w:t xml:space="preserve">    </w:t>
      </w:r>
      <w:bookmarkStart w:id="0" w:name="_GoBack"/>
      <w:bookmarkEnd w:id="0"/>
      <w:r>
        <w:rPr>
          <w:rStyle w:val="16"/>
          <w:rFonts w:hint="eastAsia" w:ascii="黑体" w:hAnsi="黑体" w:eastAsia="黑体"/>
          <w:b w:val="0"/>
          <w:spacing w:val="-4"/>
          <w:sz w:val="32"/>
          <w:szCs w:val="32"/>
        </w:rPr>
        <w:t>七、附表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61571"/>
    <w:multiLevelType w:val="singleLevel"/>
    <w:tmpl w:val="5D861571"/>
    <w:lvl w:ilvl="0" w:tentative="0">
      <w:start w:val="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42EA"/>
    <w:rsid w:val="002549A7"/>
    <w:rsid w:val="002A73D1"/>
    <w:rsid w:val="002E0EBA"/>
    <w:rsid w:val="003645EE"/>
    <w:rsid w:val="004452D9"/>
    <w:rsid w:val="0046585E"/>
    <w:rsid w:val="005162F1"/>
    <w:rsid w:val="00535153"/>
    <w:rsid w:val="00560236"/>
    <w:rsid w:val="006358FB"/>
    <w:rsid w:val="006A25D2"/>
    <w:rsid w:val="007F1A6A"/>
    <w:rsid w:val="00835C4A"/>
    <w:rsid w:val="00855E3A"/>
    <w:rsid w:val="008E658A"/>
    <w:rsid w:val="008F65F6"/>
    <w:rsid w:val="00915EAF"/>
    <w:rsid w:val="00916824"/>
    <w:rsid w:val="009172CC"/>
    <w:rsid w:val="00922CB9"/>
    <w:rsid w:val="00A15C6E"/>
    <w:rsid w:val="00A26421"/>
    <w:rsid w:val="00A4293B"/>
    <w:rsid w:val="00A62611"/>
    <w:rsid w:val="00B41F61"/>
    <w:rsid w:val="00C507D7"/>
    <w:rsid w:val="00C56C72"/>
    <w:rsid w:val="00CA6457"/>
    <w:rsid w:val="00CF0D57"/>
    <w:rsid w:val="00D17F2E"/>
    <w:rsid w:val="00D56FD3"/>
    <w:rsid w:val="00DB47D0"/>
    <w:rsid w:val="00E551DB"/>
    <w:rsid w:val="00E61A3F"/>
    <w:rsid w:val="00E769FE"/>
    <w:rsid w:val="00E81FFB"/>
    <w:rsid w:val="00EA2CBE"/>
    <w:rsid w:val="00F32FEE"/>
    <w:rsid w:val="00FB22E2"/>
    <w:rsid w:val="00FD2BF0"/>
    <w:rsid w:val="08691ADF"/>
    <w:rsid w:val="1E7730E9"/>
    <w:rsid w:val="3AD30C79"/>
    <w:rsid w:val="6CC223FD"/>
    <w:rsid w:val="779919EC"/>
    <w:rsid w:val="7D440334"/>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qFormat/>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qFormat/>
    <w:uiPriority w:val="99"/>
    <w:rPr>
      <w:rFonts w:ascii="Calibri" w:hAnsi="Calibri" w:eastAsia="宋体"/>
      <w:kern w:val="2"/>
      <w:sz w:val="18"/>
      <w:szCs w:val="18"/>
    </w:rPr>
  </w:style>
  <w:style w:type="paragraph" w:customStyle="1" w:styleId="44">
    <w:name w:val="p0"/>
    <w:basedOn w:val="1"/>
    <w:qFormat/>
    <w:uiPriority w:val="0"/>
    <w:pPr>
      <w:widowControl/>
    </w:pPr>
    <w:rPr>
      <w:kern w:val="0"/>
    </w:rPr>
  </w:style>
  <w:style w:type="paragraph" w:customStyle="1" w:styleId="45">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373</Words>
  <Characters>2129</Characters>
  <Lines>17</Lines>
  <Paragraphs>4</Paragraphs>
  <TotalTime>0</TotalTime>
  <ScaleCrop>false</ScaleCrop>
  <LinksUpToDate>false</LinksUpToDate>
  <CharactersWithSpaces>2498</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2019-09-21T12:17:58Z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