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68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计划生育奖励扶助资金项目</w:t>
      </w:r>
    </w:p>
    <w:p>
      <w:pPr>
        <w:pStyle w:val="49"/>
        <w:spacing w:line="700" w:lineRule="exact"/>
        <w:ind w:firstLine="720" w:firstLineChars="200"/>
        <w:jc w:val="left"/>
        <w:rPr>
          <w:rFonts w:hint="eastAsia" w:cs="仿宋_GB2312" w:asciiTheme="minorEastAsia" w:hAnsiTheme="minorEastAsia" w:eastAsiaTheme="minorEastAsia"/>
          <w:b/>
          <w:color w:val="auto"/>
          <w:kern w:val="0"/>
          <w:sz w:val="32"/>
          <w:szCs w:val="32"/>
          <w:lang w:val="zh-TW"/>
        </w:rPr>
      </w:pPr>
      <w:r>
        <w:rPr>
          <w:rFonts w:ascii="仿宋_GB2312" w:hAnsi="仿宋_GB2312" w:eastAsia="仿宋_GB2312" w:cs="仿宋_GB2312"/>
          <w:kern w:val="0"/>
          <w:sz w:val="36"/>
          <w:szCs w:val="36"/>
          <w:lang w:val="zh-TW" w:eastAsia="zh-TW"/>
        </w:rPr>
        <w:t>实施单位（公章）：塔什库尔干县计划生育委员会</w:t>
      </w:r>
    </w:p>
    <w:p>
      <w:pPr>
        <w:pStyle w:val="49"/>
        <w:spacing w:line="700" w:lineRule="exact"/>
        <w:ind w:firstLine="720" w:firstLineChars="200"/>
        <w:jc w:val="left"/>
        <w:rPr>
          <w:b/>
          <w:kern w:val="0"/>
          <w:sz w:val="36"/>
          <w:szCs w:val="36"/>
          <w:lang w:val="zh-TW" w:eastAsia="zh-TW"/>
        </w:rPr>
      </w:pPr>
      <w:r>
        <w:rPr>
          <w:rFonts w:ascii="仿宋_GB2312" w:hAnsi="仿宋_GB2312" w:eastAsia="仿宋_GB2312" w:cs="仿宋_GB2312"/>
          <w:kern w:val="0"/>
          <w:sz w:val="36"/>
          <w:szCs w:val="36"/>
          <w:lang w:val="zh-TW" w:eastAsia="zh-TW"/>
        </w:rPr>
        <w:t>主管部门（公章）：塔什库尔干县卫生和计划生育委员会</w:t>
      </w: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夏依曼</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塔县计生委性质为行政（全额）拨款，执行会计制度为  （行政）会计制度。独立编制机构1个，独立编制机构与上年 （无）变动，变动原因：无</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 xml:space="preserve">一、主要职能： </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（一）贯彻执行有关人口和计划生育工作的法律法规和方针政策；研究全县人口发展战略，提出统筹解决人口问题的目标和任务建议，研究提出人口与经济、社会、资源、环境协调可持续发展的政策建议。</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（二）拟定全县人口与计划生育发展中长期规划、年度计划和事业发展规划并组织实施，对人口和计划生育规划执行情况进行监督和评估，</w:t>
      </w:r>
      <w:r>
        <w:rPr>
          <w:rFonts w:hint="eastAsia" w:ascii="仿宋" w:hAnsi="仿宋" w:eastAsia="仿宋"/>
          <w:bCs/>
          <w:spacing w:val="-4"/>
          <w:sz w:val="32"/>
          <w:szCs w:val="32"/>
          <w:lang w:val="en-US" w:eastAsia="zh-CN"/>
        </w:rPr>
        <w:t>确保</w:t>
      </w:r>
      <w:r>
        <w:rPr>
          <w:rFonts w:hint="eastAsia" w:ascii="仿宋" w:hAnsi="仿宋" w:eastAsia="仿宋"/>
          <w:bCs/>
          <w:spacing w:val="-4"/>
          <w:sz w:val="32"/>
          <w:szCs w:val="32"/>
        </w:rPr>
        <w:t>低生育水平。</w:t>
      </w:r>
      <w:bookmarkStart w:id="1" w:name="_GoBack"/>
      <w:bookmarkEnd w:id="1"/>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三）负责协调推动有关部门、群众团体履行人口和计划生育工作相关职责，促进人口和计划生育方针政策在教育、卫生、文化、就业和社会保障等工作中的衔接配合；会同有关部门研究提出促进出生人口性别平衡的政策措施。</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（四）负责流动人口计划生育管理和服务工作，研究提出促进人口有序流动、合理分布的政策建议，制定流动人口计划生育服务管理规划，建立流动人口计划生育信息共享和公共服务工作机制。</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（五）监测全县人口和计划生育发展动态；负责人口和计划生育统计、信息综合及信息化建设；参与全县人口基础数据库建设。</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（六）组织实施全县人口和计划生育科学研究的总体规划；依法管理全县人口和计划生育技术服务工作，依法公布有关计划生育科学研究、技术服务重要信息，对计划生育技术服务和药具发放进行指导和监督。</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（七）制定全县人口和计划生育宣传教育工作规划，组织开展人口和计划生育宣传教育工作。</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（八）推动实施计划生育的生殖健康促进计划，提高人口素质，协同有关部门降低出生人口缺陷的数量。</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（九）制定人口和计划生育系统干部队伍教育培训规划并组织实施，指导人口和计划生育公共服务网络体系建设。</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（十）贯彻落实有关奖励扶助制度和优惠政策；编制全县计划生育事业经费、基本建设支出的预算和计划生育药具需求计划。</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二、部门决算单位构成。</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机构人员情况：编制</w:t>
      </w:r>
      <w:r>
        <w:rPr>
          <w:rFonts w:hint="eastAsia" w:ascii="仿宋" w:hAnsi="仿宋" w:eastAsia="仿宋"/>
          <w:bCs/>
          <w:spacing w:val="-4"/>
          <w:sz w:val="32"/>
          <w:szCs w:val="32"/>
          <w:lang w:val="en-US" w:eastAsia="zh-CN"/>
        </w:rPr>
        <w:t>5</w:t>
      </w:r>
      <w:r>
        <w:rPr>
          <w:rFonts w:hint="eastAsia" w:ascii="仿宋" w:hAnsi="仿宋" w:eastAsia="仿宋"/>
          <w:bCs/>
          <w:spacing w:val="-4"/>
          <w:sz w:val="32"/>
          <w:szCs w:val="32"/>
        </w:rPr>
        <w:t>人（按照编委文件填报），实有在职人数</w:t>
      </w:r>
      <w:r>
        <w:rPr>
          <w:rFonts w:hint="eastAsia" w:ascii="仿宋" w:hAnsi="仿宋" w:eastAsia="仿宋"/>
          <w:bCs/>
          <w:spacing w:val="-4"/>
          <w:sz w:val="32"/>
          <w:szCs w:val="32"/>
          <w:lang w:val="en-US" w:eastAsia="zh-CN"/>
        </w:rPr>
        <w:t>2</w:t>
      </w:r>
      <w:r>
        <w:rPr>
          <w:rFonts w:hint="eastAsia" w:ascii="仿宋" w:hAnsi="仿宋" w:eastAsia="仿宋"/>
          <w:bCs/>
          <w:spacing w:val="-4"/>
          <w:sz w:val="32"/>
          <w:szCs w:val="32"/>
        </w:rPr>
        <w:t>人，退休</w:t>
      </w:r>
      <w:r>
        <w:rPr>
          <w:rFonts w:hint="eastAsia" w:ascii="仿宋" w:hAnsi="仿宋" w:eastAsia="仿宋"/>
          <w:bCs/>
          <w:spacing w:val="-4"/>
          <w:sz w:val="32"/>
          <w:szCs w:val="32"/>
          <w:lang w:val="en-US" w:eastAsia="zh-CN"/>
        </w:rPr>
        <w:t>7</w:t>
      </w:r>
      <w:r>
        <w:rPr>
          <w:rFonts w:hint="eastAsia" w:ascii="仿宋" w:hAnsi="仿宋" w:eastAsia="仿宋"/>
          <w:bCs/>
          <w:spacing w:val="-4"/>
          <w:sz w:val="32"/>
          <w:szCs w:val="32"/>
        </w:rPr>
        <w:t>人，属于一般公共预算财政拨款（补助）开支9人，其中：在职</w:t>
      </w:r>
      <w:r>
        <w:rPr>
          <w:rFonts w:hint="eastAsia" w:ascii="仿宋" w:hAnsi="仿宋" w:eastAsia="仿宋"/>
          <w:bCs/>
          <w:spacing w:val="-4"/>
          <w:sz w:val="32"/>
          <w:szCs w:val="32"/>
          <w:lang w:val="en-US" w:eastAsia="zh-CN"/>
        </w:rPr>
        <w:t>2</w:t>
      </w:r>
      <w:r>
        <w:rPr>
          <w:rFonts w:hint="eastAsia" w:ascii="仿宋" w:hAnsi="仿宋" w:eastAsia="仿宋"/>
          <w:bCs/>
          <w:spacing w:val="-4"/>
          <w:sz w:val="32"/>
          <w:szCs w:val="32"/>
        </w:rPr>
        <w:t>人，退休</w:t>
      </w:r>
      <w:r>
        <w:rPr>
          <w:rFonts w:hint="eastAsia" w:ascii="仿宋" w:hAnsi="仿宋" w:eastAsia="仿宋"/>
          <w:bCs/>
          <w:spacing w:val="-4"/>
          <w:sz w:val="32"/>
          <w:szCs w:val="32"/>
          <w:lang w:val="en-US" w:eastAsia="zh-CN"/>
        </w:rPr>
        <w:t>7</w:t>
      </w:r>
      <w:r>
        <w:rPr>
          <w:rFonts w:hint="eastAsia" w:ascii="仿宋" w:hAnsi="仿宋" w:eastAsia="仿宋"/>
          <w:bCs/>
          <w:spacing w:val="-4"/>
          <w:sz w:val="32"/>
          <w:szCs w:val="32"/>
        </w:rPr>
        <w:t>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680" w:lineRule="exact"/>
        <w:ind w:firstLine="624" w:firstLineChars="200"/>
        <w:rPr>
          <w:rFonts w:ascii="仿宋" w:hAnsi="仿宋" w:eastAsia="仿宋"/>
          <w:bCs/>
          <w:spacing w:val="-4"/>
          <w:sz w:val="32"/>
          <w:szCs w:val="32"/>
        </w:rPr>
      </w:pPr>
      <w:bookmarkStart w:id="0" w:name="_Toc405279309"/>
      <w:r>
        <w:rPr>
          <w:rFonts w:hint="eastAsia" w:ascii="仿宋" w:hAnsi="仿宋" w:eastAsia="仿宋"/>
          <w:bCs/>
          <w:spacing w:val="-4"/>
          <w:sz w:val="32"/>
          <w:szCs w:val="32"/>
        </w:rPr>
        <w:t>完成了建立健全计划生育利益导向机制，缓解实行计划生育家庭在生产、生活和养老方面的特殊困难；解除实行计划生育群众的后顾之忧，促进计划生育工作向依法管理、优质服务、利益导向转变；促进消除贫困人口和全面建设小康社会目标的实现，加快人口与经济社会的协调发展，兑现了党和政府的承诺，提高了政府公信力，密切党群干群关系，保障计划生育家庭的合法权益。</w:t>
      </w:r>
      <w:bookmarkEnd w:id="0"/>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000000" w:themeColor="text1"/>
          <w:spacing w:val="-4"/>
          <w:sz w:val="32"/>
          <w:szCs w:val="32"/>
        </w:rPr>
        <w:t>本项目性质为</w:t>
      </w:r>
      <w:r>
        <w:rPr>
          <w:rFonts w:hint="eastAsia" w:ascii="仿宋" w:hAnsi="仿宋" w:eastAsia="仿宋"/>
          <w:bCs/>
          <w:spacing w:val="-4"/>
          <w:sz w:val="32"/>
          <w:szCs w:val="32"/>
        </w:rPr>
        <w:t>延续项目</w:t>
      </w:r>
      <w:r>
        <w:rPr>
          <w:rFonts w:hint="eastAsia" w:ascii="仿宋" w:hAnsi="仿宋" w:eastAsia="仿宋"/>
          <w:bCs/>
          <w:spacing w:val="-4"/>
          <w:sz w:val="32"/>
          <w:szCs w:val="32"/>
          <w:lang w:eastAsia="zh-CN"/>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主要用途计划生育“领证”家庭奖励扶助、范围计划生育家庭特别扶助制度、南疆地区特殊奖励制度，少生快富一次性奖励，国家部分农村计划生育家庭扶助资金。政府通过对符合条件的计划生育家庭给予经济上的奖励和扶助，目的是缓解计划生育家庭的特殊困难，改善和提高计划生育家庭的生活质量，引导更多群众自觉实行计划生育，建立以政策性奖励扶助为主体，多种帮扶活动为补充，相关社会经济政策配套的政策体系，逐步完善有利于计划生育工作的利益导向机制。</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二、项目资金使用及管理情况</w:t>
      </w:r>
    </w:p>
    <w:p>
      <w:pPr>
        <w:adjustRightInd w:val="0"/>
        <w:snapToGrid w:val="0"/>
        <w:spacing w:line="680" w:lineRule="exact"/>
        <w:ind w:firstLine="624" w:firstLineChars="200"/>
        <w:rPr>
          <w:rFonts w:hint="eastAsia" w:ascii="仿宋" w:hAnsi="仿宋" w:eastAsia="仿宋"/>
          <w:bCs/>
          <w:spacing w:val="-4"/>
          <w:sz w:val="32"/>
          <w:szCs w:val="32"/>
        </w:rPr>
      </w:pPr>
      <w:r>
        <w:rPr>
          <w:rFonts w:hint="eastAsia" w:ascii="仿宋" w:hAnsi="仿宋" w:eastAsia="仿宋"/>
          <w:bCs/>
          <w:spacing w:val="-4"/>
          <w:sz w:val="32"/>
          <w:szCs w:val="32"/>
        </w:rPr>
        <w:t>（一）项目资金安排落实、总投入等情况分析</w:t>
      </w:r>
    </w:p>
    <w:p>
      <w:pPr>
        <w:adjustRightInd w:val="0"/>
        <w:snapToGrid w:val="0"/>
        <w:spacing w:line="680" w:lineRule="exact"/>
        <w:ind w:firstLine="624" w:firstLineChars="200"/>
        <w:rPr>
          <w:rFonts w:ascii="仿宋" w:hAnsi="仿宋" w:eastAsia="仿宋"/>
          <w:sz w:val="32"/>
          <w:szCs w:val="32"/>
        </w:rPr>
      </w:pPr>
      <w:r>
        <w:rPr>
          <w:rFonts w:hint="eastAsia" w:ascii="仿宋" w:hAnsi="仿宋" w:eastAsia="仿宋"/>
          <w:bCs/>
          <w:spacing w:val="-4"/>
          <w:sz w:val="32"/>
          <w:szCs w:val="32"/>
        </w:rPr>
        <w:t>项目预算</w:t>
      </w:r>
      <w:r>
        <w:rPr>
          <w:rFonts w:hint="eastAsia" w:ascii="仿宋" w:hAnsi="仿宋" w:eastAsia="仿宋"/>
          <w:bCs/>
          <w:spacing w:val="-4"/>
          <w:sz w:val="32"/>
          <w:szCs w:val="32"/>
          <w:lang w:eastAsia="zh-CN"/>
        </w:rPr>
        <w:t>资金</w:t>
      </w:r>
      <w:r>
        <w:rPr>
          <w:rFonts w:hint="eastAsia" w:ascii="仿宋" w:hAnsi="仿宋" w:eastAsia="仿宋"/>
          <w:bCs/>
          <w:spacing w:val="-4"/>
          <w:sz w:val="32"/>
          <w:szCs w:val="32"/>
        </w:rPr>
        <w:t>429.1万元，资金来源为财政拨款。</w:t>
      </w:r>
    </w:p>
    <w:p>
      <w:pPr>
        <w:adjustRightInd w:val="0"/>
        <w:snapToGrid w:val="0"/>
        <w:spacing w:line="680" w:lineRule="exact"/>
        <w:ind w:firstLine="640" w:firstLineChars="200"/>
        <w:rPr>
          <w:rFonts w:ascii="仿宋" w:hAnsi="仿宋" w:eastAsia="仿宋"/>
          <w:bCs/>
          <w:spacing w:val="-4"/>
          <w:sz w:val="32"/>
          <w:szCs w:val="32"/>
        </w:rPr>
      </w:pPr>
      <w:r>
        <w:rPr>
          <w:rFonts w:ascii="仿宋" w:hAnsi="仿宋" w:eastAsia="仿宋"/>
          <w:sz w:val="32"/>
          <w:szCs w:val="32"/>
        </w:rPr>
        <w:t xml:space="preserve"> </w:t>
      </w:r>
      <w:r>
        <w:rPr>
          <w:rFonts w:hint="eastAsia" w:ascii="仿宋" w:hAnsi="仿宋" w:eastAsia="仿宋"/>
          <w:bCs/>
          <w:spacing w:val="-4"/>
          <w:sz w:val="32"/>
          <w:szCs w:val="32"/>
        </w:rPr>
        <w:t>计划生育奖励资金项目预算安排总额为429.1万元，其中财政资金429.1万元， 2018年实际收到预算资金429.1万元。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68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本项目实际支付资金429.1万元，预算执行率100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，项目资金主要用于支付计划生育奖励费用429.1万元。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spacing w:line="680" w:lineRule="exact"/>
        <w:ind w:firstLine="480" w:firstLineChars="150"/>
        <w:jc w:val="left"/>
        <w:rPr>
          <w:rFonts w:ascii="仿宋" w:hAnsi="仿宋" w:eastAsia="仿宋"/>
          <w:sz w:val="32"/>
          <w:szCs w:val="32"/>
        </w:rPr>
      </w:pPr>
      <w:r>
        <w:rPr>
          <w:rFonts w:hint="eastAsia" w:ascii="仿宋" w:hAnsi="仿宋" w:eastAsia="仿宋"/>
          <w:sz w:val="32"/>
          <w:szCs w:val="32"/>
        </w:rPr>
        <w:t>建立健全相关规章制度</w:t>
      </w:r>
      <w:r>
        <w:rPr>
          <w:rFonts w:hint="eastAsia" w:ascii="仿宋" w:hAnsi="仿宋" w:eastAsia="仿宋"/>
          <w:b/>
          <w:bCs/>
          <w:sz w:val="32"/>
          <w:szCs w:val="32"/>
        </w:rPr>
        <w:t>:</w:t>
      </w:r>
      <w:r>
        <w:rPr>
          <w:rFonts w:hint="eastAsia" w:ascii="仿宋" w:hAnsi="仿宋" w:eastAsia="仿宋"/>
          <w:sz w:val="32"/>
          <w:szCs w:val="32"/>
        </w:rPr>
        <w:t>《南疆地区特殊奖励制度管理办法》、《国家特别扶助管理办法》《国家部分计划生育家庭奖励管理办法》、等相关规章制度。县卫计委对乡镇奖励扶助资金申报、网上录入、进行监督、资金发放后对所在乡镇辖区内的奖励人员进行奖励资金到位情况入户调查。</w:t>
      </w:r>
    </w:p>
    <w:p>
      <w:pPr>
        <w:spacing w:line="680" w:lineRule="exact"/>
        <w:jc w:val="left"/>
        <w:rPr>
          <w:rStyle w:val="19"/>
          <w:rFonts w:ascii="仿宋" w:hAnsi="仿宋" w:eastAsia="仿宋"/>
          <w:b w:val="0"/>
          <w:bCs w:val="0"/>
          <w:sz w:val="32"/>
          <w:szCs w:val="32"/>
        </w:rPr>
      </w:pPr>
      <w:r>
        <w:rPr>
          <w:rFonts w:hint="eastAsia" w:ascii="仿宋" w:hAnsi="仿宋" w:eastAsia="仿宋"/>
          <w:sz w:val="32"/>
          <w:szCs w:val="32"/>
        </w:rPr>
        <w:t>2018年县财政局拨付到我单位账户、县卫计委名单提供到乡镇、资金拨付到乡镇账户、乡镇负责发放。</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680" w:lineRule="exact"/>
        <w:ind w:firstLine="640" w:firstLineChars="200"/>
        <w:rPr>
          <w:rFonts w:ascii="仿宋" w:hAnsi="仿宋" w:eastAsia="仿宋"/>
          <w:sz w:val="32"/>
          <w:szCs w:val="32"/>
        </w:rPr>
      </w:pPr>
      <w:r>
        <w:rPr>
          <w:rFonts w:hint="eastAsia" w:ascii="仿宋" w:hAnsi="仿宋" w:eastAsia="仿宋"/>
          <w:sz w:val="32"/>
          <w:szCs w:val="32"/>
        </w:rPr>
        <w:t>为保证项目质量和成本控制，项目实施完成后，由本项目相关人员于60天之内发放奖励资金。</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680" w:lineRule="exact"/>
        <w:ind w:firstLine="640" w:firstLineChars="200"/>
        <w:outlineLvl w:val="0"/>
        <w:rPr>
          <w:rStyle w:val="19"/>
          <w:rFonts w:ascii="仿宋" w:hAnsi="仿宋" w:eastAsia="仿宋"/>
          <w:spacing w:val="-4"/>
          <w:sz w:val="32"/>
          <w:szCs w:val="32"/>
        </w:rPr>
      </w:pPr>
      <w:r>
        <w:rPr>
          <w:rFonts w:hint="eastAsia" w:ascii="仿宋" w:hAnsi="仿宋" w:eastAsia="仿宋"/>
          <w:sz w:val="32"/>
          <w:szCs w:val="32"/>
        </w:rPr>
        <w:t>《南疆地区特殊奖励制度管理办法》、《国家特别扶助管理办法》《国家部分计划生育家庭奖励管理办法》、等相关规章制度。计划生育奖励资金发放之后，县卫计委不定期对发放的资金监督，每个乡镇不小于30户入户，监督奖励资金足额发放情况。</w:t>
      </w:r>
      <w:r>
        <w:rPr>
          <w:rFonts w:hint="eastAsia" w:ascii="仿宋" w:hAnsi="仿宋" w:eastAsia="仿宋"/>
          <w:bCs/>
          <w:spacing w:val="-4"/>
          <w:sz w:val="32"/>
          <w:szCs w:val="32"/>
        </w:rPr>
        <w:t>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Fonts w:hint="eastAsia" w:ascii="仿宋" w:hAnsi="仿宋" w:eastAsia="仿宋"/>
          <w:bCs/>
          <w:spacing w:val="-4"/>
          <w:sz w:val="32"/>
          <w:szCs w:val="32"/>
          <w:highlight w:val="none"/>
        </w:rPr>
      </w:pPr>
      <w:r>
        <w:rPr>
          <w:rFonts w:ascii="仿宋" w:hAnsi="仿宋" w:eastAsia="仿宋"/>
          <w:bCs/>
          <w:spacing w:val="-4"/>
          <w:sz w:val="32"/>
          <w:szCs w:val="32"/>
          <w:highlight w:val="none"/>
        </w:rPr>
        <w:t>本项目共设置一级指标</w:t>
      </w:r>
      <w:r>
        <w:rPr>
          <w:rFonts w:hint="eastAsia" w:ascii="仿宋" w:hAnsi="仿宋" w:eastAsia="仿宋"/>
          <w:bCs/>
          <w:spacing w:val="-4"/>
          <w:sz w:val="32"/>
          <w:szCs w:val="32"/>
          <w:highlight w:val="none"/>
        </w:rPr>
        <w:t>1</w:t>
      </w:r>
      <w:r>
        <w:rPr>
          <w:rFonts w:ascii="仿宋" w:hAnsi="仿宋" w:eastAsia="仿宋"/>
          <w:bCs/>
          <w:spacing w:val="-4"/>
          <w:sz w:val="32"/>
          <w:szCs w:val="32"/>
          <w:highlight w:val="none"/>
        </w:rPr>
        <w:t>个</w:t>
      </w:r>
      <w:r>
        <w:rPr>
          <w:rFonts w:hint="eastAsia" w:ascii="仿宋" w:hAnsi="仿宋" w:eastAsia="仿宋"/>
          <w:bCs/>
          <w:spacing w:val="-4"/>
          <w:sz w:val="32"/>
          <w:szCs w:val="32"/>
          <w:highlight w:val="none"/>
        </w:rPr>
        <w:t>，</w:t>
      </w:r>
      <w:r>
        <w:rPr>
          <w:rFonts w:ascii="仿宋" w:hAnsi="仿宋" w:eastAsia="仿宋"/>
          <w:bCs/>
          <w:spacing w:val="-4"/>
          <w:sz w:val="32"/>
          <w:szCs w:val="32"/>
          <w:highlight w:val="none"/>
        </w:rPr>
        <w:t>二级指标</w:t>
      </w:r>
      <w:r>
        <w:rPr>
          <w:rFonts w:hint="eastAsia" w:ascii="仿宋" w:hAnsi="仿宋" w:eastAsia="仿宋"/>
          <w:bCs/>
          <w:spacing w:val="-4"/>
          <w:sz w:val="32"/>
          <w:szCs w:val="32"/>
          <w:highlight w:val="none"/>
        </w:rPr>
        <w:t>9</w:t>
      </w:r>
      <w:r>
        <w:rPr>
          <w:rFonts w:ascii="仿宋" w:hAnsi="仿宋" w:eastAsia="仿宋"/>
          <w:bCs/>
          <w:spacing w:val="-4"/>
          <w:sz w:val="32"/>
          <w:szCs w:val="32"/>
          <w:highlight w:val="none"/>
        </w:rPr>
        <w:t>个</w:t>
      </w:r>
      <w:r>
        <w:rPr>
          <w:rFonts w:hint="eastAsia" w:ascii="仿宋" w:hAnsi="仿宋" w:eastAsia="仿宋"/>
          <w:bCs/>
          <w:spacing w:val="-4"/>
          <w:sz w:val="32"/>
          <w:szCs w:val="32"/>
          <w:highlight w:val="none"/>
        </w:rPr>
        <w:t>，</w:t>
      </w:r>
      <w:r>
        <w:rPr>
          <w:rFonts w:ascii="仿宋" w:hAnsi="仿宋" w:eastAsia="仿宋"/>
          <w:bCs/>
          <w:spacing w:val="-4"/>
          <w:sz w:val="32"/>
          <w:szCs w:val="32"/>
          <w:highlight w:val="none"/>
        </w:rPr>
        <w:t>三级指标</w:t>
      </w:r>
      <w:r>
        <w:rPr>
          <w:rFonts w:hint="eastAsia" w:ascii="仿宋" w:hAnsi="仿宋" w:eastAsia="仿宋"/>
          <w:bCs/>
          <w:spacing w:val="-4"/>
          <w:sz w:val="32"/>
          <w:szCs w:val="32"/>
          <w:highlight w:val="none"/>
        </w:rPr>
        <w:t>11</w:t>
      </w:r>
      <w:r>
        <w:rPr>
          <w:rFonts w:ascii="仿宋" w:hAnsi="仿宋" w:eastAsia="仿宋"/>
          <w:bCs/>
          <w:spacing w:val="-4"/>
          <w:sz w:val="32"/>
          <w:szCs w:val="32"/>
          <w:highlight w:val="none"/>
        </w:rPr>
        <w:t>个</w:t>
      </w:r>
      <w:r>
        <w:rPr>
          <w:rFonts w:hint="eastAsia" w:ascii="仿宋" w:hAnsi="仿宋" w:eastAsia="仿宋"/>
          <w:bCs/>
          <w:spacing w:val="-4"/>
          <w:sz w:val="32"/>
          <w:szCs w:val="32"/>
          <w:highlight w:val="none"/>
        </w:rPr>
        <w:t>，其中</w:t>
      </w:r>
      <w:r>
        <w:rPr>
          <w:rFonts w:ascii="仿宋" w:hAnsi="仿宋" w:eastAsia="仿宋"/>
          <w:bCs/>
          <w:spacing w:val="-4"/>
          <w:sz w:val="32"/>
          <w:szCs w:val="32"/>
          <w:highlight w:val="none"/>
        </w:rPr>
        <w:t>已完成三级指标</w:t>
      </w:r>
      <w:r>
        <w:rPr>
          <w:rFonts w:hint="eastAsia" w:ascii="仿宋" w:hAnsi="仿宋" w:eastAsia="仿宋"/>
          <w:bCs/>
          <w:spacing w:val="-4"/>
          <w:sz w:val="32"/>
          <w:szCs w:val="32"/>
          <w:highlight w:val="none"/>
        </w:rPr>
        <w:t>11</w:t>
      </w:r>
      <w:r>
        <w:rPr>
          <w:rFonts w:ascii="仿宋" w:hAnsi="仿宋" w:eastAsia="仿宋"/>
          <w:bCs/>
          <w:spacing w:val="-4"/>
          <w:sz w:val="32"/>
          <w:szCs w:val="32"/>
          <w:highlight w:val="none"/>
        </w:rPr>
        <w:t>个</w:t>
      </w:r>
      <w:r>
        <w:rPr>
          <w:rFonts w:hint="eastAsia" w:ascii="仿宋" w:hAnsi="仿宋" w:eastAsia="仿宋"/>
          <w:bCs/>
          <w:spacing w:val="-4"/>
          <w:sz w:val="32"/>
          <w:szCs w:val="32"/>
          <w:highlight w:val="none"/>
        </w:rPr>
        <w:t>，指标完成率为100%。</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19"/>
          <w:rFonts w:hint="eastAsia" w:ascii="仿宋" w:hAnsi="仿宋" w:eastAsia="仿宋" w:cs="仿宋"/>
          <w:b w:val="0"/>
          <w:color w:val="auto"/>
          <w:spacing w:val="-4"/>
          <w:sz w:val="32"/>
          <w:szCs w:val="32"/>
          <w:lang w:eastAsia="zh-CN"/>
        </w:rPr>
      </w:pPr>
      <w:r>
        <w:rPr>
          <w:rStyle w:val="19"/>
          <w:rFonts w:hint="eastAsia" w:ascii="仿宋" w:hAnsi="仿宋" w:eastAsia="仿宋" w:cs="仿宋"/>
          <w:b w:val="0"/>
          <w:color w:val="auto"/>
          <w:spacing w:val="-4"/>
          <w:sz w:val="32"/>
          <w:szCs w:val="32"/>
        </w:rPr>
        <w:t>经济性：农村部分计划生育家庭奖励扶助资金960元/人</w:t>
      </w:r>
      <w:r>
        <w:rPr>
          <w:rStyle w:val="19"/>
          <w:rFonts w:hint="eastAsia" w:ascii="仿宋" w:hAnsi="仿宋" w:eastAsia="仿宋" w:cs="仿宋"/>
          <w:b w:val="0"/>
          <w:color w:val="auto"/>
          <w:spacing w:val="-4"/>
          <w:sz w:val="32"/>
          <w:szCs w:val="32"/>
          <w:lang w:eastAsia="zh-CN"/>
        </w:rPr>
        <w:t>，加快人口与经济社会的协调发展，兑现党和政府的承诺，提高政府公信力，密切党群干群关系，保障计划生育家庭的合法权益。</w:t>
      </w:r>
    </w:p>
    <w:p>
      <w:pPr>
        <w:keepNext w:val="0"/>
        <w:keepLines w:val="0"/>
        <w:pageBreakBefore w:val="0"/>
        <w:kinsoku/>
        <w:wordWrap/>
        <w:overflowPunct/>
        <w:topLinePunct w:val="0"/>
        <w:autoSpaceDE/>
        <w:autoSpaceDN/>
        <w:bidi w:val="0"/>
        <w:adjustRightInd/>
        <w:snapToGrid/>
        <w:spacing w:line="560" w:lineRule="exact"/>
        <w:ind w:leftChars="0" w:firstLine="624" w:firstLineChars="200"/>
        <w:textAlignment w:val="auto"/>
        <w:rPr>
          <w:rStyle w:val="19"/>
          <w:rFonts w:hint="default"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效率性：</w:t>
      </w:r>
      <w:r>
        <w:rPr>
          <w:rStyle w:val="19"/>
          <w:rFonts w:hint="eastAsia" w:ascii="仿宋" w:hAnsi="仿宋" w:eastAsia="仿宋" w:cs="仿宋"/>
          <w:b w:val="0"/>
          <w:color w:val="auto"/>
          <w:spacing w:val="-4"/>
          <w:sz w:val="32"/>
          <w:szCs w:val="32"/>
          <w:lang w:eastAsia="zh-CN"/>
        </w:rPr>
        <w:t>符合条件申报对象覆盖率</w:t>
      </w:r>
      <w:r>
        <w:rPr>
          <w:rStyle w:val="19"/>
          <w:rFonts w:hint="eastAsia" w:ascii="仿宋" w:hAnsi="仿宋" w:eastAsia="仿宋" w:cs="仿宋"/>
          <w:b w:val="0"/>
          <w:color w:val="auto"/>
          <w:spacing w:val="-4"/>
          <w:sz w:val="32"/>
          <w:szCs w:val="32"/>
          <w:lang w:val="en-US" w:eastAsia="zh-CN"/>
        </w:rPr>
        <w:t>100%，奖励和扶助资金到位率100%。</w:t>
      </w:r>
    </w:p>
    <w:p>
      <w:pPr>
        <w:adjustRightInd w:val="0"/>
        <w:snapToGrid w:val="0"/>
        <w:spacing w:line="680" w:lineRule="exact"/>
        <w:ind w:firstLine="624" w:firstLineChars="200"/>
        <w:rPr>
          <w:rStyle w:val="19"/>
          <w:rFonts w:hint="eastAsia" w:ascii="仿宋" w:hAnsi="仿宋" w:eastAsia="仿宋" w:cs="仿宋"/>
          <w:b w:val="0"/>
          <w:color w:val="auto"/>
          <w:spacing w:val="-4"/>
          <w:sz w:val="32"/>
          <w:szCs w:val="32"/>
          <w:lang w:eastAsia="zh-CN"/>
        </w:rPr>
      </w:pPr>
      <w:r>
        <w:rPr>
          <w:rStyle w:val="19"/>
          <w:rFonts w:hint="eastAsia" w:ascii="仿宋" w:hAnsi="仿宋" w:eastAsia="仿宋" w:cs="仿宋"/>
          <w:b w:val="0"/>
          <w:color w:val="auto"/>
          <w:spacing w:val="-4"/>
          <w:sz w:val="32"/>
          <w:szCs w:val="32"/>
        </w:rPr>
        <w:t>效益性：通过奖励、实现脱贫</w:t>
      </w:r>
      <w:r>
        <w:rPr>
          <w:rStyle w:val="19"/>
          <w:rFonts w:hint="eastAsia" w:ascii="仿宋" w:hAnsi="仿宋" w:eastAsia="仿宋" w:cs="仿宋"/>
          <w:b w:val="0"/>
          <w:color w:val="auto"/>
          <w:spacing w:val="-4"/>
          <w:sz w:val="32"/>
          <w:szCs w:val="32"/>
          <w:lang w:eastAsia="zh-CN"/>
        </w:rPr>
        <w:t>，提高人口素质。</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w:t>
      </w:r>
      <w:r>
        <w:rPr>
          <w:rFonts w:hint="eastAsia" w:ascii="仿宋" w:hAnsi="仿宋" w:eastAsia="仿宋" w:cs="仿宋"/>
          <w:color w:val="auto"/>
          <w:spacing w:val="-4"/>
          <w:sz w:val="32"/>
          <w:szCs w:val="32"/>
          <w:lang w:val="en-US" w:eastAsia="zh-CN"/>
        </w:rPr>
        <w:t>8</w:t>
      </w:r>
      <w:r>
        <w:rPr>
          <w:rFonts w:hint="eastAsia" w:ascii="仿宋" w:hAnsi="仿宋" w:eastAsia="仿宋" w:cs="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680" w:lineRule="exact"/>
        <w:ind w:firstLine="640" w:firstLineChars="200"/>
        <w:jc w:val="left"/>
        <w:rPr>
          <w:rFonts w:ascii="仿宋" w:hAnsi="仿宋" w:eastAsia="仿宋"/>
          <w:sz w:val="32"/>
          <w:szCs w:val="32"/>
        </w:rPr>
      </w:pPr>
      <w:r>
        <w:rPr>
          <w:rFonts w:hint="eastAsia" w:ascii="仿宋" w:hAnsi="仿宋" w:eastAsia="仿宋" w:cs="仿宋"/>
          <w:sz w:val="32"/>
          <w:szCs w:val="32"/>
        </w:rPr>
        <w:t>继续开展计划生育奖励扶助新增摸底工作，对2019年新增户进行层层签订责任书，严格按照各项奖励制度条件进行审核。</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680" w:lineRule="exact"/>
        <w:ind w:firstLine="468" w:firstLineChars="150"/>
        <w:rPr>
          <w:rFonts w:hint="eastAsia" w:ascii="仿宋" w:hAnsi="仿宋" w:eastAsia="仿宋"/>
          <w:bCs/>
          <w:spacing w:val="-4"/>
          <w:sz w:val="32"/>
          <w:szCs w:val="32"/>
        </w:rPr>
      </w:pPr>
      <w:r>
        <w:rPr>
          <w:rFonts w:hint="eastAsia" w:ascii="仿宋" w:hAnsi="仿宋" w:eastAsia="仿宋"/>
          <w:bCs/>
          <w:spacing w:val="-4"/>
          <w:sz w:val="32"/>
          <w:szCs w:val="32"/>
        </w:rPr>
        <w:t>1、主要经验及做法</w:t>
      </w:r>
    </w:p>
    <w:p>
      <w:pPr>
        <w:adjustRightInd w:val="0"/>
        <w:snapToGrid w:val="0"/>
        <w:spacing w:line="680" w:lineRule="exact"/>
        <w:ind w:firstLine="640" w:firstLineChars="200"/>
        <w:rPr>
          <w:rFonts w:asciiTheme="minorEastAsia" w:hAnsiTheme="minorEastAsia" w:eastAsiaTheme="minorEastAsia"/>
          <w:bCs/>
          <w:spacing w:val="-4"/>
          <w:sz w:val="32"/>
          <w:szCs w:val="32"/>
        </w:rPr>
      </w:pPr>
      <w:r>
        <w:rPr>
          <w:rFonts w:ascii="仿宋" w:hAnsi="仿宋" w:eastAsia="仿宋" w:cs="Tahoma"/>
          <w:sz w:val="32"/>
          <w:szCs w:val="32"/>
        </w:rPr>
        <w:t>奖励机制实行资格确认、资金管理、资金发放、社会监督“四权分立”的运行机制，保障对象确认准确、资金发放到位。卫生计生部门负责对象资格确认，建立对象个人信息档案；财政部门负责资金的落实，资金的归集与拨付；代理发放机构负责为奖励扶助对象建立个人储蓄账户，直接发放到人。卫生计生、财政部门共同对代理发放机构个人账户的建立和专项资金发放等情况进行监督，同时接受财政、审计和上级卫生计生等有关部门的监督和检查。</w:t>
      </w:r>
    </w:p>
    <w:p>
      <w:pPr>
        <w:adjustRightInd w:val="0"/>
        <w:snapToGrid w:val="0"/>
        <w:spacing w:line="680" w:lineRule="exact"/>
        <w:ind w:firstLine="312" w:firstLineChars="100"/>
        <w:rPr>
          <w:rFonts w:hint="eastAsia" w:ascii="仿宋" w:hAnsi="仿宋" w:eastAsia="仿宋"/>
          <w:bCs/>
          <w:spacing w:val="-4"/>
          <w:sz w:val="32"/>
          <w:szCs w:val="32"/>
        </w:rPr>
      </w:pPr>
      <w:r>
        <w:rPr>
          <w:rFonts w:hint="eastAsia" w:ascii="仿宋" w:hAnsi="仿宋" w:eastAsia="仿宋"/>
          <w:bCs/>
          <w:spacing w:val="-4"/>
          <w:sz w:val="32"/>
          <w:szCs w:val="32"/>
        </w:rPr>
        <w:t>2、存在的问题</w:t>
      </w:r>
    </w:p>
    <w:p>
      <w:pPr>
        <w:adjustRightInd w:val="0"/>
        <w:snapToGrid w:val="0"/>
        <w:spacing w:line="680" w:lineRule="exact"/>
        <w:ind w:firstLine="640" w:firstLineChars="200"/>
        <w:rPr>
          <w:rFonts w:asciiTheme="minorEastAsia" w:hAnsiTheme="minorEastAsia" w:eastAsiaTheme="minorEastAsia"/>
          <w:bCs/>
          <w:spacing w:val="-4"/>
          <w:sz w:val="32"/>
          <w:szCs w:val="32"/>
        </w:rPr>
      </w:pPr>
      <w:r>
        <w:rPr>
          <w:rFonts w:hint="eastAsia" w:ascii="仿宋" w:hAnsi="仿宋" w:eastAsia="仿宋"/>
          <w:sz w:val="32"/>
          <w:szCs w:val="32"/>
        </w:rPr>
        <w:t>我县因在乡镇没有信用联社网点、奖励资金发放只能通过现金发放形式发放至项目户手中，资金风险力度大。</w:t>
      </w:r>
    </w:p>
    <w:p>
      <w:pPr>
        <w:numPr>
          <w:ilvl w:val="0"/>
          <w:numId w:val="1"/>
        </w:numPr>
        <w:adjustRightInd w:val="0"/>
        <w:snapToGrid w:val="0"/>
        <w:spacing w:line="680" w:lineRule="exact"/>
        <w:ind w:firstLine="468" w:firstLineChars="150"/>
        <w:rPr>
          <w:rFonts w:hint="eastAsia" w:ascii="仿宋" w:hAnsi="仿宋" w:eastAsia="仿宋"/>
          <w:bCs/>
          <w:spacing w:val="-4"/>
          <w:sz w:val="32"/>
          <w:szCs w:val="32"/>
        </w:rPr>
      </w:pPr>
      <w:r>
        <w:rPr>
          <w:rFonts w:hint="eastAsia" w:ascii="仿宋" w:hAnsi="仿宋" w:eastAsia="仿宋"/>
          <w:bCs/>
          <w:spacing w:val="-4"/>
          <w:sz w:val="32"/>
          <w:szCs w:val="32"/>
        </w:rPr>
        <w:t>建议：</w:t>
      </w:r>
    </w:p>
    <w:p>
      <w:pPr>
        <w:numPr>
          <w:ilvl w:val="0"/>
          <w:numId w:val="0"/>
        </w:numPr>
        <w:adjustRightInd w:val="0"/>
        <w:snapToGrid w:val="0"/>
        <w:spacing w:line="680" w:lineRule="exact"/>
        <w:ind w:firstLine="624" w:firstLineChars="200"/>
        <w:rPr>
          <w:rFonts w:asciiTheme="minorEastAsia" w:hAnsiTheme="minorEastAsia" w:eastAsiaTheme="minorEastAsia"/>
          <w:bCs/>
          <w:spacing w:val="-4"/>
          <w:sz w:val="32"/>
          <w:szCs w:val="32"/>
        </w:rPr>
      </w:pPr>
      <w:r>
        <w:rPr>
          <w:rFonts w:hint="eastAsia" w:ascii="仿宋" w:hAnsi="仿宋" w:eastAsia="仿宋"/>
          <w:bCs/>
          <w:spacing w:val="-4"/>
          <w:sz w:val="32"/>
          <w:szCs w:val="32"/>
        </w:rPr>
        <w:t>加大对此项目管理人员以及财务人员的培训力度，完善各类规章制度。</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pStyle w:val="16"/>
        <w:spacing w:before="0" w:beforeAutospacing="0" w:after="0" w:afterAutospacing="0" w:line="528" w:lineRule="atLeast"/>
        <w:ind w:firstLine="480"/>
        <w:jc w:val="both"/>
        <w:rPr>
          <w:rFonts w:ascii="仿宋" w:hAnsi="仿宋" w:eastAsia="仿宋"/>
          <w:bCs/>
          <w:spacing w:val="-4"/>
          <w:sz w:val="32"/>
          <w:szCs w:val="32"/>
        </w:rPr>
      </w:pPr>
      <w:r>
        <w:rPr>
          <w:rFonts w:hint="eastAsia" w:ascii="仿宋" w:hAnsi="仿宋" w:eastAsia="仿宋" w:cs="仿宋"/>
          <w:color w:val="auto"/>
          <w:spacing w:val="-4"/>
          <w:sz w:val="32"/>
          <w:szCs w:val="32"/>
        </w:rPr>
        <w:t>本次评价通过文件研读、实地调研、数据分析等方式，全面了解项目资金的使用效率和效果，项目管理过程规范，完成了预期绩效目标等。</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1E330A"/>
    <w:multiLevelType w:val="singleLevel"/>
    <w:tmpl w:val="921E330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5328C"/>
    <w:rsid w:val="00365250"/>
    <w:rsid w:val="0036624C"/>
    <w:rsid w:val="00385849"/>
    <w:rsid w:val="003F1A98"/>
    <w:rsid w:val="00472E31"/>
    <w:rsid w:val="0050167F"/>
    <w:rsid w:val="00514506"/>
    <w:rsid w:val="005162F1"/>
    <w:rsid w:val="00516E80"/>
    <w:rsid w:val="00535153"/>
    <w:rsid w:val="00575CFE"/>
    <w:rsid w:val="00583AFC"/>
    <w:rsid w:val="00592D09"/>
    <w:rsid w:val="00651361"/>
    <w:rsid w:val="00675D58"/>
    <w:rsid w:val="006F2E6D"/>
    <w:rsid w:val="007218B8"/>
    <w:rsid w:val="00755C6A"/>
    <w:rsid w:val="00785FDE"/>
    <w:rsid w:val="007A0351"/>
    <w:rsid w:val="007A14BC"/>
    <w:rsid w:val="007C1025"/>
    <w:rsid w:val="007E6845"/>
    <w:rsid w:val="007F5F8A"/>
    <w:rsid w:val="00826CA1"/>
    <w:rsid w:val="00835B7F"/>
    <w:rsid w:val="00844215"/>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72C2B"/>
    <w:rsid w:val="00CA6457"/>
    <w:rsid w:val="00CC36DC"/>
    <w:rsid w:val="00CC4442"/>
    <w:rsid w:val="00CC6E4D"/>
    <w:rsid w:val="00D17F2E"/>
    <w:rsid w:val="00D46194"/>
    <w:rsid w:val="00E01293"/>
    <w:rsid w:val="00E027D1"/>
    <w:rsid w:val="00E769FE"/>
    <w:rsid w:val="00EA2CBE"/>
    <w:rsid w:val="00EF3FFA"/>
    <w:rsid w:val="00F32FEE"/>
    <w:rsid w:val="00F53E69"/>
    <w:rsid w:val="00FD38FD"/>
    <w:rsid w:val="01105EDD"/>
    <w:rsid w:val="0AB56CE2"/>
    <w:rsid w:val="0EB107EC"/>
    <w:rsid w:val="10A301B4"/>
    <w:rsid w:val="21454B50"/>
    <w:rsid w:val="275833BE"/>
    <w:rsid w:val="2C635373"/>
    <w:rsid w:val="38D52387"/>
    <w:rsid w:val="397F4FE8"/>
    <w:rsid w:val="48ED4B1D"/>
    <w:rsid w:val="4EFD6A38"/>
    <w:rsid w:val="52035D16"/>
    <w:rsid w:val="547D05EF"/>
    <w:rsid w:val="5A7F02EA"/>
    <w:rsid w:val="5D280D44"/>
    <w:rsid w:val="5E84100D"/>
    <w:rsid w:val="68BB0D94"/>
    <w:rsid w:val="78A15C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252</Words>
  <Characters>1439</Characters>
  <Lines>11</Lines>
  <Paragraphs>3</Paragraphs>
  <TotalTime>1</TotalTime>
  <ScaleCrop>false</ScaleCrop>
  <LinksUpToDate>false</LinksUpToDate>
  <CharactersWithSpaces>1688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2019-09-19T15:45:00Z</dcterms:created>
  <dc:creator>赵 恺（预算处）</dc:creator>
  <cp:lastModifiedBy>Lenovo</cp:lastModifiedBy>
  <cp:lastPrinted>2018-12-17T10:15:00Z</cp:lastPrinted>
  <dcterms:modified xsi:type="dcterms:W3CDTF">2019-09-22T09:49:37Z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