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新疆财政支出绩效自评报告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520" w:hanging="2520" w:hangingChars="700"/>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项目名称：困难残疾人生活补贴和重度残疾人护理补贴项目</w:t>
      </w: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实施单位（公章）：塔什库尔干县残疾人联合会</w:t>
      </w:r>
    </w:p>
    <w:p>
      <w:pPr>
        <w:pStyle w:val="45"/>
        <w:spacing w:line="700" w:lineRule="exact"/>
        <w:ind w:left="718" w:leftChars="342" w:firstLine="0" w:firstLineChars="0"/>
        <w:jc w:val="left"/>
        <w:rPr>
          <w:rFonts w:hint="eastAsia" w:hAnsi="宋体" w:eastAsia="仿宋_GB2312" w:cs="宋体"/>
          <w:kern w:val="0"/>
          <w:sz w:val="36"/>
          <w:szCs w:val="36"/>
          <w:lang w:val="en-US" w:eastAsia="zh-CN"/>
        </w:rPr>
      </w:pPr>
      <w:r>
        <w:rPr>
          <w:rFonts w:hint="eastAsia" w:hAnsi="宋体" w:eastAsia="仿宋_GB2312" w:cs="宋体"/>
          <w:kern w:val="0"/>
          <w:sz w:val="36"/>
          <w:szCs w:val="36"/>
          <w:lang w:val="zh-TW" w:eastAsia="zh-TW"/>
        </w:rPr>
        <w:t>主管部门（公章）：</w:t>
      </w:r>
      <w:r>
        <w:rPr>
          <w:rFonts w:hint="eastAsia" w:hAnsi="宋体" w:eastAsia="仿宋_GB2312" w:cs="宋体"/>
          <w:kern w:val="0"/>
          <w:sz w:val="36"/>
          <w:szCs w:val="36"/>
        </w:rPr>
        <w:t>塔什库尔干县残疾人联合会</w:t>
      </w:r>
      <w:r>
        <w:rPr>
          <w:rFonts w:hint="eastAsia" w:hAnsi="宋体" w:eastAsia="仿宋_GB2312" w:cs="宋体"/>
          <w:kern w:val="0"/>
          <w:sz w:val="36"/>
          <w:szCs w:val="36"/>
          <w:lang w:val="zh-TW" w:eastAsia="zh-TW"/>
        </w:rPr>
        <w:t>项目负责人（签章）：</w:t>
      </w:r>
      <w:r>
        <w:rPr>
          <w:rFonts w:hint="eastAsia" w:hAnsi="宋体" w:eastAsia="仿宋_GB2312" w:cs="宋体"/>
          <w:kern w:val="0"/>
          <w:sz w:val="36"/>
          <w:szCs w:val="36"/>
          <w:lang w:val="en-US" w:eastAsia="zh-CN"/>
        </w:rPr>
        <w:t>张继革</w:t>
      </w:r>
    </w:p>
    <w:p>
      <w:pPr>
        <w:pStyle w:val="45"/>
        <w:spacing w:line="700" w:lineRule="exact"/>
        <w:ind w:left="718" w:leftChars="342" w:firstLine="0" w:firstLineChars="0"/>
        <w:jc w:val="left"/>
        <w:rPr>
          <w:rFonts w:hint="eastAsia" w:hAnsi="宋体" w:eastAsia="仿宋_GB2312" w:cs="宋体"/>
          <w:kern w:val="0"/>
          <w:sz w:val="36"/>
          <w:szCs w:val="36"/>
          <w:lang w:val="zh-TW" w:eastAsia="zh-TW"/>
        </w:rPr>
      </w:pPr>
      <w:r>
        <w:rPr>
          <w:rFonts w:hint="eastAsia" w:hAnsi="宋体" w:eastAsia="仿宋_GB2312" w:cs="宋体"/>
          <w:kern w:val="0"/>
          <w:sz w:val="36"/>
          <w:szCs w:val="36"/>
          <w:lang w:val="zh-TW" w:eastAsia="zh-TW"/>
        </w:rPr>
        <w:t>填报时间：201</w:t>
      </w:r>
      <w:r>
        <w:rPr>
          <w:rFonts w:hint="eastAsia" w:hAnsi="宋体" w:eastAsia="仿宋_GB2312" w:cs="宋体"/>
          <w:kern w:val="0"/>
          <w:sz w:val="36"/>
          <w:szCs w:val="36"/>
          <w:lang w:val="en-US" w:eastAsia="zh-CN"/>
        </w:rPr>
        <w:t>8</w:t>
      </w:r>
      <w:r>
        <w:rPr>
          <w:rFonts w:hint="eastAsia" w:hAnsi="宋体" w:eastAsia="仿宋_GB2312" w:cs="宋体"/>
          <w:kern w:val="0"/>
          <w:sz w:val="36"/>
          <w:szCs w:val="36"/>
          <w:lang w:val="zh-TW" w:eastAsia="zh-TW"/>
        </w:rPr>
        <w:t>年</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en-US" w:eastAsia="zh-CN"/>
        </w:rPr>
        <w:t>12</w:t>
      </w:r>
      <w:r>
        <w:rPr>
          <w:rFonts w:hint="eastAsia" w:hAnsi="宋体" w:eastAsia="仿宋_GB2312" w:cs="宋体"/>
          <w:kern w:val="0"/>
          <w:sz w:val="36"/>
          <w:szCs w:val="36"/>
          <w:lang w:val="zh-TW"/>
        </w:rPr>
        <w:t xml:space="preserve"> </w:t>
      </w:r>
      <w:r>
        <w:rPr>
          <w:rFonts w:hint="eastAsia" w:hAnsi="宋体" w:eastAsia="仿宋_GB2312" w:cs="宋体"/>
          <w:kern w:val="0"/>
          <w:sz w:val="36"/>
          <w:szCs w:val="36"/>
          <w:lang w:val="zh-TW" w:eastAsia="zh-TW"/>
        </w:rPr>
        <w:t>月</w:t>
      </w:r>
      <w:r>
        <w:rPr>
          <w:rFonts w:hint="eastAsia" w:hAnsi="宋体" w:eastAsia="仿宋_GB2312" w:cs="宋体"/>
          <w:kern w:val="0"/>
          <w:sz w:val="36"/>
          <w:szCs w:val="36"/>
          <w:lang w:val="en-US" w:eastAsia="zh-CN"/>
        </w:rPr>
        <w:t>31</w:t>
      </w:r>
      <w:r>
        <w:rPr>
          <w:rFonts w:hint="eastAsia" w:hAnsi="宋体" w:eastAsia="仿宋_GB2312" w:cs="宋体"/>
          <w:kern w:val="0"/>
          <w:sz w:val="36"/>
          <w:szCs w:val="36"/>
          <w:lang w:val="zh-TW" w:eastAsia="zh-TW"/>
        </w:rPr>
        <w:t>日</w:t>
      </w:r>
    </w:p>
    <w:p>
      <w:pPr>
        <w:spacing w:line="540" w:lineRule="exact"/>
        <w:rPr>
          <w:rFonts w:hAnsi="宋体" w:eastAsia="仿宋_GB2312" w:cs="宋体"/>
          <w:kern w:val="0"/>
          <w:sz w:val="30"/>
          <w:szCs w:val="30"/>
        </w:rPr>
      </w:pP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一、项目概况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（一）项目单位基本情况</w:t>
      </w:r>
    </w:p>
    <w:p>
      <w:pPr>
        <w:spacing w:line="540" w:lineRule="exact"/>
        <w:ind w:firstLine="640" w:firstLineChars="200"/>
        <w:rPr>
          <w:rStyle w:val="16"/>
          <w:rFonts w:ascii="仿宋_GB2312" w:eastAsia="仿宋_GB2312"/>
          <w:b w:val="0"/>
          <w:bCs w:val="0"/>
          <w:sz w:val="32"/>
          <w:szCs w:val="32"/>
        </w:rPr>
      </w:pPr>
      <w:r>
        <w:rPr>
          <w:rFonts w:hint="eastAsia" w:ascii="仿宋_GB2312" w:eastAsia="仿宋_GB2312"/>
          <w:sz w:val="32"/>
          <w:szCs w:val="32"/>
        </w:rPr>
        <w:t>塔什库尔干塔吉克自治县残疾人联合会为正科级参公事业单位，归口县人民政府办管理，现有在编人员3人，公益岗位2人。根据2018年全国残疾人基本服务状况和需求信息数据动态更新工作系统反馈，我县现有各类持证残疾人1059人。</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（二）项目预算</w:t>
      </w:r>
      <w:r>
        <w:rPr>
          <w:rStyle w:val="16"/>
          <w:rFonts w:ascii="楷体" w:hAnsi="楷体" w:eastAsia="楷体"/>
          <w:spacing w:val="-4"/>
          <w:sz w:val="32"/>
          <w:szCs w:val="32"/>
        </w:rPr>
        <w:t>绩效目标</w:t>
      </w:r>
      <w:r>
        <w:rPr>
          <w:rStyle w:val="16"/>
          <w:rFonts w:hint="eastAsia" w:ascii="楷体" w:hAnsi="楷体" w:eastAsia="楷体"/>
          <w:spacing w:val="-4"/>
          <w:sz w:val="32"/>
          <w:szCs w:val="32"/>
        </w:rPr>
        <w:t>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目标1：根据新政发【2016】44号文件规定，将我县符合条件的397名重度残疾人和669名困难残疾人纳入发放名单，按照标准及时足额将补助资金发放到位。</w:t>
      </w:r>
    </w:p>
    <w:p>
      <w:pPr>
        <w:adjustRightInd w:val="0"/>
        <w:spacing w:line="54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目标2：持续提高和改善残疾人生活水平，进一步推进残疾人小康进程。</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pacing w:line="540" w:lineRule="exact"/>
        <w:ind w:firstLine="640" w:firstLineChars="200"/>
        <w:jc w:val="left"/>
        <w:rPr>
          <w:rFonts w:ascii="仿宋_GB2312" w:eastAsia="仿宋_GB2312"/>
          <w:color w:val="000000"/>
          <w:sz w:val="32"/>
          <w:szCs w:val="32"/>
        </w:rPr>
      </w:pPr>
      <w:r>
        <w:rPr>
          <w:rFonts w:hint="eastAsia" w:ascii="仿宋_GB2312" w:eastAsia="仿宋_GB2312"/>
          <w:color w:val="000000"/>
          <w:sz w:val="32"/>
          <w:szCs w:val="32"/>
        </w:rPr>
        <w:t>2018年发放残疾人两项补贴资金涉及符合发放条件残疾人1066人。</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pacing w:line="540" w:lineRule="exact"/>
        <w:ind w:firstLine="640" w:firstLineChars="200"/>
        <w:jc w:val="left"/>
        <w:rPr>
          <w:rStyle w:val="16"/>
          <w:rFonts w:ascii="仿宋_GB2312" w:hAnsi="宋体" w:eastAsia="仿宋_GB2312"/>
          <w:b w:val="0"/>
          <w:bCs w:val="0"/>
          <w:sz w:val="32"/>
          <w:szCs w:val="32"/>
        </w:rPr>
      </w:pPr>
      <w:r>
        <w:rPr>
          <w:rFonts w:hint="eastAsia" w:ascii="仿宋_GB2312" w:eastAsia="仿宋_GB2312"/>
          <w:sz w:val="32"/>
          <w:szCs w:val="32"/>
        </w:rPr>
        <w:t>根据喀地财社[2018]22号文件，上级下拨专项资金为102.336万元，针对塔县12个乡（镇）符合补助发放条件的1066名残疾人发放，资金包括：重度残疾人护理补贴38.112万元；困难残疾人生活补贴64.2</w:t>
      </w:r>
      <w:r>
        <w:rPr>
          <w:rFonts w:hint="eastAsia" w:ascii="仿宋_GB2312" w:eastAsia="仿宋_GB2312"/>
          <w:sz w:val="32"/>
          <w:szCs w:val="32"/>
          <w:lang w:val="en-US" w:eastAsia="zh-CN"/>
        </w:rPr>
        <w:t>24</w:t>
      </w:r>
      <w:r>
        <w:rPr>
          <w:rFonts w:hint="eastAsia" w:ascii="仿宋_GB2312" w:eastAsia="仿宋_GB2312"/>
          <w:sz w:val="32"/>
          <w:szCs w:val="32"/>
        </w:rPr>
        <w:t>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二、项目资金使用及管理情况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（一）项目资金安排落实、总投入等情况分析</w:t>
      </w:r>
    </w:p>
    <w:p>
      <w:pPr>
        <w:ind w:firstLine="640" w:firstLineChars="200"/>
        <w:outlineLvl w:val="0"/>
        <w:rPr>
          <w:rStyle w:val="16"/>
          <w:rFonts w:ascii="仿宋_GB2312" w:eastAsia="仿宋_GB2312"/>
          <w:b w:val="0"/>
          <w:color w:val="000000"/>
          <w:sz w:val="32"/>
          <w:szCs w:val="32"/>
        </w:rPr>
      </w:pPr>
      <w:r>
        <w:rPr>
          <w:rFonts w:hint="eastAsia" w:ascii="仿宋_GB2312" w:eastAsia="仿宋_GB2312"/>
          <w:bCs/>
          <w:color w:val="000000"/>
          <w:sz w:val="32"/>
          <w:szCs w:val="32"/>
        </w:rPr>
        <w:t>项目年初预算安排情况：</w:t>
      </w:r>
      <w:r>
        <w:rPr>
          <w:rFonts w:hint="eastAsia" w:ascii="仿宋_GB2312" w:eastAsia="仿宋_GB2312"/>
          <w:sz w:val="32"/>
          <w:szCs w:val="32"/>
        </w:rPr>
        <w:t>重度残疾人护理补贴38.112万元；困难残疾人生活补贴64.224万元；共计102.336万元。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（二）项目资金实际使用情况分析</w:t>
      </w:r>
    </w:p>
    <w:p>
      <w:pPr>
        <w:spacing w:line="540" w:lineRule="exact"/>
        <w:ind w:firstLine="640" w:firstLineChars="200"/>
        <w:rPr>
          <w:rStyle w:val="16"/>
          <w:rFonts w:ascii="仿宋_GB2312" w:eastAsia="仿宋_GB2312"/>
          <w:b w:val="0"/>
          <w:color w:val="000000"/>
          <w:sz w:val="32"/>
          <w:szCs w:val="32"/>
        </w:rPr>
      </w:pPr>
      <w:r>
        <w:rPr>
          <w:rFonts w:hint="eastAsia" w:ascii="仿宋_GB2312" w:eastAsia="仿宋_GB2312"/>
          <w:sz w:val="32"/>
          <w:szCs w:val="32"/>
        </w:rPr>
        <w:t>残疾人两项补贴人数1066人，补助资金102.336万元，此项资金已全部下拨至12各乡镇，由乡镇民政干事打卡发放，我县2018年实际发放重度残疾人护理补贴452人共计发放金额39.056万元，发放困难残疾人生活补贴670人共计发放金额63.28万元，两项补贴共计发放1122人，102.336万元。</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（三）项目资金管理情况分析</w:t>
      </w:r>
    </w:p>
    <w:p>
      <w:pPr>
        <w:ind w:firstLine="640" w:firstLineChars="200"/>
        <w:outlineLvl w:val="0"/>
        <w:rPr>
          <w:rFonts w:ascii="仿宋_GB2312" w:eastAsia="仿宋_GB2312"/>
          <w:bCs/>
          <w:color w:val="000000"/>
          <w:sz w:val="32"/>
          <w:szCs w:val="32"/>
        </w:rPr>
      </w:pPr>
      <w:r>
        <w:rPr>
          <w:rFonts w:hint="eastAsia" w:ascii="仿宋_GB2312" w:hAnsi="楷体_GB2312" w:eastAsia="仿宋_GB2312" w:cs="楷体_GB2312"/>
          <w:sz w:val="32"/>
          <w:szCs w:val="32"/>
        </w:rPr>
        <w:t>此项资金根据财政统一安排，实施国库集中支付，</w:t>
      </w:r>
      <w:r>
        <w:rPr>
          <w:rFonts w:hint="eastAsia" w:ascii="仿宋_GB2312" w:hAnsi="仿宋_GB2312" w:eastAsia="仿宋_GB2312" w:cs="仿宋_GB2312"/>
          <w:bCs/>
          <w:color w:val="000000"/>
          <w:sz w:val="32"/>
          <w:szCs w:val="32"/>
        </w:rPr>
        <w:t>严格按照财政资金审批制度实施执行。</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专项资金管理制度：</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专项资金实行“专人负责、专门流程、专项使用”。</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资金的拨付本着专款专用的原则，严格执行项目资金批准的使用计划，不准擅自调项、扩项、缩项，更不准拆借、挪用、挤占和随意扣压；资金使用用途，按不同专项资金的要求执行，不准任意改变；特殊状况，务必请示。</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严格执行专项资金审核制度，各类专项资金审批程序，以该专项资金审批表所列资料和文件要求为准。</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专项资金报账拨付要附真实、有效、合法的凭证。</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对专项资金要定期或不定期进行督查，确保项目资金专款专用。</w:t>
      </w:r>
    </w:p>
    <w:p>
      <w:pPr>
        <w:spacing w:line="540" w:lineRule="exact"/>
        <w:ind w:firstLine="640" w:firstLineChars="200"/>
        <w:rPr>
          <w:rStyle w:val="16"/>
          <w:rFonts w:ascii="仿宋" w:hAnsi="仿宋" w:eastAsia="仿宋"/>
          <w:b w:val="0"/>
          <w:spacing w:val="-4"/>
          <w:sz w:val="32"/>
          <w:szCs w:val="32"/>
        </w:rPr>
      </w:pPr>
      <w:r>
        <w:rPr>
          <w:rFonts w:hint="eastAsia" w:ascii="仿宋_GB2312" w:eastAsia="仿宋_GB2312"/>
          <w:bCs/>
          <w:color w:val="000000"/>
          <w:sz w:val="32"/>
          <w:szCs w:val="32"/>
        </w:rPr>
        <w:t>根据上级来文，县残联向喀什地区财政局申请预算拨款102.336万元，截止2018年12月，县残联已发放残疾人两项补贴资金106.32万元，资金缺口3.984万元。</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三、项目组织实施情况</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（一）项目组织情况分析</w:t>
      </w:r>
    </w:p>
    <w:p>
      <w:pPr>
        <w:spacing w:line="540" w:lineRule="exact"/>
        <w:ind w:firstLine="640" w:firstLineChars="200"/>
        <w:rPr>
          <w:rStyle w:val="16"/>
          <w:rFonts w:ascii="仿宋_GB2312" w:eastAsia="仿宋_GB2312"/>
          <w:b w:val="0"/>
          <w:color w:val="000000"/>
          <w:sz w:val="32"/>
          <w:szCs w:val="32"/>
        </w:rPr>
      </w:pPr>
      <w:r>
        <w:rPr>
          <w:rFonts w:hint="eastAsia" w:ascii="仿宋_GB2312" w:eastAsia="仿宋_GB2312"/>
          <w:bCs/>
          <w:color w:val="000000"/>
          <w:sz w:val="32"/>
          <w:szCs w:val="32"/>
        </w:rPr>
        <w:t>根据喀地财社[2018]22号文件分配我县残疾人两项补贴102.336万元，补助人数1066人，</w:t>
      </w:r>
      <w:r>
        <w:rPr>
          <w:rFonts w:hint="eastAsia" w:ascii="仿宋_GB2312" w:eastAsia="仿宋_GB2312"/>
          <w:sz w:val="32"/>
          <w:szCs w:val="32"/>
        </w:rPr>
        <w:t>2018年重度残疾人护理补贴发放人数452人，发放资金39.056万元；困难残疾人生活补贴发放人数670人，发放资金63.28万元；共计发放残疾人两项补贴1122人，发放资金</w:t>
      </w:r>
      <w:r>
        <w:rPr>
          <w:rFonts w:hint="eastAsia" w:ascii="仿宋_GB2312" w:eastAsia="仿宋_GB2312"/>
          <w:bCs/>
          <w:color w:val="000000"/>
          <w:sz w:val="32"/>
          <w:szCs w:val="32"/>
        </w:rPr>
        <w:t>102.336。</w:t>
      </w:r>
    </w:p>
    <w:p>
      <w:pPr>
        <w:spacing w:line="540" w:lineRule="exact"/>
        <w:ind w:firstLine="627" w:firstLineChars="200"/>
        <w:rPr>
          <w:rStyle w:val="16"/>
          <w:rFonts w:ascii="楷体" w:hAnsi="楷体" w:eastAsia="楷体"/>
          <w:spacing w:val="-4"/>
          <w:sz w:val="32"/>
          <w:szCs w:val="32"/>
        </w:rPr>
      </w:pPr>
      <w:r>
        <w:rPr>
          <w:rStyle w:val="16"/>
          <w:rFonts w:hint="eastAsia" w:ascii="楷体" w:hAnsi="楷体" w:eastAsia="楷体"/>
          <w:spacing w:val="-4"/>
          <w:sz w:val="32"/>
          <w:szCs w:val="32"/>
        </w:rPr>
        <w:t>（二）项目管理情况分析</w:t>
      </w:r>
    </w:p>
    <w:p>
      <w:pPr>
        <w:spacing w:line="540" w:lineRule="exact"/>
        <w:ind w:firstLine="640" w:firstLineChars="200"/>
        <w:rPr>
          <w:rFonts w:ascii="仿宋_GB2312" w:eastAsia="仿宋_GB2312"/>
          <w:bCs/>
          <w:color w:val="000000"/>
          <w:sz w:val="32"/>
          <w:szCs w:val="32"/>
        </w:rPr>
      </w:pPr>
      <w:r>
        <w:rPr>
          <w:rFonts w:hint="eastAsia" w:ascii="仿宋_GB2312" w:eastAsia="仿宋_GB2312"/>
          <w:bCs/>
          <w:color w:val="000000"/>
          <w:sz w:val="32"/>
          <w:szCs w:val="32"/>
        </w:rPr>
        <w:t>县残联根据自治区脱贫攻坚第二批联合督查巡查反馈的问题，高度重视，前往达布达尔乡波斯特多克村其努吐尔家核实情况，将其努吐尔添加到2018年重度残疾人护理补贴发放名单中，并将整改过程汇总后形成“一问一档”档案留存。</w:t>
      </w:r>
    </w:p>
    <w:p>
      <w:pPr>
        <w:spacing w:line="540" w:lineRule="exact"/>
        <w:ind w:firstLine="640" w:firstLineChars="200"/>
        <w:rPr>
          <w:rStyle w:val="16"/>
          <w:rFonts w:ascii="楷体" w:hAnsi="楷体" w:eastAsia="楷体"/>
          <w:spacing w:val="-4"/>
          <w:sz w:val="32"/>
          <w:szCs w:val="32"/>
        </w:rPr>
      </w:pPr>
      <w:r>
        <w:rPr>
          <w:rFonts w:hint="eastAsia" w:ascii="仿宋_GB2312" w:eastAsia="仿宋_GB2312"/>
          <w:bCs/>
          <w:color w:val="000000"/>
          <w:sz w:val="32"/>
          <w:szCs w:val="32"/>
        </w:rPr>
        <w:t>县残联副理事长抓住各乡镇民政干事集中办公的契机，利用半天的时间对各乡镇民政干事进行两项补贴实施方案进行培训，加深理解，确保2018年两项补贴各项工作保质保量的完成。</w:t>
      </w:r>
    </w:p>
    <w:p>
      <w:pPr>
        <w:spacing w:line="540" w:lineRule="exact"/>
        <w:ind w:firstLine="624" w:firstLineChars="200"/>
        <w:rPr>
          <w:rStyle w:val="16"/>
          <w:rFonts w:ascii="黑体" w:hAnsi="黑体" w:eastAsia="黑体"/>
        </w:rPr>
      </w:pPr>
      <w:r>
        <w:rPr>
          <w:rStyle w:val="16"/>
          <w:rFonts w:hint="eastAsia" w:ascii="黑体" w:hAnsi="黑体" w:eastAsia="黑体"/>
          <w:b w:val="0"/>
          <w:spacing w:val="-4"/>
          <w:sz w:val="32"/>
          <w:szCs w:val="32"/>
        </w:rPr>
        <w:t>四、项目绩效情况</w:t>
      </w:r>
      <w:r>
        <w:rPr>
          <w:rStyle w:val="16"/>
          <w:rFonts w:hint="eastAsia" w:ascii="黑体" w:hAnsi="黑体" w:eastAsia="黑体"/>
        </w:rPr>
        <w:t xml:space="preserve"> </w:t>
      </w:r>
    </w:p>
    <w:p>
      <w:pPr>
        <w:spacing w:line="540" w:lineRule="exact"/>
        <w:ind w:firstLine="627" w:firstLineChars="200"/>
        <w:rPr>
          <w:rStyle w:val="16"/>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产出指标分析及文字说明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1、数量指标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（1）重度残疾人护理补贴人数397人，补助资金38.112万元，</w:t>
      </w:r>
      <w:r>
        <w:rPr>
          <w:rFonts w:hint="eastAsia" w:ascii="仿宋_GB2312" w:eastAsia="仿宋_GB2312"/>
          <w:bCs/>
          <w:color w:val="000000"/>
          <w:sz w:val="32"/>
          <w:szCs w:val="32"/>
        </w:rPr>
        <w:t>实际发放重度残疾人护理补贴人数452人，发放资金39.056万元</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（2）困难残疾人生活补贴人数669人，补助资金64.224万元，</w:t>
      </w:r>
      <w:r>
        <w:rPr>
          <w:rFonts w:hint="eastAsia" w:ascii="仿宋_GB2312" w:eastAsia="仿宋_GB2312"/>
          <w:bCs/>
          <w:color w:val="000000"/>
          <w:sz w:val="32"/>
          <w:szCs w:val="32"/>
        </w:rPr>
        <w:t>实际发放困难残疾人生活补贴人数670人，发放资金63.28万元</w:t>
      </w:r>
      <w:r>
        <w:rPr>
          <w:rFonts w:hint="eastAsia" w:ascii="仿宋_GB2312" w:eastAsia="仿宋_GB2312"/>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2、质量指标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（1）足额发放重度残疾人护理补贴预期完成率100%，实际完成率100%。</w:t>
      </w:r>
    </w:p>
    <w:p>
      <w:pPr>
        <w:spacing w:line="540" w:lineRule="exact"/>
        <w:ind w:firstLine="640" w:firstLineChars="200"/>
        <w:rPr>
          <w:rFonts w:ascii="仿宋_GB2312" w:eastAsia="仿宋_GB2312"/>
          <w:i/>
          <w:sz w:val="32"/>
          <w:szCs w:val="32"/>
        </w:rPr>
      </w:pPr>
      <w:r>
        <w:rPr>
          <w:rFonts w:hint="eastAsia" w:ascii="仿宋_GB2312" w:eastAsia="仿宋_GB2312"/>
          <w:sz w:val="32"/>
          <w:szCs w:val="32"/>
        </w:rPr>
        <w:t>（2）足额发放困难残疾人生活补贴预期完成率100%，实际完成率100%。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3、时效指标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残疾人两项补贴资金足额发放及时率100%，实际完成100%。</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4、成本指标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（1）重度残疾人护理补贴标准80元/人/月，按标准发放；</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（2）困难残疾人生活补贴标准80元/人/月，按标准发放。</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绩效定性指标分析及详细文字说明：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1、经济效益指标</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本项目直接发放和间接补贴的方式为符合发放条件的残疾人减轻生活负担，增加收入102.336万元，主要体现在以下几个方面：</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（1）重度残疾人护理补贴资金的使用为我县重度残疾人的日常护理提供了资金支持，提高了残疾人平均寿命，改善了残疾人生活质量，让广大残疾人感受到了党和国家的关怀，让残疾人更好的融入社会。</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（2）困难残疾人生活补贴资金的使用为我县困难残疾人的日常开销提供了资金支持，改善了残疾人生活质量，从而增强其回馈社会、贡献社会的积极性。</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2、社会效益指标</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（1）计划享受残疾人事业发展补助资金残疾人共计1066人，实际发放补助资金共计1122人,主要由于我县新增重度残疾人数量较多，同时低保系统数据错误，造成享受低保残疾人数量变多。</w:t>
      </w:r>
      <w:r>
        <w:rPr>
          <w:rFonts w:ascii="仿宋_GB2312" w:eastAsia="仿宋_GB2312"/>
          <w:sz w:val="32"/>
          <w:szCs w:val="32"/>
        </w:rPr>
        <w:t xml:space="preserve"> </w:t>
      </w:r>
    </w:p>
    <w:p>
      <w:pPr>
        <w:adjustRightInd w:val="0"/>
        <w:spacing w:line="540" w:lineRule="exact"/>
        <w:ind w:firstLine="640" w:firstLineChars="200"/>
        <w:rPr>
          <w:rFonts w:ascii="仿宋_GB2312" w:eastAsia="仿宋_GB2312"/>
          <w:sz w:val="32"/>
          <w:szCs w:val="32"/>
        </w:rPr>
      </w:pPr>
      <w:r>
        <w:rPr>
          <w:rFonts w:hint="eastAsia" w:ascii="仿宋_GB2312" w:eastAsia="仿宋_GB2312"/>
          <w:sz w:val="32"/>
          <w:szCs w:val="32"/>
        </w:rPr>
        <w:t>（2）通过建立残疾人基本信息实名制台账和建档立卡贫困残疾人基本信息实名制台账，县残联能够更加准确、全面的掌握残疾人基本状况，并实地了解建档立卡残疾人家庭困难和需求，让残疾人惠残政策运行高效透明。</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（3）本项目的实施，旨在加强我县残疾人社会保障体系和服务体系建设，提高生活质量，从残疾人生活的医、食、住、行全方位加快推进残疾人小康进程。</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3、生态效益指标（无）</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4、可持续影响指标</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hAnsi="仿宋_GB2312" w:eastAsia="仿宋_GB2312" w:cs="宋体"/>
          <w:color w:val="000000"/>
          <w:kern w:val="0"/>
          <w:sz w:val="32"/>
          <w:szCs w:val="32"/>
        </w:rPr>
        <w:t>通过残疾人两项补贴资金的发放，持续提高和改善残疾人生活水平，此项工作需要长期坚持。</w:t>
      </w:r>
    </w:p>
    <w:p>
      <w:pPr>
        <w:adjustRightInd w:val="0"/>
        <w:spacing w:line="540" w:lineRule="exact"/>
        <w:ind w:firstLine="640" w:firstLineChars="200"/>
        <w:rPr>
          <w:rFonts w:ascii="仿宋_GB2312" w:hAnsi="仿宋_GB2312" w:eastAsia="仿宋_GB2312" w:cs="宋体"/>
          <w:color w:val="000000"/>
          <w:kern w:val="0"/>
          <w:sz w:val="32"/>
          <w:szCs w:val="32"/>
        </w:rPr>
      </w:pPr>
      <w:r>
        <w:rPr>
          <w:rFonts w:hint="eastAsia" w:ascii="仿宋_GB2312" w:eastAsia="仿宋_GB2312"/>
          <w:sz w:val="32"/>
          <w:szCs w:val="32"/>
        </w:rPr>
        <w:t>通过残疾人两项补贴资金的使用，让困难残疾人的生活得到了保障。让重度残疾人通过家庭医生的护理照顾，恢复部分生活自理能力，重燃信心。</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640" w:firstLineChars="200"/>
        <w:rPr>
          <w:rFonts w:ascii="仿宋" w:hAnsi="仿宋" w:eastAsia="仿宋"/>
          <w:spacing w:val="-4"/>
          <w:sz w:val="32"/>
          <w:szCs w:val="32"/>
        </w:rPr>
      </w:pPr>
      <w:r>
        <w:rPr>
          <w:rFonts w:hint="eastAsia" w:ascii="仿宋_GB2312" w:eastAsia="仿宋_GB2312"/>
          <w:sz w:val="32"/>
          <w:szCs w:val="32"/>
        </w:rPr>
        <w:t>已完成项目绩效目标。</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五、其他需要说明的问题</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640" w:firstLineChars="200"/>
        <w:rPr>
          <w:rFonts w:ascii="仿宋_GB2312" w:eastAsia="仿宋_GB2312"/>
          <w:spacing w:val="-4"/>
          <w:sz w:val="32"/>
          <w:szCs w:val="32"/>
        </w:rPr>
      </w:pPr>
      <w:r>
        <w:rPr>
          <w:rFonts w:hint="eastAsia" w:ascii="仿宋_GB2312" w:eastAsia="仿宋_GB2312"/>
          <w:bCs/>
          <w:color w:val="000000"/>
          <w:sz w:val="32"/>
          <w:szCs w:val="32"/>
        </w:rPr>
        <w:t>县残联将更加充分的利用残疾人两项补贴资金，</w:t>
      </w:r>
      <w:r>
        <w:rPr>
          <w:rFonts w:hint="eastAsia" w:ascii="仿宋_GB2312" w:hAnsi="宋体" w:eastAsia="仿宋_GB2312" w:cs="宋体"/>
          <w:color w:val="000000"/>
          <w:sz w:val="32"/>
          <w:szCs w:val="32"/>
        </w:rPr>
        <w:t>以逐步改善残疾人的基本生活为重点，创造良好的社会环境，使残疾人事业健康发展。</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ind w:firstLine="640" w:firstLineChars="200"/>
        <w:outlineLvl w:val="0"/>
        <w:rPr>
          <w:rFonts w:ascii="仿宋_GB2312" w:hAnsi="楷体" w:eastAsia="仿宋_GB2312"/>
          <w:bCs/>
          <w:color w:val="000000"/>
          <w:sz w:val="32"/>
          <w:szCs w:val="32"/>
        </w:rPr>
      </w:pPr>
      <w:r>
        <w:rPr>
          <w:rFonts w:hint="eastAsia" w:ascii="仿宋_GB2312" w:hAnsi="楷体" w:eastAsia="仿宋_GB2312"/>
          <w:bCs/>
          <w:color w:val="000000"/>
          <w:sz w:val="32"/>
          <w:szCs w:val="32"/>
        </w:rPr>
        <w:t>项目实施过程中好的经验总结：</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合理利用专业系统核实我县残疾人基本信息，建立各类精准台账，为发放残疾人两项补贴提供真实可靠的信息保障。</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项目实施过程中存在的问题及原因分析：</w:t>
      </w:r>
    </w:p>
    <w:p>
      <w:pPr>
        <w:ind w:firstLine="640" w:firstLineChars="200"/>
        <w:outlineLvl w:val="0"/>
        <w:rPr>
          <w:rFonts w:ascii="仿宋_GB2312" w:eastAsia="仿宋_GB2312"/>
          <w:bCs/>
          <w:color w:val="000000"/>
          <w:sz w:val="32"/>
          <w:szCs w:val="32"/>
        </w:rPr>
      </w:pPr>
      <w:r>
        <w:rPr>
          <w:rFonts w:hint="eastAsia" w:ascii="仿宋_GB2312" w:eastAsia="仿宋_GB2312"/>
          <w:bCs/>
          <w:color w:val="000000"/>
          <w:sz w:val="32"/>
          <w:szCs w:val="32"/>
        </w:rPr>
        <w:t>1、残联的人员编制少，使残疾人两项补贴政策的宣传具有局限性，形成了一些人对发展残疾人事业的认识不深、理解不够。</w:t>
      </w:r>
    </w:p>
    <w:p>
      <w:pPr>
        <w:ind w:firstLine="640" w:firstLineChars="200"/>
        <w:outlineLvl w:val="0"/>
        <w:rPr>
          <w:rFonts w:ascii="仿宋_GB2312" w:eastAsia="仿宋_GB2312"/>
          <w:bCs/>
          <w:color w:val="000000"/>
          <w:sz w:val="32"/>
          <w:szCs w:val="32"/>
        </w:rPr>
      </w:pPr>
      <w:r>
        <w:rPr>
          <w:rFonts w:hint="eastAsia" w:ascii="仿宋_GB2312" w:hAnsi="仿宋" w:eastAsia="仿宋_GB2312"/>
          <w:sz w:val="32"/>
          <w:szCs w:val="32"/>
        </w:rPr>
        <w:t>2、各乡、镇民政干事人员流动性大，没有形成专人专责工作制度，造成对残疾人两项补贴资金使用情况认识不到位，对残疾人进行政策宣讲和解读不到位。</w:t>
      </w:r>
    </w:p>
    <w:p>
      <w:pPr>
        <w:ind w:firstLine="640" w:firstLineChars="200"/>
        <w:outlineLvl w:val="0"/>
        <w:rPr>
          <w:rFonts w:ascii="仿宋_GB2312" w:eastAsia="仿宋_GB2312"/>
          <w:bCs/>
          <w:color w:val="000000"/>
          <w:sz w:val="32"/>
          <w:szCs w:val="32"/>
        </w:rPr>
      </w:pPr>
      <w:r>
        <w:rPr>
          <w:rFonts w:hint="eastAsia" w:ascii="仿宋_GB2312" w:hAnsi="楷体" w:eastAsia="仿宋_GB2312"/>
          <w:bCs/>
          <w:color w:val="000000"/>
          <w:sz w:val="32"/>
          <w:szCs w:val="32"/>
        </w:rPr>
        <w:t>对下一年度项目实施的改进意见或措施：</w:t>
      </w:r>
    </w:p>
    <w:p>
      <w:pPr>
        <w:pStyle w:val="44"/>
        <w:spacing w:line="560" w:lineRule="exact"/>
        <w:ind w:firstLine="640" w:firstLineChars="200"/>
        <w:rPr>
          <w:rFonts w:ascii="仿宋_GB2312" w:hAnsi="仿宋" w:eastAsia="仿宋_GB2312"/>
          <w:kern w:val="2"/>
          <w:sz w:val="32"/>
          <w:szCs w:val="32"/>
        </w:rPr>
      </w:pPr>
      <w:r>
        <w:rPr>
          <w:rFonts w:hint="eastAsia" w:ascii="仿宋_GB2312" w:hAnsi="仿宋" w:eastAsia="仿宋_GB2312"/>
          <w:kern w:val="2"/>
          <w:sz w:val="32"/>
          <w:szCs w:val="32"/>
        </w:rPr>
        <w:t>1、以健全“两个体系”（保障体系和服务体系）和“大力扶持、帮助贫困残疾人”为主题结合实际宣传在残疾人事业中取得的丰硕成果。开展多种形式的助残活动，进一步扩大扶残、助残的影响面，在全社会营造关心残疾人，支持残疾人事业的局面。积极开展各项活动，建立自治县残疾人文体人才库，提高残疾人参与社会的能力。</w:t>
      </w:r>
    </w:p>
    <w:p>
      <w:pPr>
        <w:spacing w:line="540" w:lineRule="exact"/>
        <w:ind w:firstLine="640" w:firstLineChars="200"/>
        <w:rPr>
          <w:rFonts w:ascii="仿宋_GB2312" w:hAnsi="楷体" w:eastAsia="仿宋_GB2312"/>
          <w:b/>
          <w:spacing w:val="-4"/>
          <w:sz w:val="32"/>
          <w:szCs w:val="32"/>
        </w:rPr>
      </w:pPr>
      <w:r>
        <w:rPr>
          <w:rFonts w:hint="eastAsia" w:ascii="仿宋_GB2312" w:eastAsia="仿宋_GB2312"/>
          <w:bCs/>
          <w:color w:val="000000"/>
          <w:sz w:val="32"/>
          <w:szCs w:val="32"/>
        </w:rPr>
        <w:t>2、</w:t>
      </w:r>
      <w:r>
        <w:rPr>
          <w:rFonts w:hint="eastAsia" w:ascii="仿宋_GB2312" w:hAnsi="仿宋" w:eastAsia="仿宋_GB2312"/>
          <w:sz w:val="32"/>
          <w:szCs w:val="32"/>
        </w:rPr>
        <w:t>对各乡、镇民政干事进行残疾人事业发展补助资金文件进行培训，进一步巩固民政干事对政策的认识和理解。</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624" w:firstLineChars="200"/>
        <w:rPr>
          <w:rFonts w:ascii="仿宋_GB2312" w:hAnsi="楷体" w:eastAsia="仿宋_GB2312"/>
          <w:spacing w:val="-4"/>
          <w:sz w:val="32"/>
          <w:szCs w:val="32"/>
        </w:rPr>
      </w:pPr>
      <w:r>
        <w:rPr>
          <w:rFonts w:hint="eastAsia" w:ascii="仿宋_GB2312" w:hAnsi="楷体" w:eastAsia="仿宋_GB2312"/>
          <w:spacing w:val="-4"/>
          <w:sz w:val="32"/>
          <w:szCs w:val="32"/>
        </w:rPr>
        <w:t>（无）</w:t>
      </w:r>
    </w:p>
    <w:p>
      <w:pPr>
        <w:spacing w:line="540" w:lineRule="exact"/>
        <w:ind w:firstLine="624" w:firstLineChars="200"/>
        <w:rPr>
          <w:rStyle w:val="16"/>
          <w:rFonts w:ascii="黑体" w:hAnsi="黑体" w:eastAsia="黑体"/>
          <w:b w:val="0"/>
          <w:spacing w:val="-4"/>
          <w:sz w:val="32"/>
          <w:szCs w:val="32"/>
        </w:rPr>
      </w:pPr>
      <w:r>
        <w:rPr>
          <w:rStyle w:val="16"/>
          <w:rFonts w:hint="eastAsia" w:ascii="黑体" w:hAnsi="黑体" w:eastAsia="黑体"/>
          <w:b w:val="0"/>
          <w:spacing w:val="-4"/>
          <w:sz w:val="32"/>
          <w:szCs w:val="32"/>
        </w:rPr>
        <w:t>六、项目评价工作情况</w:t>
      </w:r>
    </w:p>
    <w:p>
      <w:pPr>
        <w:spacing w:line="450" w:lineRule="atLeast"/>
        <w:ind w:firstLine="567"/>
        <w:rPr>
          <w:rFonts w:ascii="仿宋" w:hAnsi="仿宋" w:eastAsia="仿宋"/>
          <w:bCs/>
          <w:spacing w:val="-4"/>
          <w:sz w:val="32"/>
          <w:szCs w:val="32"/>
        </w:rPr>
      </w:pPr>
      <w:r>
        <w:rPr>
          <w:rFonts w:hint="eastAsia" w:ascii="仿宋" w:hAnsi="仿宋" w:eastAsia="仿宋"/>
          <w:bCs/>
          <w:spacing w:val="-4"/>
          <w:sz w:val="32"/>
          <w:szCs w:val="32"/>
        </w:rPr>
        <w:t>本次绩效评价共分三个阶段</w:t>
      </w:r>
      <w:r>
        <w:rPr>
          <w:rFonts w:ascii="仿宋" w:hAnsi="仿宋" w:eastAsia="仿宋"/>
          <w:bCs/>
          <w:spacing w:val="-4"/>
          <w:sz w:val="32"/>
          <w:szCs w:val="32"/>
        </w:rPr>
        <w:t>,</w:t>
      </w:r>
      <w:r>
        <w:rPr>
          <w:rFonts w:hint="eastAsia" w:ascii="仿宋" w:hAnsi="仿宋" w:eastAsia="仿宋"/>
          <w:bCs/>
          <w:spacing w:val="-4"/>
          <w:sz w:val="32"/>
          <w:szCs w:val="32"/>
        </w:rPr>
        <w:t>一是绩效评价准备。召开学习准备会，通过对财政预算绩效评价相关文件的学习，制定实施方案，成立评价小组。二是绩效评价实施。严格按照规定组织实施绩效评价，查阅和收集有关数据资料，并进行认真分析，初步计算出各评价指标分值。三是绩效评价报告形成。通过对各项资料进行归纳整理，形成绩效评价报告。</w:t>
      </w:r>
    </w:p>
    <w:p>
      <w:pPr>
        <w:spacing w:line="540" w:lineRule="exact"/>
        <w:ind w:firstLine="624" w:firstLineChars="200"/>
        <w:rPr>
          <w:rStyle w:val="16"/>
          <w:rFonts w:ascii="黑体" w:hAnsi="黑体" w:eastAsia="黑体"/>
          <w:b w:val="0"/>
          <w:spacing w:val="-4"/>
          <w:sz w:val="32"/>
          <w:szCs w:val="32"/>
        </w:rPr>
      </w:pPr>
      <w:bookmarkStart w:id="0" w:name="_GoBack"/>
      <w:bookmarkEnd w:id="0"/>
      <w:r>
        <w:rPr>
          <w:rStyle w:val="16"/>
          <w:rFonts w:hint="eastAsia" w:ascii="黑体" w:hAnsi="黑体" w:eastAsia="黑体"/>
          <w:b w:val="0"/>
          <w:spacing w:val="-4"/>
          <w:sz w:val="32"/>
          <w:szCs w:val="32"/>
        </w:rPr>
        <w:t>七、附表</w:t>
      </w:r>
    </w:p>
    <w:p>
      <w:pPr>
        <w:spacing w:line="540" w:lineRule="exact"/>
        <w:ind w:firstLine="624" w:firstLineChars="200"/>
        <w:rPr>
          <w:rStyle w:val="16"/>
          <w:rFonts w:ascii="仿宋" w:hAnsi="仿宋" w:eastAsia="仿宋"/>
          <w:b w:val="0"/>
          <w:spacing w:val="-4"/>
          <w:sz w:val="32"/>
          <w:szCs w:val="32"/>
        </w:rPr>
      </w:pPr>
      <w:r>
        <w:rPr>
          <w:rStyle w:val="16"/>
          <w:rFonts w:hint="eastAsia" w:ascii="仿宋" w:hAnsi="仿宋" w:eastAsia="仿宋"/>
          <w:b w:val="0"/>
          <w:spacing w:val="-4"/>
          <w:sz w:val="32"/>
          <w:szCs w:val="32"/>
        </w:rPr>
        <w:t>《项目支出绩效目标自评表》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442EA"/>
    <w:rsid w:val="00046AF4"/>
    <w:rsid w:val="00053CD0"/>
    <w:rsid w:val="00097AA4"/>
    <w:rsid w:val="000F1ED2"/>
    <w:rsid w:val="00183CA6"/>
    <w:rsid w:val="001C085F"/>
    <w:rsid w:val="001C431C"/>
    <w:rsid w:val="002549A7"/>
    <w:rsid w:val="002A5191"/>
    <w:rsid w:val="002A73D1"/>
    <w:rsid w:val="002E0EBA"/>
    <w:rsid w:val="003043F4"/>
    <w:rsid w:val="00314A8D"/>
    <w:rsid w:val="0032732E"/>
    <w:rsid w:val="00406343"/>
    <w:rsid w:val="00466F79"/>
    <w:rsid w:val="005162F1"/>
    <w:rsid w:val="00527BFD"/>
    <w:rsid w:val="00535153"/>
    <w:rsid w:val="00556BB3"/>
    <w:rsid w:val="00560236"/>
    <w:rsid w:val="005968AE"/>
    <w:rsid w:val="005E7264"/>
    <w:rsid w:val="005F6D35"/>
    <w:rsid w:val="006358FB"/>
    <w:rsid w:val="00683C97"/>
    <w:rsid w:val="00800427"/>
    <w:rsid w:val="00835C4A"/>
    <w:rsid w:val="00855E3A"/>
    <w:rsid w:val="008718BF"/>
    <w:rsid w:val="008E658A"/>
    <w:rsid w:val="008F65F6"/>
    <w:rsid w:val="00922CB9"/>
    <w:rsid w:val="0094494E"/>
    <w:rsid w:val="009569DC"/>
    <w:rsid w:val="009A23D1"/>
    <w:rsid w:val="00A15C6E"/>
    <w:rsid w:val="00A26421"/>
    <w:rsid w:val="00A4293B"/>
    <w:rsid w:val="00A81B08"/>
    <w:rsid w:val="00AA2E00"/>
    <w:rsid w:val="00B41F61"/>
    <w:rsid w:val="00BA4175"/>
    <w:rsid w:val="00C11811"/>
    <w:rsid w:val="00C56C72"/>
    <w:rsid w:val="00CA6457"/>
    <w:rsid w:val="00CD13A0"/>
    <w:rsid w:val="00CD7077"/>
    <w:rsid w:val="00CF0D57"/>
    <w:rsid w:val="00D17F2E"/>
    <w:rsid w:val="00D53BDF"/>
    <w:rsid w:val="00E551DB"/>
    <w:rsid w:val="00E769FE"/>
    <w:rsid w:val="00E81FFB"/>
    <w:rsid w:val="00E961AC"/>
    <w:rsid w:val="00EA2CBE"/>
    <w:rsid w:val="00F32FEE"/>
    <w:rsid w:val="00F53D43"/>
    <w:rsid w:val="00FF22B4"/>
    <w:rsid w:val="030E24F8"/>
    <w:rsid w:val="14E47D34"/>
    <w:rsid w:val="163A6C5C"/>
    <w:rsid w:val="17BD3C93"/>
    <w:rsid w:val="19AC5CDC"/>
    <w:rsid w:val="1A887DE2"/>
    <w:rsid w:val="20476A35"/>
    <w:rsid w:val="20BA0FBC"/>
    <w:rsid w:val="24B92838"/>
    <w:rsid w:val="27C127E7"/>
    <w:rsid w:val="30BD12C4"/>
    <w:rsid w:val="31C95797"/>
    <w:rsid w:val="32642923"/>
    <w:rsid w:val="365F1E45"/>
    <w:rsid w:val="3D294062"/>
    <w:rsid w:val="3D7F707A"/>
    <w:rsid w:val="45A13B80"/>
    <w:rsid w:val="47C61B74"/>
    <w:rsid w:val="496C7BBA"/>
    <w:rsid w:val="49FF0EC0"/>
    <w:rsid w:val="4AB74847"/>
    <w:rsid w:val="4BAD5798"/>
    <w:rsid w:val="4C0C2211"/>
    <w:rsid w:val="4F6A5C5B"/>
    <w:rsid w:val="52FF7BAE"/>
    <w:rsid w:val="5D9D17DD"/>
    <w:rsid w:val="63C310D3"/>
    <w:rsid w:val="65563B41"/>
    <w:rsid w:val="6ECD3F3B"/>
    <w:rsid w:val="7EB64D4C"/>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0"/>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2"/>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3"/>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4"/>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5"/>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6"/>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7"/>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5">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11">
    <w:name w:val="footer"/>
    <w:basedOn w:val="1"/>
    <w:link w:val="43"/>
    <w:unhideWhenUsed/>
    <w:qFormat/>
    <w:uiPriority w:val="99"/>
    <w:pPr>
      <w:tabs>
        <w:tab w:val="center" w:pos="4153"/>
        <w:tab w:val="right" w:pos="8306"/>
      </w:tabs>
      <w:snapToGrid w:val="0"/>
      <w:jc w:val="left"/>
    </w:pPr>
    <w:rPr>
      <w:rFonts w:ascii="Calibri" w:hAnsi="Calibri"/>
      <w:sz w:val="18"/>
      <w:szCs w:val="18"/>
    </w:rPr>
  </w:style>
  <w:style w:type="paragraph" w:styleId="12">
    <w:name w:val="header"/>
    <w:basedOn w:val="1"/>
    <w:link w:val="42"/>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3">
    <w:name w:val="Subtitle"/>
    <w:basedOn w:val="1"/>
    <w:next w:val="1"/>
    <w:link w:val="29"/>
    <w:qFormat/>
    <w:uiPriority w:val="11"/>
    <w:pPr>
      <w:widowControl/>
      <w:spacing w:after="60"/>
      <w:jc w:val="center"/>
      <w:outlineLvl w:val="1"/>
    </w:pPr>
    <w:rPr>
      <w:rFonts w:asciiTheme="majorHAnsi" w:hAnsiTheme="majorHAnsi" w:eastAsiaTheme="majorEastAsia"/>
      <w:kern w:val="0"/>
      <w:sz w:val="24"/>
    </w:rPr>
  </w:style>
  <w:style w:type="paragraph" w:styleId="14">
    <w:name w:val="Title"/>
    <w:basedOn w:val="1"/>
    <w:next w:val="1"/>
    <w:link w:val="28"/>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6">
    <w:name w:val="Strong"/>
    <w:basedOn w:val="15"/>
    <w:qFormat/>
    <w:uiPriority w:val="0"/>
    <w:rPr>
      <w:b/>
      <w:bCs/>
    </w:rPr>
  </w:style>
  <w:style w:type="character" w:styleId="17">
    <w:name w:val="Emphasis"/>
    <w:basedOn w:val="15"/>
    <w:qFormat/>
    <w:uiPriority w:val="20"/>
    <w:rPr>
      <w:rFonts w:asciiTheme="minorHAnsi" w:hAnsiTheme="minorHAnsi"/>
      <w:b/>
      <w:i/>
      <w:iCs/>
    </w:rPr>
  </w:style>
  <w:style w:type="character" w:customStyle="1" w:styleId="19">
    <w:name w:val="标题 1 Char"/>
    <w:basedOn w:val="15"/>
    <w:link w:val="2"/>
    <w:qFormat/>
    <w:uiPriority w:val="9"/>
    <w:rPr>
      <w:rFonts w:asciiTheme="majorHAnsi" w:hAnsiTheme="majorHAnsi" w:eastAsiaTheme="majorEastAsia"/>
      <w:b/>
      <w:bCs/>
      <w:kern w:val="32"/>
      <w:sz w:val="32"/>
      <w:szCs w:val="32"/>
    </w:rPr>
  </w:style>
  <w:style w:type="character" w:customStyle="1" w:styleId="20">
    <w:name w:val="标题 2 Char"/>
    <w:basedOn w:val="15"/>
    <w:link w:val="3"/>
    <w:semiHidden/>
    <w:qFormat/>
    <w:uiPriority w:val="9"/>
    <w:rPr>
      <w:rFonts w:asciiTheme="majorHAnsi" w:hAnsiTheme="majorHAnsi" w:eastAsiaTheme="majorEastAsia"/>
      <w:b/>
      <w:bCs/>
      <w:i/>
      <w:iCs/>
      <w:sz w:val="28"/>
      <w:szCs w:val="28"/>
    </w:rPr>
  </w:style>
  <w:style w:type="character" w:customStyle="1" w:styleId="21">
    <w:name w:val="标题 3 Char"/>
    <w:basedOn w:val="15"/>
    <w:link w:val="4"/>
    <w:semiHidden/>
    <w:qFormat/>
    <w:uiPriority w:val="9"/>
    <w:rPr>
      <w:rFonts w:asciiTheme="majorHAnsi" w:hAnsiTheme="majorHAnsi" w:eastAsiaTheme="majorEastAsia"/>
      <w:b/>
      <w:bCs/>
      <w:sz w:val="26"/>
      <w:szCs w:val="26"/>
    </w:rPr>
  </w:style>
  <w:style w:type="character" w:customStyle="1" w:styleId="22">
    <w:name w:val="标题 4 Char"/>
    <w:basedOn w:val="15"/>
    <w:link w:val="5"/>
    <w:semiHidden/>
    <w:qFormat/>
    <w:uiPriority w:val="9"/>
    <w:rPr>
      <w:b/>
      <w:bCs/>
      <w:sz w:val="28"/>
      <w:szCs w:val="28"/>
    </w:rPr>
  </w:style>
  <w:style w:type="character" w:customStyle="1" w:styleId="23">
    <w:name w:val="标题 5 Char"/>
    <w:basedOn w:val="15"/>
    <w:link w:val="6"/>
    <w:semiHidden/>
    <w:qFormat/>
    <w:uiPriority w:val="9"/>
    <w:rPr>
      <w:b/>
      <w:bCs/>
      <w:i/>
      <w:iCs/>
      <w:sz w:val="26"/>
      <w:szCs w:val="26"/>
    </w:rPr>
  </w:style>
  <w:style w:type="character" w:customStyle="1" w:styleId="24">
    <w:name w:val="标题 6 Char"/>
    <w:basedOn w:val="15"/>
    <w:link w:val="7"/>
    <w:semiHidden/>
    <w:qFormat/>
    <w:uiPriority w:val="9"/>
    <w:rPr>
      <w:b/>
      <w:bCs/>
    </w:rPr>
  </w:style>
  <w:style w:type="character" w:customStyle="1" w:styleId="25">
    <w:name w:val="标题 7 Char"/>
    <w:basedOn w:val="15"/>
    <w:link w:val="8"/>
    <w:semiHidden/>
    <w:qFormat/>
    <w:uiPriority w:val="9"/>
    <w:rPr>
      <w:sz w:val="24"/>
      <w:szCs w:val="24"/>
    </w:rPr>
  </w:style>
  <w:style w:type="character" w:customStyle="1" w:styleId="26">
    <w:name w:val="标题 8 Char"/>
    <w:basedOn w:val="15"/>
    <w:link w:val="9"/>
    <w:semiHidden/>
    <w:qFormat/>
    <w:uiPriority w:val="9"/>
    <w:rPr>
      <w:i/>
      <w:iCs/>
      <w:sz w:val="24"/>
      <w:szCs w:val="24"/>
    </w:rPr>
  </w:style>
  <w:style w:type="character" w:customStyle="1" w:styleId="27">
    <w:name w:val="标题 9 Char"/>
    <w:basedOn w:val="15"/>
    <w:link w:val="10"/>
    <w:semiHidden/>
    <w:qFormat/>
    <w:uiPriority w:val="9"/>
    <w:rPr>
      <w:rFonts w:asciiTheme="majorHAnsi" w:hAnsiTheme="majorHAnsi" w:eastAsiaTheme="majorEastAsia"/>
    </w:rPr>
  </w:style>
  <w:style w:type="character" w:customStyle="1" w:styleId="28">
    <w:name w:val="标题 Char"/>
    <w:basedOn w:val="15"/>
    <w:link w:val="14"/>
    <w:qFormat/>
    <w:uiPriority w:val="10"/>
    <w:rPr>
      <w:rFonts w:asciiTheme="majorHAnsi" w:hAnsiTheme="majorHAnsi" w:eastAsiaTheme="majorEastAsia"/>
      <w:b/>
      <w:bCs/>
      <w:kern w:val="28"/>
      <w:sz w:val="32"/>
      <w:szCs w:val="32"/>
    </w:rPr>
  </w:style>
  <w:style w:type="character" w:customStyle="1" w:styleId="29">
    <w:name w:val="副标题 Char"/>
    <w:basedOn w:val="15"/>
    <w:link w:val="13"/>
    <w:qFormat/>
    <w:uiPriority w:val="11"/>
    <w:rPr>
      <w:rFonts w:asciiTheme="majorHAnsi" w:hAnsiTheme="majorHAnsi" w:eastAsiaTheme="majorEastAsia"/>
      <w:sz w:val="24"/>
      <w:szCs w:val="24"/>
    </w:rPr>
  </w:style>
  <w:style w:type="paragraph" w:customStyle="1" w:styleId="30">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1">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2">
    <w:name w:val="Quote"/>
    <w:basedOn w:val="1"/>
    <w:next w:val="1"/>
    <w:link w:val="33"/>
    <w:qFormat/>
    <w:uiPriority w:val="29"/>
    <w:pPr>
      <w:widowControl/>
      <w:jc w:val="left"/>
    </w:pPr>
    <w:rPr>
      <w:rFonts w:asciiTheme="minorHAnsi" w:hAnsiTheme="minorHAnsi" w:eastAsiaTheme="minorEastAsia"/>
      <w:i/>
      <w:kern w:val="0"/>
      <w:sz w:val="24"/>
    </w:rPr>
  </w:style>
  <w:style w:type="character" w:customStyle="1" w:styleId="33">
    <w:name w:val="引用 Char"/>
    <w:basedOn w:val="15"/>
    <w:link w:val="32"/>
    <w:qFormat/>
    <w:uiPriority w:val="29"/>
    <w:rPr>
      <w:i/>
      <w:sz w:val="24"/>
      <w:szCs w:val="24"/>
    </w:rPr>
  </w:style>
  <w:style w:type="paragraph" w:customStyle="1" w:styleId="34">
    <w:name w:val="Intense Quote"/>
    <w:basedOn w:val="1"/>
    <w:next w:val="1"/>
    <w:link w:val="35"/>
    <w:qFormat/>
    <w:uiPriority w:val="30"/>
    <w:pPr>
      <w:widowControl/>
      <w:ind w:left="720" w:right="720"/>
      <w:jc w:val="left"/>
    </w:pPr>
    <w:rPr>
      <w:rFonts w:asciiTheme="minorHAnsi" w:hAnsiTheme="minorHAnsi" w:eastAsiaTheme="minorEastAsia"/>
      <w:b/>
      <w:i/>
      <w:kern w:val="0"/>
      <w:sz w:val="24"/>
      <w:szCs w:val="22"/>
    </w:rPr>
  </w:style>
  <w:style w:type="character" w:customStyle="1" w:styleId="35">
    <w:name w:val="明显引用 Char"/>
    <w:basedOn w:val="15"/>
    <w:link w:val="34"/>
    <w:qFormat/>
    <w:uiPriority w:val="30"/>
    <w:rPr>
      <w:b/>
      <w:i/>
      <w:sz w:val="24"/>
    </w:rPr>
  </w:style>
  <w:style w:type="character" w:customStyle="1" w:styleId="36">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7">
    <w:name w:val="Intense Emphasis"/>
    <w:basedOn w:val="15"/>
    <w:qFormat/>
    <w:uiPriority w:val="21"/>
    <w:rPr>
      <w:b/>
      <w:i/>
      <w:sz w:val="24"/>
      <w:szCs w:val="24"/>
      <w:u w:val="single"/>
    </w:rPr>
  </w:style>
  <w:style w:type="character" w:customStyle="1" w:styleId="38">
    <w:name w:val="Subtle Reference"/>
    <w:basedOn w:val="15"/>
    <w:qFormat/>
    <w:uiPriority w:val="31"/>
    <w:rPr>
      <w:sz w:val="24"/>
      <w:szCs w:val="24"/>
      <w:u w:val="single"/>
    </w:rPr>
  </w:style>
  <w:style w:type="character" w:customStyle="1" w:styleId="39">
    <w:name w:val="Intense Reference"/>
    <w:basedOn w:val="15"/>
    <w:qFormat/>
    <w:uiPriority w:val="32"/>
    <w:rPr>
      <w:b/>
      <w:sz w:val="24"/>
      <w:u w:val="single"/>
    </w:rPr>
  </w:style>
  <w:style w:type="character" w:customStyle="1" w:styleId="40">
    <w:name w:val="Book Title"/>
    <w:basedOn w:val="15"/>
    <w:qFormat/>
    <w:uiPriority w:val="33"/>
    <w:rPr>
      <w:rFonts w:asciiTheme="majorHAnsi" w:hAnsiTheme="majorHAnsi" w:eastAsiaTheme="majorEastAsia"/>
      <w:b/>
      <w:i/>
      <w:sz w:val="24"/>
      <w:szCs w:val="24"/>
    </w:rPr>
  </w:style>
  <w:style w:type="paragraph" w:customStyle="1" w:styleId="41">
    <w:name w:val="TOC Heading"/>
    <w:basedOn w:val="2"/>
    <w:next w:val="1"/>
    <w:unhideWhenUsed/>
    <w:qFormat/>
    <w:uiPriority w:val="39"/>
    <w:pPr>
      <w:outlineLvl w:val="9"/>
    </w:pPr>
    <w:rPr>
      <w:lang w:eastAsia="en-US" w:bidi="en-US"/>
    </w:rPr>
  </w:style>
  <w:style w:type="character" w:customStyle="1" w:styleId="42">
    <w:name w:val="页眉 Char"/>
    <w:basedOn w:val="15"/>
    <w:link w:val="12"/>
    <w:qFormat/>
    <w:uiPriority w:val="99"/>
    <w:rPr>
      <w:rFonts w:ascii="Calibri" w:hAnsi="Calibri" w:eastAsia="宋体"/>
      <w:kern w:val="2"/>
      <w:sz w:val="18"/>
      <w:szCs w:val="18"/>
    </w:rPr>
  </w:style>
  <w:style w:type="character" w:customStyle="1" w:styleId="43">
    <w:name w:val="页脚 Char"/>
    <w:basedOn w:val="15"/>
    <w:link w:val="11"/>
    <w:uiPriority w:val="99"/>
    <w:rPr>
      <w:rFonts w:ascii="Calibri" w:hAnsi="Calibri" w:eastAsia="宋体"/>
      <w:kern w:val="2"/>
      <w:sz w:val="18"/>
      <w:szCs w:val="18"/>
    </w:rPr>
  </w:style>
  <w:style w:type="paragraph" w:customStyle="1" w:styleId="44">
    <w:name w:val="p0"/>
    <w:basedOn w:val="1"/>
    <w:qFormat/>
    <w:uiPriority w:val="0"/>
    <w:pPr>
      <w:widowControl/>
    </w:pPr>
    <w:rPr>
      <w:kern w:val="0"/>
    </w:rPr>
  </w:style>
  <w:style w:type="paragraph" w:customStyle="1" w:styleId="45">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486</Words>
  <Characters>2774</Characters>
  <Lines>23</Lines>
  <Paragraphs>6</Paragraphs>
  <TotalTime>0</TotalTime>
  <ScaleCrop>false</ScaleCrop>
  <LinksUpToDate>false</LinksUpToDate>
  <CharactersWithSpaces>3254</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2018-08-15T03:10:00Z</cp:lastPrinted>
  <dcterms:modified xsi:type="dcterms:W3CDTF">2019-09-21T12:19:42Z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