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both"/>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rFonts w:ascii="华文中宋" w:hAnsi="华文中宋" w:eastAsia="华文中宋" w:cs="华文中宋"/>
          <w:b/>
          <w:bCs/>
          <w:kern w:val="0"/>
          <w:sz w:val="52"/>
          <w:szCs w:val="52"/>
          <w:lang w:val="zh-TW" w:eastAsia="zh-TW"/>
        </w:rPr>
      </w:pPr>
      <w:r>
        <w:rPr>
          <w:rFonts w:ascii="华文中宋" w:hAnsi="华文中宋" w:eastAsia="华文中宋" w:cs="华文中宋"/>
          <w:b/>
          <w:bCs/>
          <w:kern w:val="0"/>
          <w:sz w:val="52"/>
          <w:szCs w:val="52"/>
          <w:lang w:val="zh-TW" w:eastAsia="zh-TW"/>
        </w:rPr>
        <w:t>新疆财政支出绩效自评报告</w:t>
      </w:r>
    </w:p>
    <w:p>
      <w:pPr>
        <w:pStyle w:val="49"/>
        <w:spacing w:line="540" w:lineRule="exact"/>
        <w:jc w:val="center"/>
        <w:rPr>
          <w:rFonts w:ascii="华文中宋" w:hAnsi="华文中宋" w:eastAsia="华文中宋" w:cs="华文中宋"/>
          <w:b/>
          <w:bCs/>
          <w:kern w:val="0"/>
          <w:sz w:val="52"/>
          <w:szCs w:val="52"/>
        </w:rPr>
      </w:pPr>
    </w:p>
    <w:p>
      <w:pPr>
        <w:pStyle w:val="49"/>
        <w:spacing w:line="540" w:lineRule="exact"/>
        <w:jc w:val="center"/>
        <w:rPr>
          <w:kern w:val="0"/>
          <w:sz w:val="30"/>
          <w:szCs w:val="30"/>
        </w:rPr>
      </w:pPr>
      <w:r>
        <w:rPr>
          <w:rFonts w:ascii="仿宋_GB2312" w:hAnsi="仿宋_GB2312" w:eastAsia="仿宋_GB2312" w:cs="仿宋_GB2312"/>
          <w:kern w:val="0"/>
          <w:sz w:val="36"/>
          <w:szCs w:val="36"/>
          <w:lang w:val="zh-TW" w:eastAsia="zh-TW"/>
        </w:rPr>
        <w:t>（201</w:t>
      </w:r>
      <w:r>
        <w:rPr>
          <w:rFonts w:hint="eastAsia" w:ascii="仿宋_GB2312" w:hAnsi="仿宋_GB2312" w:eastAsia="仿宋_GB2312" w:cs="仿宋_GB2312"/>
          <w:kern w:val="0"/>
          <w:sz w:val="36"/>
          <w:szCs w:val="36"/>
        </w:rPr>
        <w:t>8</w:t>
      </w:r>
      <w:r>
        <w:rPr>
          <w:rFonts w:ascii="仿宋_GB2312" w:hAnsi="仿宋_GB2312" w:eastAsia="仿宋_GB2312" w:cs="仿宋_GB2312"/>
          <w:kern w:val="0"/>
          <w:sz w:val="36"/>
          <w:szCs w:val="36"/>
          <w:lang w:val="zh-TW" w:eastAsia="zh-TW"/>
        </w:rPr>
        <w:t>年度）</w:t>
      </w:r>
    </w:p>
    <w:p>
      <w:pPr>
        <w:pStyle w:val="49"/>
        <w:spacing w:line="540" w:lineRule="exact"/>
        <w:jc w:val="center"/>
        <w:rPr>
          <w:kern w:val="0"/>
          <w:sz w:val="30"/>
          <w:szCs w:val="30"/>
        </w:rPr>
      </w:pPr>
    </w:p>
    <w:p>
      <w:pPr>
        <w:pStyle w:val="49"/>
        <w:spacing w:line="700" w:lineRule="exact"/>
        <w:jc w:val="left"/>
        <w:rPr>
          <w:rFonts w:ascii="仿宋_GB2312" w:hAnsi="仿宋_GB2312" w:eastAsia="仿宋_GB2312" w:cs="仿宋_GB2312"/>
          <w:kern w:val="0"/>
          <w:sz w:val="36"/>
          <w:szCs w:val="36"/>
          <w:lang w:val="zh-TW"/>
        </w:rPr>
      </w:pPr>
    </w:p>
    <w:p>
      <w:pPr>
        <w:pStyle w:val="49"/>
        <w:spacing w:line="700" w:lineRule="exact"/>
        <w:jc w:val="left"/>
        <w:rPr>
          <w:rFonts w:ascii="仿宋_GB2312" w:hAnsi="仿宋_GB2312" w:eastAsia="仿宋_GB2312" w:cs="仿宋_GB2312"/>
          <w:kern w:val="0"/>
          <w:sz w:val="36"/>
          <w:szCs w:val="36"/>
          <w:lang w:val="zh-TW" w:eastAsia="zh-TW"/>
        </w:rPr>
      </w:pPr>
    </w:p>
    <w:p>
      <w:pPr>
        <w:pStyle w:val="49"/>
        <w:spacing w:line="700" w:lineRule="exact"/>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项目名称：</w:t>
      </w:r>
      <w:r>
        <w:rPr>
          <w:rFonts w:hint="eastAsia" w:hAnsi="宋体" w:eastAsia="仿宋_GB2312" w:cs="宋体"/>
          <w:kern w:val="0"/>
          <w:sz w:val="36"/>
          <w:szCs w:val="36"/>
        </w:rPr>
        <w:t xml:space="preserve">  其他人力资源事务支出（三支一扶生活补助）</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实施单位（公章）：</w:t>
      </w:r>
      <w:r>
        <w:rPr>
          <w:rFonts w:hint="eastAsia" w:ascii="仿宋" w:hAnsi="仿宋" w:eastAsia="仿宋" w:cs="仿宋"/>
          <w:kern w:val="0"/>
          <w:sz w:val="36"/>
          <w:szCs w:val="36"/>
          <w:lang w:val="zh-TW" w:eastAsia="zh-TW"/>
        </w:rPr>
        <w:t>塔什库尔干县人力资源和社会保障局</w:t>
      </w:r>
    </w:p>
    <w:p>
      <w:pPr>
        <w:spacing w:line="700" w:lineRule="exact"/>
        <w:jc w:val="left"/>
        <w:rPr>
          <w:rFonts w:ascii="仿宋" w:hAnsi="仿宋" w:eastAsia="仿宋" w:cs="仿宋"/>
          <w:kern w:val="0"/>
          <w:sz w:val="36"/>
          <w:szCs w:val="36"/>
          <w:lang w:val="zh-TW" w:eastAsia="zh-TW"/>
        </w:rPr>
      </w:pPr>
      <w:r>
        <w:rPr>
          <w:rFonts w:ascii="仿宋_GB2312" w:hAnsi="仿宋_GB2312" w:eastAsia="仿宋_GB2312" w:cs="仿宋_GB2312"/>
          <w:kern w:val="0"/>
          <w:sz w:val="36"/>
          <w:szCs w:val="36"/>
          <w:lang w:val="zh-TW" w:eastAsia="zh-TW"/>
        </w:rPr>
        <w:t>主管部门（公章）：</w:t>
      </w:r>
      <w:r>
        <w:rPr>
          <w:rFonts w:hint="eastAsia" w:ascii="仿宋" w:hAnsi="仿宋" w:eastAsia="仿宋" w:cs="仿宋"/>
          <w:kern w:val="0"/>
          <w:sz w:val="36"/>
          <w:szCs w:val="36"/>
          <w:lang w:val="zh-TW" w:eastAsia="zh-TW"/>
        </w:rPr>
        <w:t>塔什库尔干县人力资源和社会保障局</w:t>
      </w:r>
    </w:p>
    <w:p>
      <w:pPr>
        <w:pStyle w:val="49"/>
        <w:spacing w:line="700" w:lineRule="exact"/>
        <w:jc w:val="left"/>
        <w:rPr>
          <w:rFonts w:hint="eastAsia"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项目负责人（签章）：</w:t>
      </w:r>
      <w:r>
        <w:rPr>
          <w:rFonts w:hint="eastAsia" w:ascii="仿宋_GB2312" w:hAnsi="仿宋_GB2312" w:eastAsia="仿宋_GB2312" w:cs="仿宋_GB2312"/>
          <w:kern w:val="0"/>
          <w:sz w:val="36"/>
          <w:szCs w:val="36"/>
          <w:lang w:val="zh-TW" w:eastAsia="zh-TW"/>
        </w:rPr>
        <w:t>张雪蕊</w:t>
      </w:r>
    </w:p>
    <w:p>
      <w:pPr>
        <w:pStyle w:val="49"/>
        <w:spacing w:line="700" w:lineRule="exact"/>
        <w:jc w:val="left"/>
        <w:rPr>
          <w:rFonts w:ascii="仿宋_GB2312" w:hAnsi="仿宋_GB2312" w:eastAsia="仿宋_GB2312" w:cs="仿宋_GB2312"/>
          <w:kern w:val="0"/>
          <w:sz w:val="36"/>
          <w:szCs w:val="36"/>
          <w:lang w:val="zh-TW"/>
        </w:rPr>
      </w:pPr>
      <w:r>
        <w:rPr>
          <w:rFonts w:ascii="仿宋_GB2312" w:hAnsi="仿宋_GB2312" w:eastAsia="仿宋_GB2312" w:cs="仿宋_GB2312"/>
          <w:kern w:val="0"/>
          <w:sz w:val="36"/>
          <w:szCs w:val="36"/>
          <w:lang w:val="zh-TW" w:eastAsia="zh-TW"/>
        </w:rPr>
        <w:t>填报时间：201</w:t>
      </w:r>
      <w:r>
        <w:rPr>
          <w:rFonts w:hint="eastAsia" w:ascii="仿宋_GB2312" w:hAnsi="仿宋_GB2312" w:eastAsia="仿宋_GB2312" w:cs="仿宋_GB2312"/>
          <w:kern w:val="0"/>
          <w:sz w:val="36"/>
          <w:szCs w:val="36"/>
          <w:lang w:val="zh-TW"/>
        </w:rPr>
        <w:t>8</w:t>
      </w:r>
      <w:r>
        <w:rPr>
          <w:rFonts w:ascii="仿宋_GB2312" w:hAnsi="仿宋_GB2312" w:eastAsia="仿宋_GB2312" w:cs="仿宋_GB2312"/>
          <w:kern w:val="0"/>
          <w:sz w:val="36"/>
          <w:szCs w:val="36"/>
          <w:lang w:val="zh-TW" w:eastAsia="zh-TW"/>
        </w:rPr>
        <w:t>年</w:t>
      </w:r>
      <w:r>
        <w:rPr>
          <w:rFonts w:hint="eastAsia" w:ascii="仿宋_GB2312" w:hAnsi="仿宋_GB2312" w:eastAsia="仿宋_GB2312" w:cs="仿宋_GB2312"/>
          <w:kern w:val="0"/>
          <w:sz w:val="36"/>
          <w:szCs w:val="36"/>
          <w:lang w:val="zh-TW"/>
        </w:rPr>
        <w:t xml:space="preserve">  12</w:t>
      </w:r>
      <w:r>
        <w:rPr>
          <w:rFonts w:ascii="仿宋_GB2312" w:hAnsi="仿宋_GB2312" w:eastAsia="仿宋_GB2312" w:cs="仿宋_GB2312"/>
          <w:kern w:val="0"/>
          <w:sz w:val="36"/>
          <w:szCs w:val="36"/>
          <w:lang w:val="zh-TW" w:eastAsia="zh-TW"/>
        </w:rPr>
        <w:t>月</w:t>
      </w:r>
      <w:r>
        <w:rPr>
          <w:rFonts w:hint="eastAsia" w:ascii="仿宋_GB2312" w:hAnsi="仿宋_GB2312" w:eastAsia="仿宋_GB2312" w:cs="仿宋_GB2312"/>
          <w:kern w:val="0"/>
          <w:sz w:val="36"/>
          <w:szCs w:val="36"/>
          <w:lang w:val="zh-TW"/>
        </w:rPr>
        <w:t xml:space="preserve"> 30 </w:t>
      </w:r>
      <w:r>
        <w:rPr>
          <w:rFonts w:ascii="仿宋_GB2312" w:hAnsi="仿宋_GB2312" w:eastAsia="仿宋_GB2312" w:cs="仿宋_GB2312"/>
          <w:kern w:val="0"/>
          <w:sz w:val="36"/>
          <w:szCs w:val="36"/>
          <w:lang w:val="zh-TW" w:eastAsia="zh-TW"/>
        </w:rPr>
        <w:t>日</w:t>
      </w: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hint="eastAsia" w:ascii="黑体" w:hAnsi="黑体" w:eastAsia="黑体"/>
          <w:b w:val="0"/>
          <w:spacing w:val="-4"/>
          <w:sz w:val="32"/>
          <w:szCs w:val="32"/>
        </w:rPr>
      </w:pPr>
    </w:p>
    <w:p>
      <w:pPr>
        <w:pStyle w:val="49"/>
        <w:spacing w:line="700" w:lineRule="exact"/>
        <w:ind w:firstLine="624" w:firstLineChars="200"/>
        <w:jc w:val="left"/>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（一）项目单位基本情况</w:t>
      </w:r>
    </w:p>
    <w:p>
      <w:pPr>
        <w:adjustRightInd w:val="0"/>
        <w:snapToGrid w:val="0"/>
        <w:spacing w:line="560" w:lineRule="exact"/>
        <w:ind w:firstLine="624" w:firstLineChars="200"/>
        <w:rPr>
          <w:rStyle w:val="19"/>
          <w:rFonts w:ascii="仿宋" w:hAnsi="仿宋" w:eastAsia="仿宋"/>
          <w:b w:val="0"/>
          <w:color w:val="000000" w:themeColor="text1"/>
          <w:spacing w:val="-4"/>
          <w:sz w:val="32"/>
          <w:szCs w:val="32"/>
        </w:rPr>
      </w:pPr>
      <w:r>
        <w:rPr>
          <w:rStyle w:val="19"/>
          <w:rFonts w:hint="eastAsia" w:ascii="仿宋" w:hAnsi="仿宋" w:eastAsia="仿宋"/>
          <w:b w:val="0"/>
          <w:color w:val="000000" w:themeColor="text1"/>
          <w:spacing w:val="-4"/>
          <w:sz w:val="32"/>
          <w:szCs w:val="32"/>
        </w:rPr>
        <w:t>塔县人力资源和社会保障局是塔什库尔干县人民政府主管社会事务的重要部门，承担着全县就业培训补贴、职业技能鉴定补贴、社会保险补贴、公益性岗位补贴、就业见习补贴、求职创业补贴、就业援助金、自主创业补贴、岗位补贴、就业创业服务补助和高技能人才培养补助等支出。以促进就业和培养技能人才为目的、实现“培训一人、就业一人”和“就业一人、培训一人”为目标、服务就业和经济发展为宗旨，加强职业技能培训，大力培养适应产业发展的技能人才，自主择业军转干部安置、服务、管理等工作。</w:t>
      </w:r>
    </w:p>
    <w:p>
      <w:pPr>
        <w:autoSpaceDN w:val="0"/>
        <w:spacing w:line="460" w:lineRule="exact"/>
        <w:ind w:firstLine="635" w:firstLineChars="200"/>
        <w:rPr>
          <w:rFonts w:ascii="楷体" w:hAnsi="楷体" w:eastAsia="楷体" w:cs="楷体"/>
          <w:b/>
          <w:bCs/>
          <w:spacing w:val="-2"/>
          <w:sz w:val="32"/>
          <w:szCs w:val="32"/>
        </w:rPr>
      </w:pPr>
      <w:r>
        <w:rPr>
          <w:rFonts w:hint="eastAsia" w:ascii="楷体" w:hAnsi="楷体" w:eastAsia="楷体" w:cs="楷体"/>
          <w:b/>
          <w:bCs/>
          <w:spacing w:val="-2"/>
          <w:sz w:val="32"/>
          <w:szCs w:val="32"/>
        </w:rPr>
        <w:t xml:space="preserve">1、机构情况  </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贯彻执行国家、自治区、地区人力资源和社会保障事业发展规划、政策；落实相关政策和措施并组织实施和监督检查</w:t>
      </w:r>
      <w:r>
        <w:rPr>
          <w:rFonts w:hint="eastAsia" w:ascii="仿宋" w:hAnsi="仿宋" w:eastAsia="仿宋" w:cs="仿宋"/>
          <w:sz w:val="30"/>
          <w:szCs w:val="30"/>
        </w:rPr>
        <w:t>。</w:t>
      </w:r>
    </w:p>
    <w:p>
      <w:pPr>
        <w:numPr>
          <w:ilvl w:val="0"/>
          <w:numId w:val="1"/>
        </w:num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组织实施县人力资源市场 发展规划和人力资源流动办法措施，指导和监督人力资源服务机构管理，促进人力资源合理流动，有效配合</w:t>
      </w:r>
      <w:r>
        <w:rPr>
          <w:rFonts w:hint="eastAsia" w:ascii="仿宋" w:hAnsi="仿宋" w:eastAsia="仿宋" w:cs="仿宋"/>
          <w:sz w:val="30"/>
          <w:szCs w:val="30"/>
        </w:rPr>
        <w:t>。</w:t>
      </w:r>
    </w:p>
    <w:p>
      <w:pPr>
        <w:numPr>
          <w:ilvl w:val="0"/>
          <w:numId w:val="1"/>
        </w:num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负责促进就业工作。贯彻落实自治区、地区统筹城乡就业政策，拟定县城乡就业发展规划，完善县公共就业服务体系；组织落实就业援助制度；落实职业资格制度相关措施办法，统筹建立面向城乡劳动者的就业培训制度；合同有关部门落实高校毕业生就业政策和高技能人才，农村实用人才培养和激励政策。</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4、承办覆盖城乡的社会保障体系建设工作。落实城乡社会保险及其补充保险政策和标准；落实机关企业事业单位基本养老保险政策；落实自治区、地区社会保障基金投资政策。    </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5、负责就业、失业、社会保障基金预测预警和信息引导；拟订应对预案，实施预防，调解和控制，保持就业形势</w:t>
      </w:r>
      <w:r>
        <w:rPr>
          <w:rFonts w:hint="eastAsia" w:ascii="仿宋" w:hAnsi="仿宋" w:eastAsia="仿宋" w:cs="仿宋"/>
          <w:sz w:val="30"/>
          <w:szCs w:val="30"/>
          <w:lang w:val="en-US" w:eastAsia="zh-CN"/>
        </w:rPr>
        <w:t>和谐</w:t>
      </w:r>
      <w:bookmarkStart w:id="0" w:name="_GoBack"/>
      <w:bookmarkEnd w:id="0"/>
      <w:r>
        <w:rPr>
          <w:rFonts w:hint="eastAsia" w:ascii="仿宋" w:hAnsi="仿宋" w:eastAsia="仿宋" w:cs="仿宋"/>
          <w:sz w:val="30"/>
          <w:szCs w:val="30"/>
        </w:rPr>
        <w:t>和社会保险基金总体收支平衡。</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6、落实企=企业事业单位人员工资收入分配制度，促进建立企业事业单位人员工资正常增长和支付保障机制；落实企业事业单位人员福利和离退休正常。</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7、会同有关部门推进事业单位人事制度改革，落实事业人员和机关工勤人员管理制度，参与人才管理工作，落实专业人员管理和继续教育政策;不断深化职称制度改革；负责县专业技术人才选拔和培养工作。</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8、落实农民工工作综合性政策的实施意见和规划，会同有关部门协调解决重点难点问题，维护农民工合法权益。    </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9、统筹实施劳动、人事争议调解仲裁制度;落实劳动有关政策， 完善劳动关系协调机制;监督落实消除非法使用童工政策和女工、未成年工的特殊劳动保护政策;组织实施劳动监察，协调劳动者维权工作，依法查处重大案件。</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10，受理塔什库尔干县人力资源和社会保障方面信访事项，拟订信访工作预案；会同有关部门协调处理有关劳动、人事方面的重大信访事件或突发事件。</w:t>
      </w:r>
    </w:p>
    <w:p>
      <w:pPr>
        <w:pStyle w:val="4"/>
        <w:spacing w:line="560" w:lineRule="exact"/>
        <w:ind w:firstLine="640" w:firstLineChars="200"/>
        <w:jc w:val="both"/>
      </w:pPr>
      <w:r>
        <w:rPr>
          <w:rFonts w:ascii="仿宋_GB2312" w:hAnsi="华文中宋" w:eastAsia="仿宋_GB2312" w:cstheme="minorBidi"/>
          <w:b w:val="0"/>
          <w:kern w:val="2"/>
          <w:sz w:val="32"/>
          <w:szCs w:val="32"/>
        </w:rPr>
        <w:t>11、承办县委、政府办公室交办的其他事项。</w:t>
      </w: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贯彻落实自治区党政机构改革工作部署，本次无职能划入，划出职能自主择业军队转业干部管理职责。</w:t>
      </w:r>
    </w:p>
    <w:p>
      <w:pPr>
        <w:pStyle w:val="16"/>
        <w:widowControl/>
        <w:spacing w:line="448" w:lineRule="atLeast"/>
        <w:ind w:firstLine="472"/>
        <w:rPr>
          <w:rFonts w:ascii="楷体" w:hAnsi="楷体" w:eastAsia="楷体" w:cs="楷体"/>
          <w:b/>
          <w:bCs/>
          <w:spacing w:val="-2"/>
          <w:sz w:val="32"/>
          <w:szCs w:val="32"/>
        </w:rPr>
      </w:pPr>
      <w:r>
        <w:rPr>
          <w:rFonts w:hint="eastAsia" w:ascii="楷体" w:hAnsi="楷体" w:eastAsia="楷体" w:cs="楷体"/>
          <w:b/>
          <w:bCs/>
          <w:spacing w:val="-2"/>
          <w:sz w:val="32"/>
          <w:szCs w:val="32"/>
        </w:rPr>
        <w:t>2、人员情况，包括当年变动情况及原因。</w:t>
      </w:r>
    </w:p>
    <w:p>
      <w:pPr>
        <w:ind w:firstLine="640" w:firstLineChars="200"/>
        <w:rPr>
          <w:rStyle w:val="19"/>
          <w:rFonts w:ascii="仿宋" w:hAnsi="仿宋" w:eastAsia="仿宋" w:cs="仿宋"/>
          <w:b w:val="0"/>
          <w:bCs w:val="0"/>
          <w:sz w:val="32"/>
          <w:szCs w:val="32"/>
        </w:rPr>
      </w:pPr>
      <w:r>
        <w:rPr>
          <w:rFonts w:hint="eastAsia" w:ascii="仿宋" w:hAnsi="仿宋" w:eastAsia="仿宋" w:cs="仿宋"/>
          <w:sz w:val="32"/>
          <w:szCs w:val="32"/>
        </w:rPr>
        <w:t>编制人数76人，其中：行政人员编制6人，参照公务员管理的事业单位人员编制5人，全额拨款事业单位人员编制62人，工勤人员编制3人。实有在职人数74人，其中：行政在职6人，参照公务员管理的事业单位人员5人，事业在职60人，工勤在职人数3人。离退休人员9人，其中：离休人员0人，退休人员9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40" w:firstLineChars="200"/>
        <w:rPr>
          <w:rFonts w:hint="eastAsia" w:ascii="仿宋" w:hAnsi="仿宋" w:eastAsia="仿宋"/>
          <w:color w:val="000000" w:themeColor="text1"/>
          <w:sz w:val="32"/>
          <w:szCs w:val="32"/>
        </w:rPr>
      </w:pPr>
      <w:r>
        <w:rPr>
          <w:rFonts w:hint="eastAsia" w:ascii="仿宋" w:hAnsi="仿宋" w:eastAsia="仿宋"/>
          <w:color w:val="000000" w:themeColor="text1"/>
          <w:sz w:val="32"/>
          <w:szCs w:val="32"/>
        </w:rPr>
        <w:t>用于“三支一扶”计划高校毕业生的生活补助、安家费等支出</w:t>
      </w:r>
      <w:r>
        <w:rPr>
          <w:rFonts w:hint="eastAsia" w:ascii="仿宋" w:hAnsi="仿宋" w:eastAsia="仿宋" w:cs="仿宋"/>
          <w:sz w:val="32"/>
          <w:szCs w:val="32"/>
        </w:rPr>
        <w:t>。</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本项目性质为延续性项目。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adjustRightInd w:val="0"/>
        <w:snapToGrid w:val="0"/>
        <w:spacing w:line="560" w:lineRule="exact"/>
        <w:ind w:firstLine="624" w:firstLineChars="200"/>
        <w:outlineLvl w:val="0"/>
        <w:rPr>
          <w:rFonts w:hint="eastAsia"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用于“三支一扶”计划高校毕业生的生活补助、安家费等支出，按时完成支出21.61万元整。</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color w:val="000000" w:themeColor="text1"/>
          <w:spacing w:val="-4"/>
          <w:sz w:val="32"/>
          <w:szCs w:val="32"/>
        </w:rPr>
      </w:pPr>
      <w:r>
        <w:rPr>
          <w:rFonts w:hint="eastAsia" w:ascii="仿宋" w:hAnsi="仿宋" w:eastAsia="仿宋"/>
          <w:color w:val="000000" w:themeColor="text1"/>
          <w:sz w:val="32"/>
          <w:szCs w:val="32"/>
        </w:rPr>
        <w:t>项目资金主要是财政拨款</w:t>
      </w:r>
      <w:r>
        <w:rPr>
          <w:rFonts w:hint="eastAsia" w:ascii="仿宋" w:hAnsi="仿宋" w:eastAsia="仿宋"/>
          <w:bCs/>
          <w:color w:val="000000" w:themeColor="text1"/>
          <w:spacing w:val="-4"/>
          <w:sz w:val="32"/>
          <w:szCs w:val="32"/>
        </w:rPr>
        <w:t>“三支一扶”</w:t>
      </w:r>
      <w:r>
        <w:rPr>
          <w:rFonts w:hint="eastAsia" w:ascii="仿宋" w:hAnsi="仿宋" w:eastAsia="仿宋"/>
          <w:color w:val="000000" w:themeColor="text1"/>
          <w:sz w:val="32"/>
          <w:szCs w:val="32"/>
        </w:rPr>
        <w:t>资金，总计拨付21.61万元</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“三支一扶”计划高校毕业生项目预算安排总额为</w:t>
      </w:r>
      <w:r>
        <w:rPr>
          <w:rFonts w:hint="eastAsia" w:ascii="仿宋" w:hAnsi="仿宋" w:eastAsia="仿宋"/>
          <w:color w:val="000000" w:themeColor="text1"/>
          <w:sz w:val="32"/>
          <w:szCs w:val="32"/>
        </w:rPr>
        <w:t>21.61</w:t>
      </w:r>
      <w:r>
        <w:rPr>
          <w:rFonts w:hint="eastAsia" w:ascii="仿宋" w:hAnsi="仿宋" w:eastAsia="仿宋"/>
          <w:bCs/>
          <w:color w:val="000000" w:themeColor="text1"/>
          <w:spacing w:val="-4"/>
          <w:sz w:val="32"/>
          <w:szCs w:val="32"/>
        </w:rPr>
        <w:t>万元，其中财政资金</w:t>
      </w:r>
      <w:r>
        <w:rPr>
          <w:rFonts w:hint="eastAsia" w:ascii="仿宋" w:hAnsi="仿宋" w:eastAsia="仿宋"/>
          <w:color w:val="000000" w:themeColor="text1"/>
          <w:sz w:val="32"/>
          <w:szCs w:val="32"/>
        </w:rPr>
        <w:t>21.61</w:t>
      </w:r>
      <w:r>
        <w:rPr>
          <w:rFonts w:hint="eastAsia" w:ascii="仿宋" w:hAnsi="仿宋" w:eastAsia="仿宋"/>
          <w:bCs/>
          <w:color w:val="000000" w:themeColor="text1"/>
          <w:spacing w:val="-4"/>
          <w:sz w:val="32"/>
          <w:szCs w:val="32"/>
        </w:rPr>
        <w:t>万元， 2018年实际收到预算资金</w:t>
      </w:r>
      <w:r>
        <w:rPr>
          <w:rFonts w:hint="eastAsia" w:ascii="仿宋" w:hAnsi="仿宋" w:eastAsia="仿宋"/>
          <w:color w:val="000000" w:themeColor="text1"/>
          <w:sz w:val="32"/>
          <w:szCs w:val="32"/>
        </w:rPr>
        <w:t>21.61</w:t>
      </w:r>
      <w:r>
        <w:rPr>
          <w:rFonts w:hint="eastAsia" w:ascii="仿宋" w:hAnsi="仿宋" w:eastAsia="仿宋"/>
          <w:bCs/>
          <w:color w:val="000000" w:themeColor="text1"/>
          <w:spacing w:val="-4"/>
          <w:sz w:val="32"/>
          <w:szCs w:val="32"/>
        </w:rPr>
        <w:t>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outlineLvl w:val="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本项目实际支付资金</w:t>
      </w:r>
      <w:r>
        <w:rPr>
          <w:rFonts w:hint="eastAsia" w:ascii="仿宋" w:hAnsi="仿宋" w:eastAsia="仿宋"/>
          <w:color w:val="000000" w:themeColor="text1"/>
          <w:sz w:val="32"/>
          <w:szCs w:val="32"/>
        </w:rPr>
        <w:t>21.61</w:t>
      </w:r>
      <w:r>
        <w:rPr>
          <w:rFonts w:hint="eastAsia" w:ascii="仿宋" w:hAnsi="仿宋" w:eastAsia="仿宋"/>
          <w:bCs/>
          <w:color w:val="000000" w:themeColor="text1"/>
          <w:spacing w:val="-4"/>
          <w:sz w:val="32"/>
          <w:szCs w:val="32"/>
        </w:rPr>
        <w:t>万元，预算执行率100</w:t>
      </w:r>
      <w:r>
        <w:rPr>
          <w:rFonts w:ascii="仿宋" w:hAnsi="仿宋" w:eastAsia="仿宋"/>
          <w:bCs/>
          <w:color w:val="000000" w:themeColor="text1"/>
          <w:spacing w:val="-4"/>
          <w:sz w:val="32"/>
          <w:szCs w:val="32"/>
        </w:rPr>
        <w:t>%</w:t>
      </w:r>
      <w:r>
        <w:rPr>
          <w:rFonts w:hint="eastAsia" w:ascii="仿宋" w:hAnsi="仿宋" w:eastAsia="仿宋"/>
          <w:bCs/>
          <w:color w:val="000000" w:themeColor="text1"/>
          <w:spacing w:val="-4"/>
          <w:sz w:val="32"/>
          <w:szCs w:val="32"/>
        </w:rPr>
        <w:t>。项目资金主要用于“三支一扶”计划高校毕业生的生活补助、安家费等支出，按时完成支出“三支一扶”高校毕业生30人≥7203元/人/年元整，其中一次性安家费4万元</w:t>
      </w:r>
      <w:r>
        <w:rPr>
          <w:rFonts w:hint="eastAsia" w:ascii="仿宋" w:hAnsi="仿宋" w:eastAsia="仿宋" w:cs="仿宋"/>
          <w:spacing w:val="-4"/>
        </w:rPr>
        <w:t>。</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pStyle w:val="2"/>
        <w:keepNext w:val="0"/>
        <w:shd w:val="clear" w:color="auto" w:fill="FFFFFF"/>
        <w:spacing w:before="0" w:after="0" w:line="450" w:lineRule="atLeast"/>
        <w:ind w:firstLine="624" w:firstLineChars="200"/>
        <w:rPr>
          <w:rStyle w:val="19"/>
          <w:rFonts w:ascii="仿宋" w:hAnsi="仿宋" w:eastAsia="仿宋" w:cs="仿宋"/>
          <w:b w:val="0"/>
          <w:bCs w:val="0"/>
          <w:spacing w:val="-4"/>
        </w:rPr>
      </w:pPr>
      <w:r>
        <w:rPr>
          <w:rFonts w:hint="eastAsia" w:ascii="仿宋" w:hAnsi="仿宋" w:eastAsia="仿宋" w:cs="仿宋"/>
          <w:b w:val="0"/>
          <w:bCs w:val="0"/>
          <w:spacing w:val="-4"/>
        </w:rPr>
        <w:t>本项目支出符合塔什库尔干县人事局培训培训就业科“三支一扶”业资金管理办法相关财务管理制度，会计人员集中核算工作管理制度、财务收支审批制度、财务稽核制度、财务牵制制度、会计主管岗位职责等制度规定，资金的拨付均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项目资金于7月份左右到位后，立即开会确定实施方案及实施范围，并形成报告上报县财经领导小组批准使用。</w:t>
      </w:r>
    </w:p>
    <w:p>
      <w:pPr>
        <w:adjustRightInd w:val="0"/>
        <w:snapToGrid w:val="0"/>
        <w:spacing w:line="560" w:lineRule="exact"/>
        <w:ind w:firstLine="640" w:firstLineChars="200"/>
        <w:rPr>
          <w:color w:val="000000" w:themeColor="text1"/>
          <w:sz w:val="32"/>
          <w:szCs w:val="32"/>
        </w:rPr>
      </w:pPr>
      <w:r>
        <w:rPr>
          <w:rFonts w:hint="eastAsia" w:ascii="仿宋" w:hAnsi="仿宋" w:eastAsia="仿宋"/>
          <w:bCs/>
          <w:color w:val="000000" w:themeColor="text1"/>
          <w:sz w:val="32"/>
          <w:szCs w:val="32"/>
        </w:rPr>
        <w:t>为保证项目质量项目实施完成后，由本项目相关人员于2018年12月31日完成下乡核查任</w:t>
      </w:r>
      <w:r>
        <w:rPr>
          <w:rFonts w:hint="eastAsia"/>
          <w:color w:val="000000" w:themeColor="text1"/>
          <w:sz w:val="32"/>
          <w:szCs w:val="32"/>
        </w:rPr>
        <w:t>务。</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项目实施过程中，本单位培训就业科建立了《“三支一扶”业资金申请审核业务手册》保障项目的顺利实施。项目的实施遵守相关法律法规和业务管理规定，项目资料齐全并及时归档。已建立《“三支一扶”资金日常检查监督检查机制》，不定期对项目进度情况进行督导检查，对检查过程中发现的问题及时督促整改，确保了项目按时保质完成。</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ascii="仿宋" w:hAnsi="仿宋" w:eastAsia="仿宋"/>
          <w:bCs/>
          <w:color w:val="000000" w:themeColor="text1"/>
          <w:spacing w:val="-4"/>
          <w:sz w:val="32"/>
          <w:szCs w:val="32"/>
        </w:rPr>
        <w:t>本项目共设置一级指标</w:t>
      </w:r>
      <w:r>
        <w:rPr>
          <w:rFonts w:hint="eastAsia" w:ascii="仿宋" w:hAnsi="仿宋" w:eastAsia="仿宋"/>
          <w:bCs/>
          <w:color w:val="000000" w:themeColor="text1"/>
          <w:spacing w:val="-4"/>
          <w:sz w:val="32"/>
          <w:szCs w:val="32"/>
        </w:rPr>
        <w:t>3</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二级指标</w:t>
      </w:r>
      <w:r>
        <w:rPr>
          <w:rFonts w:hint="eastAsia" w:ascii="仿宋" w:hAnsi="仿宋" w:eastAsia="仿宋"/>
          <w:bCs/>
          <w:color w:val="000000" w:themeColor="text1"/>
          <w:spacing w:val="-4"/>
          <w:sz w:val="32"/>
          <w:szCs w:val="32"/>
        </w:rPr>
        <w:t>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w:t>
      </w:r>
      <w:r>
        <w:rPr>
          <w:rFonts w:ascii="仿宋" w:hAnsi="仿宋" w:eastAsia="仿宋"/>
          <w:bCs/>
          <w:color w:val="000000" w:themeColor="text1"/>
          <w:spacing w:val="-4"/>
          <w:sz w:val="32"/>
          <w:szCs w:val="32"/>
        </w:rPr>
        <w:t>三级指标</w:t>
      </w:r>
      <w:r>
        <w:rPr>
          <w:rFonts w:hint="eastAsia" w:ascii="仿宋" w:hAnsi="仿宋" w:eastAsia="仿宋"/>
          <w:bCs/>
          <w:color w:val="000000" w:themeColor="text1"/>
          <w:spacing w:val="-4"/>
          <w:sz w:val="32"/>
          <w:szCs w:val="32"/>
        </w:rPr>
        <w:t>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，其中</w:t>
      </w:r>
      <w:r>
        <w:rPr>
          <w:rFonts w:ascii="仿宋" w:hAnsi="仿宋" w:eastAsia="仿宋"/>
          <w:bCs/>
          <w:color w:val="000000" w:themeColor="text1"/>
          <w:spacing w:val="-4"/>
          <w:sz w:val="32"/>
          <w:szCs w:val="32"/>
        </w:rPr>
        <w:t>已完成三级指标</w:t>
      </w:r>
      <w:r>
        <w:rPr>
          <w:rFonts w:hint="eastAsia" w:ascii="仿宋" w:hAnsi="仿宋" w:eastAsia="仿宋"/>
          <w:bCs/>
          <w:color w:val="000000" w:themeColor="text1"/>
          <w:spacing w:val="-4"/>
          <w:sz w:val="32"/>
          <w:szCs w:val="32"/>
        </w:rPr>
        <w:t>8</w:t>
      </w:r>
      <w:r>
        <w:rPr>
          <w:rFonts w:ascii="仿宋" w:hAnsi="仿宋" w:eastAsia="仿宋"/>
          <w:bCs/>
          <w:color w:val="000000" w:themeColor="text1"/>
          <w:spacing w:val="-4"/>
          <w:sz w:val="32"/>
          <w:szCs w:val="32"/>
        </w:rPr>
        <w:t>个</w:t>
      </w:r>
      <w:r>
        <w:rPr>
          <w:rFonts w:hint="eastAsia" w:ascii="仿宋" w:hAnsi="仿宋" w:eastAsia="仿宋"/>
          <w:bCs/>
          <w:color w:val="000000" w:themeColor="text1"/>
          <w:spacing w:val="-4"/>
          <w:sz w:val="32"/>
          <w:szCs w:val="32"/>
        </w:rPr>
        <w:t>，指标完成率为100%。</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经济性：一次性安家费4万元。</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效率性：2018年按时将“三支一扶”的高校毕业生进行社保补贴以及员工的岗前培训手上，确保其资金无截留、挪用。</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效益性：减轻家庭负担，“三支一扶”人员到岗率。</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2018年本项目绩效目标全部达成，不存在未完成原因分析。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加强相关培训，提高本县</w:t>
      </w:r>
      <w:r>
        <w:rPr>
          <w:rFonts w:hint="eastAsia" w:ascii="仿宋" w:hAnsi="仿宋" w:eastAsia="仿宋"/>
          <w:bCs/>
          <w:color w:val="000000" w:themeColor="text1"/>
          <w:sz w:val="32"/>
          <w:szCs w:val="32"/>
        </w:rPr>
        <w:t>“三支一扶”的高校毕业生</w:t>
      </w:r>
      <w:r>
        <w:rPr>
          <w:rFonts w:hint="eastAsia" w:ascii="仿宋" w:hAnsi="仿宋" w:eastAsia="仿宋"/>
          <w:bCs/>
          <w:color w:val="000000" w:themeColor="text1"/>
          <w:spacing w:val="-4"/>
          <w:sz w:val="32"/>
          <w:szCs w:val="32"/>
        </w:rPr>
        <w:t>的发挥能力水平。</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主要经验及做法</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随着“三支一扶”的高校毕业生的进行按月发放，在保持一致的基础上，需要定期不定期下乡检查，查看资金是否发放到位。</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存在的问题</w:t>
      </w:r>
    </w:p>
    <w:p>
      <w:pPr>
        <w:adjustRightInd w:val="0"/>
        <w:snapToGrid w:val="0"/>
        <w:spacing w:line="560" w:lineRule="exact"/>
        <w:ind w:firstLine="640" w:firstLineChars="200"/>
        <w:rPr>
          <w:rFonts w:ascii="仿宋" w:hAnsi="仿宋" w:eastAsia="仿宋"/>
          <w:bCs/>
          <w:color w:val="000000" w:themeColor="text1"/>
          <w:sz w:val="32"/>
          <w:szCs w:val="32"/>
        </w:rPr>
      </w:pPr>
      <w:r>
        <w:rPr>
          <w:rFonts w:hint="eastAsia" w:ascii="仿宋" w:hAnsi="仿宋" w:eastAsia="仿宋"/>
          <w:bCs/>
          <w:color w:val="000000" w:themeColor="text1"/>
          <w:sz w:val="32"/>
          <w:szCs w:val="32"/>
        </w:rPr>
        <w:t>三支一扶”的高校毕业生人员变动频繁影响后期工作经常顺利。</w:t>
      </w:r>
    </w:p>
    <w:p>
      <w:pPr>
        <w:pStyle w:val="53"/>
        <w:numPr>
          <w:ilvl w:val="0"/>
          <w:numId w:val="2"/>
        </w:numPr>
        <w:adjustRightInd w:val="0"/>
        <w:snapToGrid w:val="0"/>
        <w:spacing w:line="560" w:lineRule="exact"/>
        <w:ind w:firstLineChars="0"/>
        <w:rPr>
          <w:rFonts w:ascii="仿宋" w:hAnsi="仿宋" w:eastAsia="仿宋"/>
          <w:bCs/>
          <w:spacing w:val="-4"/>
          <w:sz w:val="32"/>
          <w:szCs w:val="32"/>
        </w:rPr>
      </w:pPr>
      <w:r>
        <w:rPr>
          <w:rFonts w:hint="eastAsia" w:ascii="仿宋" w:hAnsi="仿宋" w:eastAsia="仿宋"/>
          <w:bCs/>
          <w:spacing w:val="-4"/>
          <w:sz w:val="32"/>
          <w:szCs w:val="32"/>
        </w:rPr>
        <w:t>建议</w:t>
      </w:r>
    </w:p>
    <w:p>
      <w:pPr>
        <w:adjustRightInd w:val="0"/>
        <w:snapToGrid w:val="0"/>
        <w:spacing w:line="560" w:lineRule="exact"/>
        <w:ind w:left="624"/>
        <w:rPr>
          <w:rFonts w:ascii="仿宋" w:hAnsi="仿宋" w:eastAsia="仿宋"/>
          <w:bCs/>
          <w:spacing w:val="-4"/>
          <w:sz w:val="32"/>
          <w:szCs w:val="32"/>
        </w:rPr>
      </w:pPr>
      <w:r>
        <w:rPr>
          <w:rFonts w:hint="eastAsia" w:ascii="仿宋" w:hAnsi="仿宋" w:eastAsia="仿宋"/>
          <w:bCs/>
          <w:spacing w:val="-4"/>
          <w:sz w:val="32"/>
          <w:szCs w:val="32"/>
        </w:rPr>
        <w:t>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outlineLvl w:val="0"/>
        <w:rPr>
          <w:rFonts w:ascii="仿宋" w:hAnsi="仿宋" w:eastAsia="仿宋" w:cs="仿宋"/>
          <w:spacing w:val="-4"/>
          <w:sz w:val="32"/>
          <w:szCs w:val="32"/>
        </w:rPr>
      </w:pPr>
      <w:r>
        <w:rPr>
          <w:rFonts w:hint="eastAsia" w:ascii="仿宋" w:hAnsi="仿宋" w:eastAsia="仿宋" w:cs="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cs="仿宋"/>
          <w:spacing w:val="-4"/>
          <w:sz w:val="32"/>
          <w:szCs w:val="32"/>
        </w:rPr>
      </w:pPr>
      <w:r>
        <w:rPr>
          <w:rFonts w:hint="eastAsia" w:ascii="仿宋" w:hAnsi="仿宋" w:eastAsia="仿宋" w:cs="仿宋"/>
          <w:spacing w:val="-4"/>
          <w:sz w:val="32"/>
          <w:szCs w:val="32"/>
        </w:rPr>
        <w:t>本次评价通过文件研读、实地调研、数据分析等方式，全面了解伤残抚恤项目资金的使用效率和效果，项目管理过程规范，完成了预期绩效目标等。</w:t>
      </w:r>
    </w:p>
    <w:p>
      <w:pPr>
        <w:adjustRightInd w:val="0"/>
        <w:snapToGrid w:val="0"/>
        <w:spacing w:line="560" w:lineRule="exact"/>
        <w:ind w:firstLine="468" w:firstLineChars="15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rPr>
          <w:rStyle w:val="19"/>
          <w:rFonts w:ascii="仿宋" w:hAnsi="仿宋" w:eastAsia="仿宋"/>
          <w:color w:val="FF0000"/>
          <w:spacing w:val="-4"/>
          <w:sz w:val="32"/>
          <w:szCs w:val="32"/>
        </w:rPr>
      </w:pP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roman"/>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A0F08"/>
    <w:multiLevelType w:val="multilevel"/>
    <w:tmpl w:val="4E1A0F08"/>
    <w:lvl w:ilvl="0" w:tentative="0">
      <w:start w:val="1"/>
      <w:numFmt w:val="decimal"/>
      <w:lvlText w:val="%1、"/>
      <w:lvlJc w:val="left"/>
      <w:pPr>
        <w:ind w:left="1344" w:hanging="72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1">
    <w:nsid w:val="759BFE39"/>
    <w:multiLevelType w:val="singleLevel"/>
    <w:tmpl w:val="759BFE39"/>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45B92"/>
    <w:rsid w:val="0012208E"/>
    <w:rsid w:val="00135256"/>
    <w:rsid w:val="00172E6C"/>
    <w:rsid w:val="001851FF"/>
    <w:rsid w:val="001A4E1F"/>
    <w:rsid w:val="001A57B9"/>
    <w:rsid w:val="001C3847"/>
    <w:rsid w:val="001F3031"/>
    <w:rsid w:val="00210A26"/>
    <w:rsid w:val="00265169"/>
    <w:rsid w:val="0028733C"/>
    <w:rsid w:val="002A2532"/>
    <w:rsid w:val="002A2D76"/>
    <w:rsid w:val="002A32F4"/>
    <w:rsid w:val="00365250"/>
    <w:rsid w:val="0036624C"/>
    <w:rsid w:val="00385849"/>
    <w:rsid w:val="00396DAB"/>
    <w:rsid w:val="003F1A98"/>
    <w:rsid w:val="00453B19"/>
    <w:rsid w:val="00492250"/>
    <w:rsid w:val="004B46E4"/>
    <w:rsid w:val="0050167F"/>
    <w:rsid w:val="00514506"/>
    <w:rsid w:val="005162F1"/>
    <w:rsid w:val="00516E80"/>
    <w:rsid w:val="00535153"/>
    <w:rsid w:val="00575CFE"/>
    <w:rsid w:val="00582CF8"/>
    <w:rsid w:val="00583AFC"/>
    <w:rsid w:val="00592D09"/>
    <w:rsid w:val="00611F89"/>
    <w:rsid w:val="0063557B"/>
    <w:rsid w:val="00675D58"/>
    <w:rsid w:val="006E39D0"/>
    <w:rsid w:val="006F2E6D"/>
    <w:rsid w:val="00707446"/>
    <w:rsid w:val="007218B8"/>
    <w:rsid w:val="00755C6A"/>
    <w:rsid w:val="00785FDE"/>
    <w:rsid w:val="007A0351"/>
    <w:rsid w:val="007A14BC"/>
    <w:rsid w:val="007C1025"/>
    <w:rsid w:val="007E6845"/>
    <w:rsid w:val="007F5F8A"/>
    <w:rsid w:val="00826CA1"/>
    <w:rsid w:val="00835B7F"/>
    <w:rsid w:val="008517AD"/>
    <w:rsid w:val="00853BFA"/>
    <w:rsid w:val="00855E3A"/>
    <w:rsid w:val="00882985"/>
    <w:rsid w:val="008C6ED7"/>
    <w:rsid w:val="00922CB9"/>
    <w:rsid w:val="009350F7"/>
    <w:rsid w:val="009B526F"/>
    <w:rsid w:val="009C1AFD"/>
    <w:rsid w:val="009D4BFB"/>
    <w:rsid w:val="00A26421"/>
    <w:rsid w:val="00A4293B"/>
    <w:rsid w:val="00A73F28"/>
    <w:rsid w:val="00A83BD5"/>
    <w:rsid w:val="00A977DF"/>
    <w:rsid w:val="00AE6A23"/>
    <w:rsid w:val="00B0533C"/>
    <w:rsid w:val="00B06CA5"/>
    <w:rsid w:val="00B13FCF"/>
    <w:rsid w:val="00B41F61"/>
    <w:rsid w:val="00B55332"/>
    <w:rsid w:val="00B86E8C"/>
    <w:rsid w:val="00BE0188"/>
    <w:rsid w:val="00BE1A00"/>
    <w:rsid w:val="00C22CF0"/>
    <w:rsid w:val="00C56C72"/>
    <w:rsid w:val="00CA6457"/>
    <w:rsid w:val="00CC4442"/>
    <w:rsid w:val="00CC6E4D"/>
    <w:rsid w:val="00D17F2E"/>
    <w:rsid w:val="00D21CC7"/>
    <w:rsid w:val="00D46194"/>
    <w:rsid w:val="00DA2290"/>
    <w:rsid w:val="00DC4CBC"/>
    <w:rsid w:val="00E01293"/>
    <w:rsid w:val="00E027D1"/>
    <w:rsid w:val="00E769FE"/>
    <w:rsid w:val="00EA2CBE"/>
    <w:rsid w:val="00EA45EA"/>
    <w:rsid w:val="00EB462A"/>
    <w:rsid w:val="00EF3FFA"/>
    <w:rsid w:val="00F32FEE"/>
    <w:rsid w:val="00F53E69"/>
    <w:rsid w:val="0AB56CE2"/>
    <w:rsid w:val="0EB107EC"/>
    <w:rsid w:val="21454B50"/>
    <w:rsid w:val="275833BE"/>
    <w:rsid w:val="397F4FE8"/>
    <w:rsid w:val="48CB6AF9"/>
    <w:rsid w:val="4EFD6A38"/>
    <w:rsid w:val="50EC1C08"/>
    <w:rsid w:val="5A7F0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3"/>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4"/>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5"/>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6"/>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7"/>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8"/>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9"/>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0"/>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21">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7"/>
    <w:unhideWhenUsed/>
    <w:qFormat/>
    <w:uiPriority w:val="99"/>
    <w:rPr>
      <w:rFonts w:ascii="宋体"/>
      <w:sz w:val="18"/>
      <w:szCs w:val="18"/>
    </w:rPr>
  </w:style>
  <w:style w:type="paragraph" w:styleId="12">
    <w:name w:val="Balloon Text"/>
    <w:basedOn w:val="1"/>
    <w:link w:val="48"/>
    <w:unhideWhenUsed/>
    <w:qFormat/>
    <w:uiPriority w:val="99"/>
    <w:rPr>
      <w:sz w:val="18"/>
      <w:szCs w:val="18"/>
    </w:rPr>
  </w:style>
  <w:style w:type="paragraph" w:styleId="13">
    <w:name w:val="footer"/>
    <w:basedOn w:val="1"/>
    <w:link w:val="46"/>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5"/>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2"/>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0"/>
    <w:rPr>
      <w:sz w:val="24"/>
    </w:rPr>
  </w:style>
  <w:style w:type="paragraph" w:styleId="17">
    <w:name w:val="Title"/>
    <w:basedOn w:val="1"/>
    <w:next w:val="1"/>
    <w:link w:val="3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2">
    <w:name w:val="标题 1 Char"/>
    <w:basedOn w:val="18"/>
    <w:link w:val="2"/>
    <w:qFormat/>
    <w:uiPriority w:val="9"/>
    <w:rPr>
      <w:rFonts w:asciiTheme="majorHAnsi" w:hAnsiTheme="majorHAnsi" w:eastAsiaTheme="majorEastAsia"/>
      <w:b/>
      <w:bCs/>
      <w:kern w:val="32"/>
      <w:sz w:val="32"/>
      <w:szCs w:val="32"/>
    </w:rPr>
  </w:style>
  <w:style w:type="character" w:customStyle="1" w:styleId="23">
    <w:name w:val="标题 2 Char"/>
    <w:basedOn w:val="18"/>
    <w:link w:val="3"/>
    <w:semiHidden/>
    <w:qFormat/>
    <w:uiPriority w:val="9"/>
    <w:rPr>
      <w:rFonts w:asciiTheme="majorHAnsi" w:hAnsiTheme="majorHAnsi" w:eastAsiaTheme="majorEastAsia"/>
      <w:b/>
      <w:bCs/>
      <w:i/>
      <w:iCs/>
      <w:sz w:val="28"/>
      <w:szCs w:val="28"/>
    </w:rPr>
  </w:style>
  <w:style w:type="character" w:customStyle="1" w:styleId="24">
    <w:name w:val="标题 3 Char"/>
    <w:basedOn w:val="18"/>
    <w:link w:val="4"/>
    <w:semiHidden/>
    <w:qFormat/>
    <w:uiPriority w:val="9"/>
    <w:rPr>
      <w:rFonts w:asciiTheme="majorHAnsi" w:hAnsiTheme="majorHAnsi" w:eastAsiaTheme="majorEastAsia"/>
      <w:b/>
      <w:bCs/>
      <w:sz w:val="26"/>
      <w:szCs w:val="26"/>
    </w:rPr>
  </w:style>
  <w:style w:type="character" w:customStyle="1" w:styleId="25">
    <w:name w:val="标题 4 Char"/>
    <w:basedOn w:val="18"/>
    <w:link w:val="5"/>
    <w:semiHidden/>
    <w:qFormat/>
    <w:uiPriority w:val="9"/>
    <w:rPr>
      <w:b/>
      <w:bCs/>
      <w:sz w:val="28"/>
      <w:szCs w:val="28"/>
    </w:rPr>
  </w:style>
  <w:style w:type="character" w:customStyle="1" w:styleId="26">
    <w:name w:val="标题 5 Char"/>
    <w:basedOn w:val="18"/>
    <w:link w:val="6"/>
    <w:semiHidden/>
    <w:qFormat/>
    <w:uiPriority w:val="9"/>
    <w:rPr>
      <w:b/>
      <w:bCs/>
      <w:i/>
      <w:iCs/>
      <w:sz w:val="26"/>
      <w:szCs w:val="26"/>
    </w:rPr>
  </w:style>
  <w:style w:type="character" w:customStyle="1" w:styleId="27">
    <w:name w:val="标题 6 Char"/>
    <w:basedOn w:val="18"/>
    <w:link w:val="7"/>
    <w:semiHidden/>
    <w:qFormat/>
    <w:uiPriority w:val="9"/>
    <w:rPr>
      <w:b/>
      <w:bCs/>
    </w:rPr>
  </w:style>
  <w:style w:type="character" w:customStyle="1" w:styleId="28">
    <w:name w:val="标题 7 Char"/>
    <w:basedOn w:val="18"/>
    <w:link w:val="8"/>
    <w:semiHidden/>
    <w:qFormat/>
    <w:uiPriority w:val="9"/>
    <w:rPr>
      <w:sz w:val="24"/>
      <w:szCs w:val="24"/>
    </w:rPr>
  </w:style>
  <w:style w:type="character" w:customStyle="1" w:styleId="29">
    <w:name w:val="标题 8 Char"/>
    <w:basedOn w:val="18"/>
    <w:link w:val="9"/>
    <w:semiHidden/>
    <w:qFormat/>
    <w:uiPriority w:val="9"/>
    <w:rPr>
      <w:i/>
      <w:iCs/>
      <w:sz w:val="24"/>
      <w:szCs w:val="24"/>
    </w:rPr>
  </w:style>
  <w:style w:type="character" w:customStyle="1" w:styleId="30">
    <w:name w:val="标题 9 Char"/>
    <w:basedOn w:val="18"/>
    <w:link w:val="10"/>
    <w:semiHidden/>
    <w:qFormat/>
    <w:uiPriority w:val="9"/>
    <w:rPr>
      <w:rFonts w:asciiTheme="majorHAnsi" w:hAnsiTheme="majorHAnsi" w:eastAsiaTheme="majorEastAsia"/>
    </w:rPr>
  </w:style>
  <w:style w:type="character" w:customStyle="1" w:styleId="31">
    <w:name w:val="标题 Char"/>
    <w:basedOn w:val="18"/>
    <w:link w:val="17"/>
    <w:qFormat/>
    <w:uiPriority w:val="10"/>
    <w:rPr>
      <w:rFonts w:asciiTheme="majorHAnsi" w:hAnsiTheme="majorHAnsi" w:eastAsiaTheme="majorEastAsia"/>
      <w:b/>
      <w:bCs/>
      <w:kern w:val="28"/>
      <w:sz w:val="32"/>
      <w:szCs w:val="32"/>
    </w:rPr>
  </w:style>
  <w:style w:type="character" w:customStyle="1" w:styleId="32">
    <w:name w:val="副标题 Char"/>
    <w:basedOn w:val="18"/>
    <w:link w:val="15"/>
    <w:qFormat/>
    <w:uiPriority w:val="11"/>
    <w:rPr>
      <w:rFonts w:asciiTheme="majorHAnsi" w:hAnsiTheme="majorHAnsi" w:eastAsiaTheme="majorEastAsia"/>
      <w:sz w:val="24"/>
      <w:szCs w:val="24"/>
    </w:rPr>
  </w:style>
  <w:style w:type="paragraph" w:customStyle="1" w:styleId="33">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4">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5">
    <w:name w:val="引用1"/>
    <w:basedOn w:val="1"/>
    <w:next w:val="1"/>
    <w:link w:val="36"/>
    <w:qFormat/>
    <w:uiPriority w:val="29"/>
    <w:pPr>
      <w:widowControl/>
      <w:jc w:val="left"/>
    </w:pPr>
    <w:rPr>
      <w:rFonts w:asciiTheme="minorHAnsi" w:hAnsiTheme="minorHAnsi" w:eastAsiaTheme="minorEastAsia"/>
      <w:i/>
      <w:kern w:val="0"/>
      <w:sz w:val="24"/>
    </w:rPr>
  </w:style>
  <w:style w:type="character" w:customStyle="1" w:styleId="36">
    <w:name w:val="引用 Char"/>
    <w:basedOn w:val="18"/>
    <w:link w:val="35"/>
    <w:qFormat/>
    <w:uiPriority w:val="29"/>
    <w:rPr>
      <w:i/>
      <w:sz w:val="24"/>
      <w:szCs w:val="24"/>
    </w:rPr>
  </w:style>
  <w:style w:type="paragraph" w:customStyle="1" w:styleId="37">
    <w:name w:val="明显引用1"/>
    <w:basedOn w:val="1"/>
    <w:next w:val="1"/>
    <w:link w:val="38"/>
    <w:qFormat/>
    <w:uiPriority w:val="30"/>
    <w:pPr>
      <w:widowControl/>
      <w:ind w:left="720" w:right="720"/>
      <w:jc w:val="left"/>
    </w:pPr>
    <w:rPr>
      <w:rFonts w:asciiTheme="minorHAnsi" w:hAnsiTheme="minorHAnsi" w:eastAsiaTheme="minorEastAsia"/>
      <w:b/>
      <w:i/>
      <w:kern w:val="0"/>
      <w:sz w:val="24"/>
      <w:szCs w:val="22"/>
    </w:rPr>
  </w:style>
  <w:style w:type="character" w:customStyle="1" w:styleId="38">
    <w:name w:val="明显引用 Char"/>
    <w:basedOn w:val="18"/>
    <w:link w:val="37"/>
    <w:qFormat/>
    <w:uiPriority w:val="30"/>
    <w:rPr>
      <w:b/>
      <w:i/>
      <w:sz w:val="24"/>
    </w:rPr>
  </w:style>
  <w:style w:type="character" w:customStyle="1" w:styleId="39">
    <w:name w:val="不明显强调1"/>
    <w:qFormat/>
    <w:uiPriority w:val="19"/>
    <w:rPr>
      <w:i/>
      <w:color w:val="595959" w:themeColor="text1" w:themeTint="A5"/>
    </w:rPr>
  </w:style>
  <w:style w:type="character" w:customStyle="1" w:styleId="40">
    <w:name w:val="明显强调1"/>
    <w:basedOn w:val="18"/>
    <w:qFormat/>
    <w:uiPriority w:val="21"/>
    <w:rPr>
      <w:b/>
      <w:i/>
      <w:sz w:val="24"/>
      <w:szCs w:val="24"/>
      <w:u w:val="single"/>
    </w:rPr>
  </w:style>
  <w:style w:type="character" w:customStyle="1" w:styleId="41">
    <w:name w:val="不明显参考1"/>
    <w:basedOn w:val="18"/>
    <w:qFormat/>
    <w:uiPriority w:val="31"/>
    <w:rPr>
      <w:sz w:val="24"/>
      <w:szCs w:val="24"/>
      <w:u w:val="single"/>
    </w:rPr>
  </w:style>
  <w:style w:type="character" w:customStyle="1" w:styleId="42">
    <w:name w:val="明显参考1"/>
    <w:basedOn w:val="18"/>
    <w:qFormat/>
    <w:uiPriority w:val="32"/>
    <w:rPr>
      <w:b/>
      <w:sz w:val="24"/>
      <w:u w:val="single"/>
    </w:rPr>
  </w:style>
  <w:style w:type="character" w:customStyle="1" w:styleId="43">
    <w:name w:val="书籍标题1"/>
    <w:basedOn w:val="18"/>
    <w:qFormat/>
    <w:uiPriority w:val="33"/>
    <w:rPr>
      <w:rFonts w:asciiTheme="majorHAnsi" w:hAnsiTheme="majorHAnsi" w:eastAsiaTheme="majorEastAsia"/>
      <w:b/>
      <w:i/>
      <w:sz w:val="24"/>
      <w:szCs w:val="24"/>
    </w:rPr>
  </w:style>
  <w:style w:type="paragraph" w:customStyle="1" w:styleId="44">
    <w:name w:val="TOC 标题1"/>
    <w:basedOn w:val="2"/>
    <w:next w:val="1"/>
    <w:unhideWhenUsed/>
    <w:qFormat/>
    <w:uiPriority w:val="39"/>
    <w:pPr>
      <w:outlineLvl w:val="9"/>
    </w:pPr>
    <w:rPr>
      <w:lang w:eastAsia="en-US" w:bidi="en-US"/>
    </w:rPr>
  </w:style>
  <w:style w:type="character" w:customStyle="1" w:styleId="45">
    <w:name w:val="页眉 Char"/>
    <w:basedOn w:val="18"/>
    <w:link w:val="14"/>
    <w:qFormat/>
    <w:uiPriority w:val="99"/>
    <w:rPr>
      <w:rFonts w:ascii="Calibri" w:hAnsi="Calibri" w:eastAsia="宋体"/>
      <w:kern w:val="2"/>
      <w:sz w:val="18"/>
      <w:szCs w:val="18"/>
    </w:rPr>
  </w:style>
  <w:style w:type="character" w:customStyle="1" w:styleId="46">
    <w:name w:val="页脚 Char"/>
    <w:basedOn w:val="18"/>
    <w:link w:val="13"/>
    <w:qFormat/>
    <w:uiPriority w:val="99"/>
    <w:rPr>
      <w:rFonts w:ascii="Calibri" w:hAnsi="Calibri" w:eastAsia="宋体"/>
      <w:kern w:val="2"/>
      <w:sz w:val="18"/>
      <w:szCs w:val="18"/>
    </w:rPr>
  </w:style>
  <w:style w:type="character" w:customStyle="1" w:styleId="47">
    <w:name w:val="文档结构图 Char"/>
    <w:basedOn w:val="18"/>
    <w:link w:val="11"/>
    <w:semiHidden/>
    <w:qFormat/>
    <w:uiPriority w:val="99"/>
    <w:rPr>
      <w:rFonts w:ascii="宋体" w:hAnsi="Times New Roman" w:eastAsia="宋体"/>
      <w:kern w:val="2"/>
      <w:sz w:val="18"/>
      <w:szCs w:val="18"/>
    </w:rPr>
  </w:style>
  <w:style w:type="character" w:customStyle="1" w:styleId="48">
    <w:name w:val="批注框文本 Char"/>
    <w:basedOn w:val="18"/>
    <w:link w:val="12"/>
    <w:semiHidden/>
    <w:qFormat/>
    <w:uiPriority w:val="99"/>
    <w:rPr>
      <w:rFonts w:ascii="Times New Roman" w:hAnsi="Times New Roman" w:eastAsia="宋体"/>
      <w:kern w:val="2"/>
      <w:sz w:val="18"/>
      <w:szCs w:val="18"/>
    </w:rPr>
  </w:style>
  <w:style w:type="paragraph" w:customStyle="1" w:styleId="49">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50">
    <w:name w:val="font21"/>
    <w:basedOn w:val="18"/>
    <w:qFormat/>
    <w:uiPriority w:val="0"/>
    <w:rPr>
      <w:rFonts w:hint="default" w:ascii="Times New Roman" w:hAnsi="Times New Roman" w:cs="Times New Roman"/>
      <w:color w:val="000000"/>
      <w:sz w:val="24"/>
      <w:szCs w:val="24"/>
      <w:u w:val="none"/>
    </w:rPr>
  </w:style>
  <w:style w:type="character" w:customStyle="1" w:styleId="51">
    <w:name w:val="font01"/>
    <w:basedOn w:val="18"/>
    <w:qFormat/>
    <w:uiPriority w:val="0"/>
    <w:rPr>
      <w:rFonts w:hint="eastAsia" w:ascii="宋体" w:hAnsi="宋体" w:eastAsia="宋体" w:cs="宋体"/>
      <w:color w:val="000000"/>
      <w:sz w:val="24"/>
      <w:szCs w:val="24"/>
      <w:u w:val="none"/>
    </w:rPr>
  </w:style>
  <w:style w:type="character" w:customStyle="1" w:styleId="52">
    <w:name w:val="font11"/>
    <w:basedOn w:val="18"/>
    <w:qFormat/>
    <w:uiPriority w:val="0"/>
    <w:rPr>
      <w:rFonts w:hint="eastAsia" w:ascii="宋体" w:hAnsi="宋体" w:eastAsia="宋体" w:cs="宋体"/>
      <w:color w:val="000000"/>
      <w:sz w:val="16"/>
      <w:szCs w:val="16"/>
      <w:u w:val="none"/>
    </w:rPr>
  </w:style>
  <w:style w:type="paragraph" w:styleId="5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081FF8-1BEE-406A-BF72-7799B62DF622}">
  <ds:schemaRefs/>
</ds:datastoreItem>
</file>

<file path=docProps/app.xml><?xml version="1.0" encoding="utf-8"?>
<Properties xmlns="http://schemas.openxmlformats.org/officeDocument/2006/extended-properties" xmlns:vt="http://schemas.openxmlformats.org/officeDocument/2006/docPropsVTypes">
  <Template>Normal</Template>
  <Pages>7</Pages>
  <Words>408</Words>
  <Characters>2330</Characters>
  <Lines>19</Lines>
  <Paragraphs>5</Paragraphs>
  <TotalTime>101</TotalTime>
  <ScaleCrop>false</ScaleCrop>
  <LinksUpToDate>false</LinksUpToDate>
  <CharactersWithSpaces>2733</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Lenovo</cp:lastModifiedBy>
  <cp:lastPrinted>2018-12-17T10:15:00Z</cp:lastPrinted>
  <dcterms:modified xsi:type="dcterms:W3CDTF">2019-09-22T09:46:40Z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