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rPr>
          <w:kern w:val="0"/>
          <w:sz w:val="30"/>
          <w:szCs w:val="30"/>
        </w:rPr>
      </w:pP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塔什库尔干县阿巴提镇等十二个乡镇场全民健康体检中心建设项目</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亚力坤</w:t>
      </w:r>
      <w:r>
        <w:rPr>
          <w:rFonts w:hint="eastAsia" w:ascii="仿宋_GB2312" w:hAnsi="仿宋_GB2312" w:eastAsia="仿宋_GB2312" w:cs="仿宋_GB2312"/>
          <w:kern w:val="0"/>
          <w:sz w:val="36"/>
          <w:szCs w:val="36"/>
          <w:lang w:val="en-US" w:eastAsia="zh-CN"/>
        </w:rPr>
        <w:t>·米娜瓦尔</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9</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28</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hint="eastAsia" w:ascii="楷体" w:hAnsi="楷体" w:eastAsia="楷体"/>
          <w:spacing w:val="-4"/>
          <w:sz w:val="32"/>
          <w:szCs w:val="32"/>
          <w:highlight w:val="none"/>
        </w:rPr>
      </w:pPr>
      <w:r>
        <w:rPr>
          <w:rStyle w:val="19"/>
          <w:rFonts w:hint="eastAsia" w:ascii="楷体" w:hAnsi="楷体" w:eastAsia="楷体"/>
          <w:spacing w:val="-4"/>
          <w:sz w:val="32"/>
          <w:szCs w:val="32"/>
          <w:highlight w:val="none"/>
        </w:rPr>
        <w:t>（一）项目单位基本情况</w:t>
      </w:r>
    </w:p>
    <w:p>
      <w:pPr>
        <w:snapToGrid w:val="0"/>
        <w:spacing w:line="560" w:lineRule="exact"/>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（一）主要职能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、贯彻党和国家卫生工作的方针、政策，制定全县卫生事业发展规划，并监督实施。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、研究制定全县区域卫生规划，编制全县社区卫生服务发展规划和服务标准，组织实施卫生规划和医疗卫生行业服务要素准入制度，协调卫生资源的配置。</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3</w:t>
      </w:r>
      <w:r>
        <w:rPr>
          <w:rFonts w:hint="eastAsia" w:ascii="仿宋_GB2312" w:hAnsi="仿宋_GB2312" w:eastAsia="仿宋_GB2312" w:cs="仿宋_GB2312"/>
          <w:kern w:val="2"/>
          <w:sz w:val="32"/>
          <w:szCs w:val="32"/>
        </w:rPr>
        <w:t>、研究制定全县农村卫生、妇幼卫生工作规划，指导制定初级卫生保健规划，依法监督母婴保健专项技术的实施。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4</w:t>
      </w:r>
      <w:r>
        <w:rPr>
          <w:rFonts w:hint="eastAsia" w:ascii="仿宋_GB2312" w:hAnsi="仿宋_GB2312" w:eastAsia="仿宋_GB2312" w:cs="仿宋_GB2312"/>
          <w:kern w:val="2"/>
          <w:sz w:val="32"/>
          <w:szCs w:val="32"/>
        </w:rPr>
        <w:t>、贯彻预防为主的方针，开展全民健康教育制订全县对人群健康危害疾病的防治规划，组织对重大疾病的综合防治，负责传染病、地方病和其它常见病、多发病的监测防治。</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5</w:t>
      </w:r>
      <w:r>
        <w:rPr>
          <w:rFonts w:hint="eastAsia" w:ascii="仿宋_GB2312" w:hAnsi="仿宋_GB2312" w:eastAsia="仿宋_GB2312" w:cs="仿宋_GB2312"/>
          <w:kern w:val="2"/>
          <w:sz w:val="32"/>
          <w:szCs w:val="32"/>
        </w:rPr>
        <w:t>、组织调度全县的卫生技术力量，协助县政府和有关部门，对重大疫情、病情、灾情、突发事件，实施紧急处置，防止和控制疫情、疾病的发生、蔓延。</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6</w:t>
      </w:r>
      <w:r>
        <w:rPr>
          <w:rFonts w:hint="eastAsia" w:ascii="仿宋_GB2312" w:hAnsi="仿宋_GB2312" w:eastAsia="仿宋_GB2312" w:cs="仿宋_GB2312"/>
          <w:kern w:val="2"/>
          <w:sz w:val="32"/>
          <w:szCs w:val="32"/>
        </w:rPr>
        <w:t>、依法对全县医疗卫生机构及其业务实行全行业监督管理，组织指导医疗机构改革，实施医疗机构和卫生技术人员执业标准、医疗质量标准和服务规范，并监督实施。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7</w:t>
      </w:r>
      <w:r>
        <w:rPr>
          <w:rFonts w:hint="eastAsia" w:ascii="仿宋_GB2312" w:hAnsi="仿宋_GB2312" w:eastAsia="仿宋_GB2312" w:cs="仿宋_GB2312"/>
          <w:kern w:val="2"/>
          <w:sz w:val="32"/>
          <w:szCs w:val="32"/>
        </w:rPr>
        <w:t>、依法监督管理中心血站的采供血及临床用血质量，组织开展无偿献血活动。</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8</w:t>
      </w:r>
      <w:r>
        <w:rPr>
          <w:rFonts w:hint="eastAsia" w:ascii="仿宋_GB2312" w:hAnsi="仿宋_GB2312" w:eastAsia="仿宋_GB2312" w:cs="仿宋_GB2312"/>
          <w:kern w:val="2"/>
          <w:sz w:val="32"/>
          <w:szCs w:val="32"/>
        </w:rPr>
        <w:t>、制定全县医学科技、教育发展规划，组织医药卫生科研攻关，指导医学科技成果的普及应用工作；负责医药科技领域和重点学科建设；负责医学教育，进行质量监督检查。</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9</w:t>
      </w:r>
      <w:r>
        <w:rPr>
          <w:rFonts w:hint="eastAsia" w:ascii="仿宋_GB2312" w:hAnsi="仿宋_GB2312" w:eastAsia="仿宋_GB2312" w:cs="仿宋_GB2312"/>
          <w:kern w:val="2"/>
          <w:sz w:val="32"/>
          <w:szCs w:val="32"/>
        </w:rPr>
        <w:t>、监督管理全县传染病防治和食品、职业、环境、放射、学校卫生等，依照国家食品、化妆品、消毒产品、保健用品等与健康有关产品的管理规范，负责论证工作。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10</w:t>
      </w:r>
      <w:r>
        <w:rPr>
          <w:rFonts w:hint="eastAsia" w:ascii="仿宋_GB2312" w:hAnsi="仿宋_GB2312" w:eastAsia="仿宋_GB2312" w:cs="仿宋_GB2312"/>
          <w:kern w:val="2"/>
          <w:sz w:val="32"/>
          <w:szCs w:val="32"/>
        </w:rPr>
        <w:t>、制定全县卫生人才发展规划和卫生人员职业道德规范，执行国家、省、地卫生机构编制标准；组织实施卫生技术人员资格认定，专业技术职称晋升工资福利和卫生行业人才交流工作。</w:t>
      </w:r>
      <w:r>
        <w:rPr>
          <w:rFonts w:ascii="仿宋_GB2312" w:hAnsi="仿宋_GB2312" w:eastAsia="仿宋_GB2312" w:cs="仿宋_GB2312"/>
          <w:kern w:val="2"/>
          <w:sz w:val="32"/>
          <w:szCs w:val="32"/>
        </w:rPr>
        <w:t xml:space="preserve"> </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11</w:t>
      </w:r>
      <w:r>
        <w:rPr>
          <w:rFonts w:hint="eastAsia" w:ascii="仿宋_GB2312" w:hAnsi="仿宋_GB2312" w:eastAsia="仿宋_GB2312" w:cs="仿宋_GB2312"/>
          <w:kern w:val="2"/>
          <w:sz w:val="32"/>
          <w:szCs w:val="32"/>
        </w:rPr>
        <w:t>、贯彻党的中医政策，坚持中西医并重方针制定全县中医事业发展规划，负责全县中医医疗、教学、科研工作，推进中医药的继承、创新与开发。</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12</w:t>
      </w:r>
      <w:r>
        <w:rPr>
          <w:rFonts w:hint="eastAsia" w:ascii="仿宋_GB2312" w:hAnsi="仿宋_GB2312" w:eastAsia="仿宋_GB2312" w:cs="仿宋_GB2312"/>
          <w:kern w:val="2"/>
          <w:sz w:val="32"/>
          <w:szCs w:val="32"/>
        </w:rPr>
        <w:t>、承担县爱国卫生运动委员会、县地方病防治领导小组办公室日常工作。指导医药学会、协会、专业防治机构等学术团体、机构的工作。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13</w:t>
      </w:r>
      <w:r>
        <w:rPr>
          <w:rFonts w:hint="eastAsia" w:ascii="仿宋_GB2312" w:hAnsi="仿宋_GB2312" w:eastAsia="仿宋_GB2312" w:cs="仿宋_GB2312"/>
          <w:kern w:val="2"/>
          <w:sz w:val="32"/>
          <w:szCs w:val="32"/>
        </w:rPr>
        <w:t>、负责管理政府和民意渠道开展医疗卫生对外交流与合作活动，组织协调全县医疗卫生机构基础设施建设和外援项目的落实，负责卫生援外工作。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14</w:t>
      </w:r>
      <w:r>
        <w:rPr>
          <w:rFonts w:hint="eastAsia" w:ascii="仿宋_GB2312" w:hAnsi="仿宋_GB2312" w:eastAsia="仿宋_GB2312" w:cs="仿宋_GB2312"/>
          <w:kern w:val="2"/>
          <w:sz w:val="32"/>
          <w:szCs w:val="32"/>
        </w:rPr>
        <w:t>、负责卫生法制建设、监督检查和卫生行政复议工作。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15</w:t>
      </w:r>
      <w:r>
        <w:rPr>
          <w:rFonts w:hint="eastAsia" w:ascii="仿宋_GB2312" w:hAnsi="仿宋_GB2312" w:eastAsia="仿宋_GB2312" w:cs="仿宋_GB2312"/>
          <w:kern w:val="2"/>
          <w:sz w:val="32"/>
          <w:szCs w:val="32"/>
        </w:rPr>
        <w:t>、承办县政府和上级业务部门交办的其他工作。</w:t>
      </w:r>
    </w:p>
    <w:p>
      <w:pPr>
        <w:snapToGrid w:val="0"/>
        <w:spacing w:line="560" w:lineRule="exact"/>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（二）机构设置情况</w:t>
      </w:r>
    </w:p>
    <w:p>
      <w:p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塔什库尔干县卫生局单位性质为行政、事业单位全额拨款，执行会计制度为行政会计制度。独立编制机构</w:t>
      </w:r>
      <w:r>
        <w:rPr>
          <w:rFonts w:ascii="仿宋_GB2312" w:hAnsi="仿宋_GB2312" w:eastAsia="仿宋_GB2312" w:cs="仿宋_GB2312"/>
          <w:kern w:val="2"/>
          <w:sz w:val="32"/>
          <w:szCs w:val="32"/>
        </w:rPr>
        <w:t xml:space="preserve"> 1 </w:t>
      </w:r>
      <w:r>
        <w:rPr>
          <w:rFonts w:hint="eastAsia" w:ascii="仿宋_GB2312" w:hAnsi="仿宋_GB2312" w:eastAsia="仿宋_GB2312" w:cs="仿宋_GB2312"/>
          <w:kern w:val="2"/>
          <w:sz w:val="32"/>
          <w:szCs w:val="32"/>
        </w:rPr>
        <w:t>个，独立编制机构与上年无变动。</w:t>
      </w:r>
    </w:p>
    <w:p>
      <w:pPr>
        <w:numPr>
          <w:ilvl w:val="0"/>
          <w:numId w:val="1"/>
        </w:num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年末编制情况和实有人数情况</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 机构人员情况：编制12 人（按照编委文件填报），行政编制</w:t>
      </w:r>
      <w:r>
        <w:rPr>
          <w:rFonts w:hint="eastAsia" w:ascii="仿宋_GB2312" w:hAnsi="仿宋_GB2312" w:eastAsia="仿宋_GB2312" w:cs="仿宋_GB2312"/>
          <w:kern w:val="2"/>
          <w:sz w:val="32"/>
          <w:szCs w:val="32"/>
          <w:lang w:val="en-US" w:eastAsia="zh-CN"/>
        </w:rPr>
        <w:t>6</w:t>
      </w:r>
      <w:r>
        <w:rPr>
          <w:rFonts w:hint="eastAsia" w:ascii="仿宋_GB2312" w:hAnsi="仿宋_GB2312" w:eastAsia="仿宋_GB2312" w:cs="仿宋_GB2312"/>
          <w:kern w:val="2"/>
          <w:sz w:val="32"/>
          <w:szCs w:val="32"/>
        </w:rPr>
        <w:t>人，工勤编制1人，事业编制6人，行政在职</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人，工勤在职1人，事业在职6人，属于一般公共预算财政拨款（补助）开支</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人，其中：在职</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人，退休0人。</w:t>
      </w:r>
    </w:p>
    <w:p>
      <w:pPr>
        <w:adjustRightInd w:val="0"/>
        <w:snapToGrid w:val="0"/>
        <w:spacing w:line="560" w:lineRule="exact"/>
        <w:rPr>
          <w:rStyle w:val="19"/>
          <w:rFonts w:ascii="楷体" w:hAnsi="楷体" w:eastAsia="楷体"/>
          <w:spacing w:val="-4"/>
          <w:sz w:val="32"/>
          <w:szCs w:val="32"/>
        </w:rPr>
      </w:pPr>
      <w:r>
        <w:rPr>
          <w:rStyle w:val="19"/>
          <w:rFonts w:hint="eastAsia" w:ascii="楷体" w:hAnsi="楷体" w:eastAsia="楷体"/>
          <w:spacing w:val="-4"/>
          <w:sz w:val="32"/>
          <w:szCs w:val="32"/>
          <w:lang w:val="en-US" w:eastAsia="zh-CN"/>
        </w:rPr>
        <w:t xml:space="preserve">  </w:t>
      </w: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2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逐步提高为人民群众提供各类医疗服务水平，逐步提高居民健康保健意识和知晓率。</w:t>
      </w:r>
    </w:p>
    <w:p>
      <w:pPr>
        <w:adjustRightInd w:val="0"/>
        <w:spacing w:line="52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保证所有基层医疗卫生机构实施国家基本药物制度，推进综合改革顺利进行。</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hint="eastAsia" w:ascii="仿宋" w:hAnsi="仿宋" w:eastAsia="仿宋"/>
          <w:bCs/>
          <w:color w:val="FF0000"/>
          <w:spacing w:val="-4"/>
          <w:sz w:val="32"/>
          <w:szCs w:val="32"/>
          <w:lang w:eastAsia="zh-CN"/>
        </w:rPr>
      </w:pPr>
      <w:r>
        <w:rPr>
          <w:rFonts w:hint="eastAsia" w:ascii="仿宋" w:hAnsi="仿宋" w:eastAsia="仿宋"/>
          <w:bCs/>
          <w:color w:val="auto"/>
          <w:spacing w:val="-4"/>
          <w:sz w:val="32"/>
          <w:szCs w:val="32"/>
        </w:rPr>
        <w:t>本项目性质为延续项目</w:t>
      </w:r>
      <w:r>
        <w:rPr>
          <w:rFonts w:hint="eastAsia" w:ascii="仿宋" w:hAnsi="仿宋" w:eastAsia="仿宋"/>
          <w:bCs/>
          <w:color w:val="auto"/>
          <w:spacing w:val="-4"/>
          <w:sz w:val="32"/>
          <w:szCs w:val="32"/>
          <w:lang w:eastAsia="zh-CN"/>
        </w:rPr>
        <w:t>。</w:t>
      </w:r>
    </w:p>
    <w:p>
      <w:pPr>
        <w:numPr>
          <w:ilvl w:val="0"/>
          <w:numId w:val="2"/>
        </w:numPr>
        <w:adjustRightInd w:val="0"/>
        <w:snapToGrid w:val="0"/>
        <w:spacing w:line="560" w:lineRule="exact"/>
        <w:ind w:firstLine="627" w:firstLineChars="200"/>
        <w:rPr>
          <w:rFonts w:hint="eastAsia" w:ascii="仿宋" w:hAnsi="仿宋" w:eastAsia="仿宋"/>
          <w:b/>
          <w:bCs/>
          <w:spacing w:val="-4"/>
          <w:sz w:val="32"/>
          <w:szCs w:val="32"/>
        </w:rPr>
      </w:pPr>
      <w:r>
        <w:rPr>
          <w:rFonts w:hint="eastAsia" w:ascii="仿宋" w:hAnsi="仿宋" w:eastAsia="仿宋"/>
          <w:b/>
          <w:bCs/>
          <w:spacing w:val="-4"/>
          <w:sz w:val="32"/>
          <w:szCs w:val="32"/>
        </w:rPr>
        <w:t>项目用途及范围</w:t>
      </w:r>
    </w:p>
    <w:p>
      <w:pPr>
        <w:ind w:firstLine="768" w:firstLineChars="240"/>
        <w:outlineLvl w:val="0"/>
        <w:rPr>
          <w:rFonts w:hint="eastAsia" w:ascii="仿宋" w:hAnsi="仿宋" w:eastAsia="仿宋" w:cs="仿宋"/>
          <w:color w:val="000000"/>
          <w:sz w:val="32"/>
          <w:szCs w:val="32"/>
        </w:rPr>
      </w:pPr>
      <w:r>
        <w:rPr>
          <w:rFonts w:hint="eastAsia" w:ascii="仿宋" w:hAnsi="仿宋" w:eastAsia="仿宋" w:cs="仿宋"/>
          <w:sz w:val="32"/>
          <w:szCs w:val="32"/>
        </w:rPr>
        <w:t>项目实施范围：</w:t>
      </w:r>
      <w:r>
        <w:rPr>
          <w:rFonts w:hint="eastAsia" w:ascii="仿宋" w:hAnsi="仿宋" w:eastAsia="仿宋" w:cs="仿宋"/>
          <w:color w:val="000000"/>
          <w:sz w:val="32"/>
          <w:szCs w:val="32"/>
        </w:rPr>
        <w:t>减轻贫困人口医疗费用负担户数2215户。</w:t>
      </w:r>
    </w:p>
    <w:p>
      <w:pPr>
        <w:ind w:firstLine="640" w:firstLineChars="200"/>
        <w:outlineLvl w:val="0"/>
        <w:rPr>
          <w:rFonts w:hint="eastAsia" w:ascii="仿宋" w:hAnsi="仿宋" w:eastAsia="仿宋" w:cs="仿宋"/>
          <w:color w:val="000000"/>
          <w:sz w:val="32"/>
          <w:szCs w:val="32"/>
        </w:rPr>
      </w:pPr>
      <w:r>
        <w:rPr>
          <w:rFonts w:hint="eastAsia" w:ascii="仿宋" w:hAnsi="仿宋" w:eastAsia="仿宋" w:cs="仿宋"/>
          <w:sz w:val="32"/>
          <w:szCs w:val="32"/>
        </w:rPr>
        <w:t>项目实施内容：</w:t>
      </w:r>
      <w:r>
        <w:rPr>
          <w:rFonts w:hint="eastAsia" w:ascii="仿宋" w:hAnsi="仿宋" w:eastAsia="仿宋" w:cs="仿宋"/>
          <w:color w:val="000000"/>
          <w:sz w:val="32"/>
          <w:szCs w:val="32"/>
        </w:rPr>
        <w:t>新建体检中心个数12个。</w:t>
      </w:r>
    </w:p>
    <w:p>
      <w:pPr>
        <w:adjustRightInd w:val="0"/>
        <w:snapToGrid w:val="0"/>
        <w:spacing w:line="560" w:lineRule="exact"/>
        <w:ind w:firstLine="640" w:firstLineChars="200"/>
        <w:rPr>
          <w:rStyle w:val="19"/>
          <w:rFonts w:hint="eastAsia" w:ascii="仿宋" w:hAnsi="仿宋" w:eastAsia="仿宋" w:cs="仿宋"/>
          <w:b w:val="0"/>
          <w:color w:val="FF0000"/>
          <w:spacing w:val="-4"/>
          <w:sz w:val="32"/>
          <w:szCs w:val="32"/>
          <w:lang w:val="en-US" w:eastAsia="zh-CN"/>
        </w:rPr>
      </w:pPr>
      <w:r>
        <w:rPr>
          <w:rFonts w:hint="eastAsia" w:ascii="仿宋" w:hAnsi="仿宋" w:eastAsia="仿宋" w:cs="仿宋"/>
          <w:sz w:val="32"/>
          <w:szCs w:val="32"/>
        </w:rPr>
        <w:t>项目用途：改善农牧民生活水平</w:t>
      </w:r>
      <w:r>
        <w:rPr>
          <w:rFonts w:hint="eastAsia" w:ascii="仿宋" w:hAnsi="仿宋" w:eastAsia="仿宋" w:cs="仿宋"/>
          <w:sz w:val="32"/>
          <w:szCs w:val="32"/>
          <w:lang w:val="en-US" w:eastAsia="zh-CN"/>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hint="eastAsia" w:ascii="仿宋" w:hAnsi="仿宋" w:eastAsia="仿宋" w:cs="仿宋"/>
          <w:bCs/>
          <w:color w:val="FF0000"/>
          <w:spacing w:val="-4"/>
          <w:sz w:val="32"/>
          <w:szCs w:val="32"/>
          <w:lang w:eastAsia="zh-CN"/>
        </w:rPr>
      </w:pPr>
      <w:r>
        <w:rPr>
          <w:rFonts w:hint="eastAsia" w:ascii="仿宋" w:hAnsi="仿宋" w:eastAsia="仿宋" w:cs="仿宋"/>
          <w:kern w:val="0"/>
          <w:sz w:val="32"/>
          <w:szCs w:val="32"/>
          <w:lang w:val="zh-TW" w:eastAsia="zh-TW"/>
        </w:rPr>
        <w:t>塔什库尔干县阿巴提镇等十二个乡镇场全民健康体检中心建设项目</w:t>
      </w:r>
      <w:r>
        <w:rPr>
          <w:rFonts w:hint="eastAsia" w:ascii="仿宋" w:hAnsi="仿宋" w:eastAsia="仿宋" w:cs="仿宋"/>
          <w:bCs/>
          <w:color w:val="auto"/>
          <w:spacing w:val="-4"/>
          <w:sz w:val="32"/>
          <w:szCs w:val="32"/>
        </w:rPr>
        <w:t>预算安排总额为</w:t>
      </w:r>
      <w:r>
        <w:rPr>
          <w:rFonts w:hint="eastAsia" w:ascii="仿宋" w:hAnsi="仿宋" w:eastAsia="仿宋" w:cs="仿宋"/>
          <w:bCs/>
          <w:color w:val="auto"/>
          <w:spacing w:val="-4"/>
          <w:sz w:val="32"/>
          <w:szCs w:val="32"/>
          <w:lang w:val="en-US" w:eastAsia="zh-CN"/>
        </w:rPr>
        <w:t>2036</w:t>
      </w:r>
      <w:r>
        <w:rPr>
          <w:rFonts w:hint="eastAsia" w:ascii="仿宋" w:hAnsi="仿宋" w:eastAsia="仿宋" w:cs="仿宋"/>
          <w:bCs/>
          <w:color w:val="auto"/>
          <w:spacing w:val="-4"/>
          <w:sz w:val="32"/>
          <w:szCs w:val="32"/>
        </w:rPr>
        <w:t>万元，其中财政资金</w:t>
      </w:r>
      <w:r>
        <w:rPr>
          <w:rFonts w:hint="eastAsia" w:ascii="仿宋" w:hAnsi="仿宋" w:eastAsia="仿宋" w:cs="仿宋"/>
          <w:bCs/>
          <w:color w:val="auto"/>
          <w:spacing w:val="-4"/>
          <w:sz w:val="32"/>
          <w:szCs w:val="32"/>
          <w:lang w:val="en-US" w:eastAsia="zh-CN"/>
        </w:rPr>
        <w:t>2036</w:t>
      </w:r>
      <w:r>
        <w:rPr>
          <w:rFonts w:hint="eastAsia" w:ascii="仿宋" w:hAnsi="仿宋" w:eastAsia="仿宋" w:cs="仿宋"/>
          <w:bCs/>
          <w:color w:val="auto"/>
          <w:spacing w:val="-4"/>
          <w:sz w:val="32"/>
          <w:szCs w:val="32"/>
        </w:rPr>
        <w:t>万元，201</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年实际收到预算资金</w:t>
      </w:r>
      <w:r>
        <w:rPr>
          <w:rFonts w:hint="eastAsia" w:ascii="仿宋" w:hAnsi="仿宋" w:eastAsia="仿宋" w:cs="仿宋"/>
          <w:bCs/>
          <w:color w:val="auto"/>
          <w:spacing w:val="-4"/>
          <w:sz w:val="32"/>
          <w:szCs w:val="32"/>
          <w:lang w:val="en-US" w:eastAsia="zh-CN"/>
        </w:rPr>
        <w:t>2036</w:t>
      </w:r>
      <w:r>
        <w:rPr>
          <w:rFonts w:hint="eastAsia" w:ascii="仿宋" w:hAnsi="仿宋" w:eastAsia="仿宋" w:cs="仿宋"/>
          <w:bCs/>
          <w:color w:val="auto"/>
          <w:spacing w:val="-4"/>
          <w:sz w:val="32"/>
          <w:szCs w:val="32"/>
        </w:rPr>
        <w:t>万元</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2036</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项目资金主要用于支付</w:t>
      </w:r>
      <w:r>
        <w:rPr>
          <w:rFonts w:hint="eastAsia" w:ascii="仿宋" w:hAnsi="仿宋" w:eastAsia="仿宋" w:cs="仿宋"/>
          <w:color w:val="auto"/>
          <w:kern w:val="0"/>
          <w:sz w:val="32"/>
          <w:szCs w:val="32"/>
          <w:lang w:val="zh-TW" w:eastAsia="zh-TW"/>
        </w:rPr>
        <w:t>塔什库尔干县阿巴提镇等十二个乡镇场全民健康体检中心建设项目</w:t>
      </w:r>
      <w:r>
        <w:rPr>
          <w:rFonts w:hint="eastAsia" w:ascii="仿宋" w:hAnsi="仿宋" w:eastAsia="仿宋" w:cs="仿宋"/>
          <w:color w:val="auto"/>
          <w:kern w:val="0"/>
          <w:sz w:val="32"/>
          <w:szCs w:val="32"/>
          <w:lang w:val="en-US" w:eastAsia="zh-CN"/>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hint="eastAsia" w:ascii="仿宋" w:hAnsi="仿宋" w:eastAsia="仿宋"/>
          <w:bCs/>
          <w:color w:val="auto"/>
          <w:spacing w:val="-4"/>
          <w:sz w:val="32"/>
          <w:szCs w:val="32"/>
        </w:rPr>
        <w:t>分析内容包括：①已制定或具有相应的项目资金管理办法；②项目资金管理办法符合国家财经法规和财务管理制度以及有关资金管理办法的规定；③资金的拨付有完整的审批程序和手续；④</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color w:val="auto"/>
          <w:spacing w:val="-4"/>
          <w:sz w:val="32"/>
          <w:szCs w:val="32"/>
        </w:rPr>
      </w:pPr>
      <w:r>
        <w:rPr>
          <w:rStyle w:val="19"/>
          <w:rFonts w:hint="eastAsia" w:ascii="仿宋" w:hAnsi="仿宋" w:eastAsia="仿宋"/>
          <w:b w:val="0"/>
          <w:color w:val="auto"/>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在</w:t>
      </w:r>
      <w:r>
        <w:rPr>
          <w:rFonts w:hint="eastAsia" w:ascii="仿宋" w:hAnsi="仿宋" w:eastAsia="仿宋" w:cs="仿宋"/>
          <w:kern w:val="0"/>
          <w:sz w:val="32"/>
          <w:szCs w:val="32"/>
          <w:lang w:val="zh-TW" w:eastAsia="zh-TW"/>
        </w:rPr>
        <w:t>塔什库尔干县阿巴提镇等十二个乡镇场全民健康体检中心建设项目</w:t>
      </w:r>
      <w:r>
        <w:rPr>
          <w:rFonts w:hint="eastAsia" w:ascii="仿宋" w:hAnsi="仿宋" w:eastAsia="仿宋" w:cs="仿宋"/>
          <w:sz w:val="32"/>
          <w:szCs w:val="32"/>
        </w:rPr>
        <w:t>直补发放过程中，严格按照国家规定的使用范围和扶持方式使用，不存在挤占、截留、挪用情况。</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eastAsia="zh-CN"/>
        </w:rPr>
      </w:pPr>
      <w:r>
        <w:rPr>
          <w:rFonts w:hint="eastAsia" w:ascii="仿宋" w:hAnsi="仿宋" w:eastAsia="仿宋" w:cs="仿宋"/>
          <w:bCs/>
          <w:color w:val="auto"/>
          <w:spacing w:val="-4"/>
          <w:sz w:val="32"/>
          <w:szCs w:val="32"/>
        </w:rPr>
        <w:t>不定期对项目进度情况进行督导检查，对检查过程中发现的问题及时督促整改，确保了项目按时保质完成</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ascii="仿宋" w:hAnsi="仿宋" w:eastAsia="仿宋"/>
          <w:bCs/>
          <w:color w:val="auto"/>
          <w:spacing w:val="-4"/>
          <w:sz w:val="32"/>
          <w:szCs w:val="32"/>
        </w:rPr>
        <w:t>本项目共设置一级指标</w:t>
      </w:r>
      <w:r>
        <w:rPr>
          <w:rFonts w:hint="eastAsia" w:ascii="仿宋" w:hAnsi="仿宋" w:eastAsia="仿宋"/>
          <w:bCs/>
          <w:color w:val="auto"/>
          <w:spacing w:val="-4"/>
          <w:sz w:val="32"/>
          <w:szCs w:val="32"/>
          <w:lang w:val="en-US" w:eastAsia="zh-CN"/>
        </w:rPr>
        <w:t>2</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二级指标</w:t>
      </w:r>
      <w:r>
        <w:rPr>
          <w:rFonts w:hint="eastAsia" w:ascii="仿宋" w:hAnsi="仿宋" w:eastAsia="仿宋"/>
          <w:bCs/>
          <w:color w:val="auto"/>
          <w:spacing w:val="-4"/>
          <w:sz w:val="32"/>
          <w:szCs w:val="32"/>
          <w:lang w:val="en-US" w:eastAsia="zh-CN"/>
        </w:rPr>
        <w:t>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三级指标</w:t>
      </w:r>
      <w:r>
        <w:rPr>
          <w:rFonts w:hint="eastAsia" w:ascii="仿宋" w:hAnsi="仿宋" w:eastAsia="仿宋"/>
          <w:bCs/>
          <w:color w:val="auto"/>
          <w:spacing w:val="-4"/>
          <w:sz w:val="32"/>
          <w:szCs w:val="32"/>
          <w:lang w:val="en-US" w:eastAsia="zh-CN"/>
        </w:rPr>
        <w:t>12</w:t>
      </w:r>
      <w:r>
        <w:rPr>
          <w:rFonts w:ascii="仿宋" w:hAnsi="仿宋" w:eastAsia="仿宋"/>
          <w:bCs/>
          <w:color w:val="auto"/>
          <w:spacing w:val="-4"/>
          <w:sz w:val="32"/>
          <w:szCs w:val="32"/>
        </w:rPr>
        <w:t>个</w:t>
      </w:r>
      <w:r>
        <w:rPr>
          <w:rFonts w:hint="eastAsia" w:ascii="仿宋" w:hAnsi="仿宋" w:eastAsia="仿宋"/>
          <w:bCs/>
          <w:color w:val="auto"/>
          <w:spacing w:val="-4"/>
          <w:sz w:val="32"/>
          <w:szCs w:val="32"/>
        </w:rPr>
        <w:t>，其中</w:t>
      </w:r>
      <w:r>
        <w:rPr>
          <w:rFonts w:ascii="仿宋" w:hAnsi="仿宋" w:eastAsia="仿宋"/>
          <w:bCs/>
          <w:color w:val="auto"/>
          <w:spacing w:val="-4"/>
          <w:sz w:val="32"/>
          <w:szCs w:val="32"/>
        </w:rPr>
        <w:t>已完成三级指标</w:t>
      </w:r>
      <w:r>
        <w:rPr>
          <w:rFonts w:hint="eastAsia" w:ascii="仿宋" w:hAnsi="仿宋" w:eastAsia="仿宋"/>
          <w:bCs/>
          <w:color w:val="auto"/>
          <w:spacing w:val="-4"/>
          <w:sz w:val="32"/>
          <w:szCs w:val="32"/>
          <w:lang w:val="en-US" w:eastAsia="zh-CN"/>
        </w:rPr>
        <w:t>12</w:t>
      </w:r>
      <w:r>
        <w:rPr>
          <w:rFonts w:ascii="仿宋" w:hAnsi="仿宋" w:eastAsia="仿宋"/>
          <w:bCs/>
          <w:color w:val="auto"/>
          <w:spacing w:val="-4"/>
          <w:sz w:val="32"/>
          <w:szCs w:val="32"/>
        </w:rPr>
        <w:t>个</w:t>
      </w:r>
      <w:r>
        <w:rPr>
          <w:rFonts w:hint="eastAsia" w:ascii="仿宋" w:hAnsi="仿宋" w:eastAsia="仿宋"/>
          <w:bCs/>
          <w:color w:val="auto"/>
          <w:spacing w:val="-4"/>
          <w:sz w:val="32"/>
          <w:szCs w:val="32"/>
        </w:rPr>
        <w:t>，指标完成率为</w:t>
      </w:r>
      <w:r>
        <w:rPr>
          <w:rFonts w:hint="eastAsia" w:ascii="仿宋" w:hAnsi="仿宋" w:eastAsia="仿宋"/>
          <w:bCs/>
          <w:color w:val="auto"/>
          <w:spacing w:val="-4"/>
          <w:sz w:val="32"/>
          <w:szCs w:val="32"/>
          <w:lang w:val="en-US" w:eastAsia="zh-CN"/>
        </w:rPr>
        <w:t>95</w:t>
      </w:r>
      <w:r>
        <w:rPr>
          <w:rFonts w:hint="eastAsia" w:ascii="仿宋" w:hAnsi="仿宋" w:eastAsia="仿宋"/>
          <w:bCs/>
          <w:color w:val="auto"/>
          <w:spacing w:val="-4"/>
          <w:sz w:val="32"/>
          <w:szCs w:val="32"/>
        </w:rPr>
        <w:t>%。</w:t>
      </w:r>
    </w:p>
    <w:p>
      <w:pPr>
        <w:adjustRightInd w:val="0"/>
        <w:snapToGrid w:val="0"/>
        <w:spacing w:line="560" w:lineRule="exact"/>
        <w:ind w:firstLine="624" w:firstLineChars="200"/>
        <w:rPr>
          <w:rStyle w:val="19"/>
          <w:rFonts w:hint="eastAsia" w:ascii="仿宋" w:hAnsi="仿宋" w:eastAsia="仿宋"/>
          <w:b w:val="0"/>
          <w:color w:val="auto"/>
          <w:spacing w:val="-4"/>
          <w:sz w:val="32"/>
          <w:szCs w:val="32"/>
          <w:lang w:eastAsia="zh-CN"/>
        </w:rPr>
      </w:pPr>
      <w:r>
        <w:rPr>
          <w:rStyle w:val="19"/>
          <w:rFonts w:hint="eastAsia" w:ascii="仿宋" w:hAnsi="仿宋" w:eastAsia="仿宋"/>
          <w:b w:val="0"/>
          <w:color w:val="auto"/>
          <w:spacing w:val="-4"/>
          <w:sz w:val="32"/>
          <w:szCs w:val="32"/>
        </w:rPr>
        <w:t>经济性：</w:t>
      </w:r>
      <w:r>
        <w:rPr>
          <w:rStyle w:val="19"/>
          <w:rFonts w:hint="eastAsia" w:ascii="仿宋" w:hAnsi="仿宋" w:eastAsia="仿宋"/>
          <w:b w:val="0"/>
          <w:color w:val="auto"/>
          <w:spacing w:val="-4"/>
          <w:sz w:val="32"/>
          <w:szCs w:val="32"/>
          <w:lang w:eastAsia="zh-CN"/>
        </w:rPr>
        <w:t>造价成本控制在合理范围内。</w:t>
      </w:r>
    </w:p>
    <w:p>
      <w:pPr>
        <w:adjustRightInd w:val="0"/>
        <w:snapToGrid w:val="0"/>
        <w:spacing w:line="560" w:lineRule="exact"/>
        <w:ind w:firstLine="624" w:firstLineChars="200"/>
        <w:rPr>
          <w:rStyle w:val="19"/>
          <w:rFonts w:ascii="仿宋" w:hAnsi="仿宋" w:eastAsia="仿宋"/>
          <w:b w:val="0"/>
          <w:color w:val="auto"/>
          <w:spacing w:val="-4"/>
          <w:sz w:val="32"/>
          <w:szCs w:val="32"/>
        </w:rPr>
      </w:pPr>
      <w:r>
        <w:rPr>
          <w:rStyle w:val="19"/>
          <w:rFonts w:hint="eastAsia" w:ascii="仿宋" w:hAnsi="仿宋" w:eastAsia="仿宋"/>
          <w:b w:val="0"/>
          <w:color w:val="auto"/>
          <w:spacing w:val="-4"/>
          <w:sz w:val="32"/>
          <w:szCs w:val="32"/>
        </w:rPr>
        <w:t>效率性：项目的实施进度和完成质量</w:t>
      </w:r>
      <w:r>
        <w:rPr>
          <w:rStyle w:val="19"/>
          <w:rFonts w:hint="eastAsia" w:ascii="仿宋" w:hAnsi="仿宋" w:eastAsia="仿宋"/>
          <w:b w:val="0"/>
          <w:color w:val="auto"/>
          <w:spacing w:val="-4"/>
          <w:sz w:val="32"/>
          <w:szCs w:val="32"/>
          <w:lang w:eastAsia="zh-CN"/>
        </w:rPr>
        <w:t>均为</w:t>
      </w:r>
      <w:r>
        <w:rPr>
          <w:rStyle w:val="19"/>
          <w:rFonts w:hint="eastAsia" w:ascii="仿宋" w:hAnsi="仿宋" w:eastAsia="仿宋"/>
          <w:b w:val="0"/>
          <w:color w:val="auto"/>
          <w:spacing w:val="-4"/>
          <w:sz w:val="32"/>
          <w:szCs w:val="32"/>
          <w:lang w:val="en-US" w:eastAsia="zh-CN"/>
        </w:rPr>
        <w:t>100%</w:t>
      </w:r>
      <w:r>
        <w:rPr>
          <w:rStyle w:val="19"/>
          <w:rFonts w:hint="eastAsia" w:ascii="仿宋" w:hAnsi="仿宋" w:eastAsia="仿宋"/>
          <w:b w:val="0"/>
          <w:color w:val="auto"/>
          <w:spacing w:val="-4"/>
          <w:sz w:val="32"/>
          <w:szCs w:val="32"/>
        </w:rPr>
        <w:t>。</w:t>
      </w:r>
    </w:p>
    <w:p>
      <w:pPr>
        <w:adjustRightInd w:val="0"/>
        <w:snapToGrid w:val="0"/>
        <w:spacing w:line="560" w:lineRule="exact"/>
        <w:ind w:firstLine="624" w:firstLineChars="200"/>
        <w:rPr>
          <w:rFonts w:ascii="仿宋" w:hAnsi="仿宋" w:eastAsia="仿宋"/>
          <w:bCs/>
          <w:color w:val="auto"/>
          <w:spacing w:val="-4"/>
          <w:sz w:val="32"/>
          <w:szCs w:val="32"/>
        </w:rPr>
      </w:pPr>
      <w:r>
        <w:rPr>
          <w:rStyle w:val="19"/>
          <w:rFonts w:hint="eastAsia" w:ascii="仿宋" w:hAnsi="仿宋" w:eastAsia="仿宋"/>
          <w:b w:val="0"/>
          <w:color w:val="auto"/>
          <w:spacing w:val="-4"/>
          <w:sz w:val="32"/>
          <w:szCs w:val="32"/>
        </w:rPr>
        <w:t>效益性：受益贫困户数</w:t>
      </w:r>
      <w:r>
        <w:rPr>
          <w:rStyle w:val="19"/>
          <w:rFonts w:hint="eastAsia" w:ascii="仿宋" w:hAnsi="仿宋" w:eastAsia="仿宋"/>
          <w:b w:val="0"/>
          <w:color w:val="auto"/>
          <w:spacing w:val="-4"/>
          <w:sz w:val="32"/>
          <w:szCs w:val="32"/>
          <w:lang w:val="en-US" w:eastAsia="zh-CN"/>
        </w:rPr>
        <w:t>2215户，提前预防疾病的发生的可能性有所提升。</w:t>
      </w:r>
    </w:p>
    <w:p>
      <w:pPr>
        <w:adjustRightInd w:val="0"/>
        <w:snapToGrid w:val="0"/>
        <w:spacing w:line="560" w:lineRule="exact"/>
        <w:ind w:firstLine="627" w:firstLineChars="200"/>
        <w:outlineLvl w:val="0"/>
        <w:rPr>
          <w:rFonts w:ascii="楷体" w:hAnsi="楷体" w:eastAsia="楷体"/>
          <w:b/>
          <w:color w:val="auto"/>
          <w:spacing w:val="-4"/>
          <w:sz w:val="32"/>
          <w:szCs w:val="32"/>
        </w:rPr>
      </w:pPr>
      <w:r>
        <w:rPr>
          <w:rFonts w:hint="eastAsia" w:ascii="楷体" w:hAnsi="楷体" w:eastAsia="楷体"/>
          <w:b/>
          <w:color w:val="auto"/>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color w:val="auto"/>
          <w:spacing w:val="-4"/>
          <w:sz w:val="32"/>
          <w:szCs w:val="32"/>
        </w:rPr>
        <w:t>201</w:t>
      </w:r>
      <w:r>
        <w:rPr>
          <w:rFonts w:hint="eastAsia" w:ascii="仿宋" w:hAnsi="仿宋" w:eastAsia="仿宋"/>
          <w:color w:val="auto"/>
          <w:spacing w:val="-4"/>
          <w:sz w:val="32"/>
          <w:szCs w:val="32"/>
          <w:lang w:val="en-US" w:eastAsia="zh-CN"/>
        </w:rPr>
        <w:t>8</w:t>
      </w:r>
      <w:r>
        <w:rPr>
          <w:rFonts w:hint="eastAsia" w:ascii="仿宋" w:hAnsi="仿宋" w:eastAsia="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hint="eastAsia" w:ascii="仿宋" w:hAnsi="仿宋" w:eastAsia="仿宋"/>
          <w:b w:val="0"/>
          <w:bCs/>
          <w:color w:val="auto"/>
          <w:spacing w:val="-4"/>
          <w:sz w:val="32"/>
          <w:szCs w:val="32"/>
          <w:lang w:eastAsia="zh-CN"/>
        </w:rPr>
      </w:pPr>
      <w:r>
        <w:rPr>
          <w:rFonts w:hint="eastAsia" w:ascii="仿宋" w:hAnsi="仿宋" w:eastAsia="仿宋"/>
          <w:b w:val="0"/>
          <w:bCs/>
          <w:color w:val="auto"/>
          <w:spacing w:val="-4"/>
          <w:sz w:val="32"/>
          <w:szCs w:val="32"/>
          <w:lang w:eastAsia="zh-CN"/>
        </w:rPr>
        <w:t>无。</w:t>
      </w:r>
    </w:p>
    <w:p>
      <w:pPr>
        <w:adjustRightInd w:val="0"/>
        <w:snapToGrid w:val="0"/>
        <w:spacing w:line="560" w:lineRule="exact"/>
        <w:ind w:firstLine="627" w:firstLineChars="200"/>
        <w:outlineLvl w:val="0"/>
        <w:rPr>
          <w:rFonts w:ascii="仿宋" w:hAnsi="仿宋" w:eastAsia="仿宋"/>
          <w:bCs/>
          <w:color w:val="FF0000"/>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hint="eastAsia" w:eastAsia="仿宋"/>
          <w:b w:val="0"/>
          <w:bCs w:val="0"/>
          <w:sz w:val="32"/>
          <w:szCs w:val="32"/>
          <w:highlight w:val="none"/>
          <w:lang w:eastAsia="zh-CN"/>
        </w:rPr>
      </w:pPr>
      <w:r>
        <w:rPr>
          <w:rFonts w:hint="eastAsia" w:ascii="仿宋" w:hAnsi="仿宋" w:eastAsia="仿宋"/>
          <w:bCs/>
          <w:spacing w:val="-4"/>
          <w:sz w:val="32"/>
          <w:szCs w:val="32"/>
        </w:rPr>
        <w:t>1、主要经验及做法</w:t>
      </w:r>
      <w:r>
        <w:rPr>
          <w:rFonts w:hint="eastAsia" w:ascii="仿宋" w:hAnsi="仿宋" w:eastAsia="仿宋"/>
          <w:bCs/>
          <w:spacing w:val="-4"/>
          <w:sz w:val="32"/>
          <w:szCs w:val="32"/>
          <w:lang w:val="en-US" w:eastAsia="zh-CN"/>
        </w:rPr>
        <w:t>:</w:t>
      </w:r>
      <w:r>
        <w:rPr>
          <w:rFonts w:hint="eastAsia" w:ascii="仿宋" w:hAnsi="仿宋" w:eastAsia="仿宋"/>
          <w:b w:val="0"/>
          <w:bCs w:val="0"/>
          <w:spacing w:val="-4"/>
          <w:sz w:val="32"/>
          <w:szCs w:val="32"/>
          <w:highlight w:val="none"/>
          <w:lang w:eastAsia="zh-CN"/>
        </w:rPr>
        <w:t>无。</w:t>
      </w:r>
    </w:p>
    <w:p>
      <w:pPr>
        <w:numPr>
          <w:ilvl w:val="0"/>
          <w:numId w:val="3"/>
        </w:numPr>
        <w:adjustRightInd w:val="0"/>
        <w:snapToGrid w:val="0"/>
        <w:spacing w:line="560" w:lineRule="exact"/>
        <w:ind w:firstLine="624" w:firstLineChars="200"/>
        <w:rPr>
          <w:rFonts w:hint="eastAsia" w:eastAsia="仿宋"/>
          <w:b w:val="0"/>
          <w:bCs w:val="0"/>
          <w:sz w:val="32"/>
          <w:szCs w:val="32"/>
          <w:lang w:eastAsia="zh-CN"/>
        </w:rPr>
      </w:pPr>
      <w:r>
        <w:rPr>
          <w:rFonts w:hint="eastAsia" w:ascii="仿宋" w:hAnsi="仿宋" w:eastAsia="仿宋"/>
          <w:bCs/>
          <w:spacing w:val="-4"/>
          <w:sz w:val="32"/>
          <w:szCs w:val="32"/>
        </w:rPr>
        <w:t>存在的问题</w:t>
      </w:r>
      <w:r>
        <w:rPr>
          <w:rFonts w:hint="eastAsia" w:ascii="仿宋" w:hAnsi="仿宋" w:eastAsia="仿宋"/>
          <w:bCs/>
          <w:spacing w:val="-4"/>
          <w:sz w:val="32"/>
          <w:szCs w:val="32"/>
          <w:lang w:val="en-US" w:eastAsia="zh-CN"/>
        </w:rPr>
        <w:t>:</w:t>
      </w:r>
      <w:r>
        <w:rPr>
          <w:rFonts w:hint="eastAsia" w:ascii="仿宋" w:hAnsi="仿宋" w:eastAsia="仿宋"/>
          <w:b w:val="0"/>
          <w:bCs w:val="0"/>
          <w:spacing w:val="-4"/>
          <w:sz w:val="32"/>
          <w:szCs w:val="32"/>
          <w:lang w:eastAsia="zh-CN"/>
        </w:rPr>
        <w:t>无。</w:t>
      </w:r>
    </w:p>
    <w:p>
      <w:pPr>
        <w:numPr>
          <w:ilvl w:val="0"/>
          <w:numId w:val="3"/>
        </w:numPr>
        <w:adjustRightInd w:val="0"/>
        <w:snapToGrid w:val="0"/>
        <w:spacing w:line="560" w:lineRule="exact"/>
        <w:ind w:left="0" w:leftChars="0" w:firstLine="624" w:firstLineChars="200"/>
        <w:rPr>
          <w:rFonts w:hint="eastAsia" w:eastAsia="仿宋"/>
          <w:b w:val="0"/>
          <w:bCs w:val="0"/>
          <w:sz w:val="32"/>
          <w:szCs w:val="32"/>
          <w:lang w:eastAsia="zh-CN"/>
        </w:rPr>
      </w:pPr>
      <w:r>
        <w:rPr>
          <w:rFonts w:hint="eastAsia" w:ascii="仿宋" w:hAnsi="仿宋" w:eastAsia="仿宋"/>
          <w:bCs/>
          <w:spacing w:val="-4"/>
          <w:sz w:val="32"/>
          <w:szCs w:val="32"/>
        </w:rPr>
        <w:t>建议</w:t>
      </w:r>
      <w:r>
        <w:rPr>
          <w:rFonts w:hint="eastAsia" w:ascii="仿宋" w:hAnsi="仿宋" w:eastAsia="仿宋"/>
          <w:bCs/>
          <w:spacing w:val="-4"/>
          <w:sz w:val="32"/>
          <w:szCs w:val="32"/>
          <w:lang w:val="en-US" w:eastAsia="zh-CN"/>
        </w:rPr>
        <w:t>:</w:t>
      </w:r>
      <w:r>
        <w:rPr>
          <w:rFonts w:hint="eastAsia" w:ascii="仿宋" w:hAnsi="仿宋" w:eastAsia="仿宋"/>
          <w:b w:val="0"/>
          <w:bCs w:val="0"/>
          <w:spacing w:val="-4"/>
          <w:sz w:val="32"/>
          <w:szCs w:val="32"/>
          <w:lang w:eastAsia="zh-CN"/>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color w:val="auto"/>
          <w:spacing w:val="-4"/>
          <w:sz w:val="32"/>
          <w:szCs w:val="32"/>
        </w:rPr>
      </w:pPr>
      <w:r>
        <w:rPr>
          <w:rFonts w:hint="eastAsia" w:ascii="仿宋" w:hAnsi="仿宋" w:eastAsia="仿宋"/>
          <w:color w:val="auto"/>
          <w:spacing w:val="-4"/>
          <w:sz w:val="32"/>
          <w:szCs w:val="32"/>
        </w:rPr>
        <w:t>无其他说明内容。</w:t>
      </w:r>
      <w:bookmarkStart w:id="0" w:name="_GoBack"/>
      <w:bookmarkEnd w:id="0"/>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pStyle w:val="49"/>
        <w:spacing w:line="700" w:lineRule="exact"/>
        <w:ind w:firstLine="624" w:firstLineChars="200"/>
        <w:jc w:val="left"/>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kern w:val="0"/>
          <w:sz w:val="32"/>
          <w:szCs w:val="32"/>
          <w:lang w:val="zh-TW" w:eastAsia="zh-TW"/>
        </w:rPr>
        <w:t>塔什库尔干县阿巴提镇等十二个乡镇场全民健康体检中心建设项目</w:t>
      </w:r>
      <w:r>
        <w:rPr>
          <w:rFonts w:hint="eastAsia" w:ascii="仿宋" w:hAnsi="仿宋" w:eastAsia="仿宋" w:cs="仿宋"/>
          <w:color w:val="auto"/>
          <w:spacing w:val="-4"/>
          <w:sz w:val="32"/>
          <w:szCs w:val="32"/>
        </w:rPr>
        <w:t>的使用效率和效果，项目管理过程规范，完成了预期绩效目标等。同时，通过开展自我评价来总结经验和教训</w:t>
      </w:r>
      <w:r>
        <w:rPr>
          <w:rFonts w:hint="eastAsia" w:ascii="仿宋" w:hAnsi="仿宋" w:eastAsia="仿宋" w:cs="仿宋"/>
          <w:color w:val="auto"/>
          <w:spacing w:val="-4"/>
          <w:sz w:val="32"/>
          <w:szCs w:val="32"/>
          <w:lang w:eastAsia="zh-CN"/>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9"/>
          <w:rFonts w:ascii="仿宋" w:hAnsi="仿宋" w:eastAsia="仿宋"/>
          <w:spacing w:val="-4"/>
          <w:sz w:val="32"/>
          <w:szCs w:val="32"/>
        </w:rPr>
      </w:pPr>
    </w:p>
    <w:p>
      <w:pPr>
        <w:adjustRightInd w:val="0"/>
        <w:snapToGrid w:val="0"/>
        <w:spacing w:line="560" w:lineRule="exact"/>
        <w:rPr>
          <w:rStyle w:val="19"/>
          <w:rFonts w:hint="eastAsia" w:ascii="仿宋" w:hAnsi="仿宋" w:eastAsia="仿宋"/>
          <w:color w:val="FF000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9F21"/>
    <w:multiLevelType w:val="singleLevel"/>
    <w:tmpl w:val="05D79F21"/>
    <w:lvl w:ilvl="0" w:tentative="0">
      <w:start w:val="2"/>
      <w:numFmt w:val="decimal"/>
      <w:suff w:val="nothing"/>
      <w:lvlText w:val="%1、"/>
      <w:lvlJc w:val="left"/>
    </w:lvl>
  </w:abstractNum>
  <w:abstractNum w:abstractNumId="1">
    <w:nsid w:val="29627D47"/>
    <w:multiLevelType w:val="singleLevel"/>
    <w:tmpl w:val="29627D47"/>
    <w:lvl w:ilvl="0" w:tentative="0">
      <w:start w:val="3"/>
      <w:numFmt w:val="decimal"/>
      <w:suff w:val="nothing"/>
      <w:lvlText w:val="%1、"/>
      <w:lvlJc w:val="left"/>
    </w:lvl>
  </w:abstractNum>
  <w:abstractNum w:abstractNumId="2">
    <w:nsid w:val="5BAB5F04"/>
    <w:multiLevelType w:val="singleLevel"/>
    <w:tmpl w:val="5BAB5F04"/>
    <w:lvl w:ilvl="0" w:tentative="0">
      <w:start w:val="3"/>
      <w:numFmt w:val="chineseCounting"/>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91B069A"/>
    <w:rsid w:val="0AB56CE2"/>
    <w:rsid w:val="0EB107EC"/>
    <w:rsid w:val="10EF0599"/>
    <w:rsid w:val="11850557"/>
    <w:rsid w:val="12B80FD8"/>
    <w:rsid w:val="1D66059D"/>
    <w:rsid w:val="21454B50"/>
    <w:rsid w:val="275833BE"/>
    <w:rsid w:val="2B210B92"/>
    <w:rsid w:val="37ED1DDA"/>
    <w:rsid w:val="397F4FE8"/>
    <w:rsid w:val="3AFC1217"/>
    <w:rsid w:val="3BB46750"/>
    <w:rsid w:val="3DC618C7"/>
    <w:rsid w:val="4BC81A5B"/>
    <w:rsid w:val="4EFD6A38"/>
    <w:rsid w:val="55D56ED2"/>
    <w:rsid w:val="566E5CF1"/>
    <w:rsid w:val="5A7F02EA"/>
    <w:rsid w:val="602F5373"/>
    <w:rsid w:val="696361B6"/>
    <w:rsid w:val="6C406523"/>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Plain Text"/>
    <w:basedOn w:val="1"/>
    <w:unhideWhenUsed/>
    <w:uiPriority w:val="99"/>
    <w:rPr>
      <w:rFonts w:ascii="宋体" w:cs="Courier New"/>
    </w:r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6"/>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8"/>
    <w:qFormat/>
    <w:uiPriority w:val="21"/>
    <w:rPr>
      <w:b/>
      <w:i/>
      <w:sz w:val="24"/>
      <w:szCs w:val="24"/>
      <w:u w:val="single"/>
    </w:rPr>
  </w:style>
  <w:style w:type="character" w:customStyle="1" w:styleId="41">
    <w:name w:val="Subtle Reference"/>
    <w:basedOn w:val="18"/>
    <w:qFormat/>
    <w:uiPriority w:val="31"/>
    <w:rPr>
      <w:sz w:val="24"/>
      <w:szCs w:val="24"/>
      <w:u w:val="single"/>
    </w:rPr>
  </w:style>
  <w:style w:type="character" w:customStyle="1" w:styleId="42">
    <w:name w:val="Intense Reference"/>
    <w:basedOn w:val="18"/>
    <w:qFormat/>
    <w:uiPriority w:val="32"/>
    <w:rPr>
      <w:b/>
      <w:sz w:val="24"/>
      <w:u w:val="single"/>
    </w:rPr>
  </w:style>
  <w:style w:type="character" w:customStyle="1" w:styleId="43">
    <w:name w:val="Book Title"/>
    <w:basedOn w:val="18"/>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8"/>
    <w:link w:val="15"/>
    <w:qFormat/>
    <w:uiPriority w:val="99"/>
    <w:rPr>
      <w:rFonts w:ascii="Calibri" w:hAnsi="Calibri" w:eastAsia="宋体"/>
      <w:kern w:val="2"/>
      <w:sz w:val="18"/>
      <w:szCs w:val="18"/>
    </w:rPr>
  </w:style>
  <w:style w:type="character" w:customStyle="1" w:styleId="46">
    <w:name w:val="页脚 Char"/>
    <w:basedOn w:val="18"/>
    <w:link w:val="14"/>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8"/>
    <w:qFormat/>
    <w:uiPriority w:val="0"/>
    <w:rPr>
      <w:rFonts w:hint="default" w:ascii="Times New Roman" w:hAnsi="Times New Roman" w:cs="Times New Roman"/>
      <w:color w:val="000000"/>
      <w:sz w:val="24"/>
      <w:szCs w:val="24"/>
      <w:u w:val="none"/>
    </w:rPr>
  </w:style>
  <w:style w:type="character" w:customStyle="1" w:styleId="51">
    <w:name w:val="font01"/>
    <w:basedOn w:val="18"/>
    <w:qFormat/>
    <w:uiPriority w:val="0"/>
    <w:rPr>
      <w:rFonts w:hint="eastAsia" w:ascii="宋体" w:hAnsi="宋体" w:eastAsia="宋体" w:cs="宋体"/>
      <w:color w:val="000000"/>
      <w:sz w:val="24"/>
      <w:szCs w:val="24"/>
      <w:u w:val="none"/>
    </w:rPr>
  </w:style>
  <w:style w:type="character" w:customStyle="1" w:styleId="52">
    <w:name w:val="font1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ScaleCrop>false</ScaleCrop>
  <LinksUpToDate>false</LinksUpToDate>
  <CharactersWithSpaces>1916</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2019-09-25T10:19:38Z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