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both"/>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8"/>
        <w:spacing w:line="540" w:lineRule="exact"/>
        <w:jc w:val="center"/>
        <w:rPr>
          <w:rFonts w:ascii="华文中宋" w:hAnsi="华文中宋" w:eastAsia="华文中宋" w:cs="华文中宋"/>
          <w:b/>
          <w:bCs/>
          <w:kern w:val="0"/>
          <w:sz w:val="52"/>
          <w:szCs w:val="52"/>
        </w:rPr>
      </w:pPr>
    </w:p>
    <w:p>
      <w:pPr>
        <w:pStyle w:val="48"/>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jc w:val="center"/>
        <w:rPr>
          <w:kern w:val="0"/>
          <w:sz w:val="30"/>
          <w:szCs w:val="30"/>
        </w:rPr>
      </w:pPr>
    </w:p>
    <w:p>
      <w:pPr>
        <w:pStyle w:val="48"/>
        <w:spacing w:line="540" w:lineRule="exact"/>
        <w:rPr>
          <w:kern w:val="0"/>
          <w:sz w:val="30"/>
          <w:szCs w:val="30"/>
        </w:rPr>
      </w:pPr>
    </w:p>
    <w:p>
      <w:pPr>
        <w:pStyle w:val="48"/>
        <w:spacing w:line="700" w:lineRule="exact"/>
        <w:ind w:firstLine="720" w:firstLineChars="200"/>
        <w:jc w:val="left"/>
        <w:rPr>
          <w:rFonts w:hint="eastAsia" w:ascii="仿宋_GB2312" w:hAnsi="仿宋_GB2312" w:eastAsia="仿宋_GB2312" w:cs="仿宋_GB2312"/>
          <w:kern w:val="0"/>
          <w:sz w:val="36"/>
          <w:szCs w:val="36"/>
          <w:lang w:val="en-US" w:eastAsia="zh-CN"/>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en-US" w:eastAsia="zh-CN"/>
        </w:rPr>
        <w:t>塔什库尔干县疾病预防控制中心建设项目</w:t>
      </w:r>
    </w:p>
    <w:p>
      <w:pPr>
        <w:pStyle w:val="48"/>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en-US" w:eastAsia="zh-CN"/>
        </w:rPr>
        <w:t>塔什库尔干县卫生和计划生育委员会</w:t>
      </w:r>
    </w:p>
    <w:p>
      <w:pPr>
        <w:pStyle w:val="48"/>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en-US" w:eastAsia="zh-CN"/>
        </w:rPr>
        <w:t>塔什库尔干县财政局</w:t>
      </w:r>
    </w:p>
    <w:p>
      <w:pPr>
        <w:pStyle w:val="48"/>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en-US" w:eastAsia="zh-CN"/>
        </w:rPr>
        <w:t>李世兵</w:t>
      </w:r>
    </w:p>
    <w:p>
      <w:pPr>
        <w:pStyle w:val="48"/>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30</w:t>
      </w:r>
      <w:r>
        <w:rPr>
          <w:rFonts w:ascii="仿宋_GB2312" w:hAnsi="仿宋_GB2312" w:eastAsia="仿宋_GB2312" w:cs="仿宋_GB2312"/>
          <w:kern w:val="0"/>
          <w:sz w:val="36"/>
          <w:szCs w:val="36"/>
          <w:lang w:val="zh-TW" w:eastAsia="zh-TW"/>
        </w:rPr>
        <w:t>日</w:t>
      </w:r>
    </w:p>
    <w:p>
      <w:pPr>
        <w:pStyle w:val="48"/>
        <w:spacing w:line="700" w:lineRule="exact"/>
        <w:ind w:firstLine="624" w:firstLineChars="200"/>
        <w:jc w:val="left"/>
        <w:rPr>
          <w:rStyle w:val="18"/>
          <w:rFonts w:hint="eastAsia" w:ascii="黑体" w:hAnsi="黑体" w:eastAsia="黑体"/>
          <w:b w:val="0"/>
          <w:spacing w:val="-4"/>
          <w:sz w:val="32"/>
          <w:szCs w:val="32"/>
        </w:rPr>
      </w:pPr>
    </w:p>
    <w:p>
      <w:pPr>
        <w:pStyle w:val="48"/>
        <w:spacing w:line="700" w:lineRule="exact"/>
        <w:ind w:firstLine="624" w:firstLineChars="200"/>
        <w:jc w:val="left"/>
        <w:rPr>
          <w:rStyle w:val="18"/>
          <w:rFonts w:hint="eastAsia" w:ascii="黑体" w:hAnsi="黑体" w:eastAsia="黑体"/>
          <w:b w:val="0"/>
          <w:spacing w:val="-4"/>
          <w:sz w:val="32"/>
          <w:szCs w:val="32"/>
        </w:rPr>
      </w:pPr>
    </w:p>
    <w:p>
      <w:pPr>
        <w:pStyle w:val="48"/>
        <w:spacing w:line="700" w:lineRule="exact"/>
        <w:ind w:firstLine="624" w:firstLineChars="200"/>
        <w:jc w:val="left"/>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pPr>
        <w:ind w:firstLine="560"/>
        <w:rPr>
          <w:rFonts w:hint="eastAsia" w:ascii="仿宋" w:hAnsi="仿宋" w:eastAsia="仿宋" w:cs="仿宋"/>
          <w:sz w:val="32"/>
          <w:szCs w:val="32"/>
        </w:rPr>
      </w:pPr>
      <w:r>
        <w:rPr>
          <w:rFonts w:hint="eastAsia" w:ascii="仿宋" w:hAnsi="仿宋" w:eastAsia="仿宋" w:cs="仿宋"/>
          <w:sz w:val="32"/>
          <w:szCs w:val="32"/>
        </w:rPr>
        <w:t>塔什库尔干县疾病预防控制中心项目建设单位为</w:t>
      </w:r>
      <w:r>
        <w:rPr>
          <w:rFonts w:hint="eastAsia" w:ascii="仿宋" w:hAnsi="仿宋" w:eastAsia="仿宋" w:cs="仿宋"/>
          <w:sz w:val="32"/>
          <w:szCs w:val="32"/>
          <w:lang w:val="en-US" w:eastAsia="zh-CN"/>
        </w:rPr>
        <w:t>塔什库尔干县卫生和计划生育委员会</w:t>
      </w:r>
      <w:r>
        <w:rPr>
          <w:rFonts w:hint="eastAsia" w:ascii="仿宋" w:hAnsi="仿宋" w:eastAsia="仿宋" w:cs="仿宋"/>
          <w:sz w:val="32"/>
          <w:szCs w:val="32"/>
        </w:rPr>
        <w:t>，机构规格为科级，人员编制为12名。目前在职职工12人。其中大学学历8名，中专学历4名。</w:t>
      </w:r>
    </w:p>
    <w:p>
      <w:pPr>
        <w:ind w:firstLine="560"/>
        <w:rPr>
          <w:rFonts w:hint="eastAsia" w:ascii="仿宋" w:hAnsi="仿宋" w:eastAsia="仿宋" w:cs="仿宋"/>
          <w:sz w:val="32"/>
          <w:szCs w:val="32"/>
        </w:rPr>
      </w:pPr>
      <w:r>
        <w:rPr>
          <w:rFonts w:hint="eastAsia" w:ascii="仿宋" w:hAnsi="仿宋" w:eastAsia="仿宋" w:cs="仿宋"/>
          <w:sz w:val="32"/>
          <w:szCs w:val="32"/>
        </w:rPr>
        <w:t>主要职能为：贯彻执行国家关于卫生工作的法律、法规和方针、政策，推进医药卫生体制改革</w:t>
      </w:r>
      <w:r>
        <w:rPr>
          <w:rFonts w:hint="eastAsia" w:ascii="仿宋" w:hAnsi="仿宋" w:eastAsia="仿宋" w:cs="仿宋"/>
          <w:sz w:val="32"/>
          <w:szCs w:val="32"/>
          <w:lang w:eastAsia="zh-CN"/>
        </w:rPr>
        <w:t>。</w:t>
      </w:r>
      <w:r>
        <w:rPr>
          <w:rFonts w:hint="eastAsia" w:ascii="仿宋" w:hAnsi="仿宋" w:eastAsia="仿宋" w:cs="仿宋"/>
          <w:sz w:val="32"/>
          <w:szCs w:val="32"/>
        </w:rPr>
        <w:t>协调有关部门对重大疾病实施防控与干预，负责卫生应急工作，制定卫生应急预案与政策措施，负责突发公共卫生事件监测预警和风险评估，指导实施突发公共卫生事件预防控制与应急处置，发布突发公共卫生事件应急处置信息</w:t>
      </w:r>
      <w:r>
        <w:rPr>
          <w:rFonts w:hint="eastAsia" w:ascii="仿宋" w:hAnsi="仿宋" w:eastAsia="仿宋" w:cs="仿宋"/>
          <w:sz w:val="32"/>
          <w:szCs w:val="32"/>
          <w:lang w:eastAsia="zh-CN"/>
        </w:rPr>
        <w:t>。</w:t>
      </w:r>
      <w:r>
        <w:rPr>
          <w:rFonts w:hint="eastAsia" w:ascii="仿宋" w:hAnsi="仿宋" w:eastAsia="仿宋" w:cs="仿宋"/>
          <w:sz w:val="32"/>
          <w:szCs w:val="32"/>
        </w:rPr>
        <w:t>承担县政府地方病防治领导小组、县政府艾滋病防治工作委员会和县爱国卫生运动委员会的具体工作，承办县政府交办的其他事项。</w:t>
      </w:r>
    </w:p>
    <w:p>
      <w:pPr>
        <w:ind w:firstLine="560"/>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ind w:firstLine="560"/>
        <w:rPr>
          <w:rFonts w:ascii="仿宋" w:hAnsi="仿宋" w:eastAsia="仿宋"/>
          <w:bCs/>
          <w:color w:val="FF0000"/>
          <w:spacing w:val="-4"/>
          <w:sz w:val="32"/>
          <w:szCs w:val="32"/>
        </w:rPr>
      </w:pPr>
      <w:r>
        <w:rPr>
          <w:rFonts w:hint="eastAsia" w:ascii="仿宋" w:hAnsi="仿宋" w:eastAsia="仿宋" w:cs="仿宋"/>
          <w:sz w:val="32"/>
          <w:szCs w:val="32"/>
        </w:rPr>
        <w:t>该项目建成后，塔县将建立起较高水平的检验检测中心，成为全县卫生监督和疾病控制工作的重要基地，为塔县的疾病预防控制事业的发展提供良好的发展环境，充分发挥疾病预防控制专业机构的技术和人才优势，提高卫生检验监测、疾病控制水平，更好地满足人民需求，推动社会发展，更好地承担全县疾病预防控制、卫生监督的检验检测工作。增强对重大疫情、中毒等突发公共卫生事件调查处理能力和对生化恐怖事件的应对能力，更好的满足人民防病灭病的需求，推动社会发展。</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val="en-US" w:eastAsia="zh-CN"/>
        </w:rPr>
      </w:pPr>
      <w:r>
        <w:rPr>
          <w:rFonts w:hint="eastAsia" w:ascii="仿宋" w:hAnsi="仿宋" w:eastAsia="仿宋"/>
          <w:bCs/>
          <w:color w:val="auto"/>
          <w:spacing w:val="-4"/>
          <w:sz w:val="32"/>
          <w:szCs w:val="32"/>
        </w:rPr>
        <w:t>本项目性质为</w:t>
      </w:r>
      <w:r>
        <w:rPr>
          <w:rFonts w:hint="eastAsia" w:ascii="仿宋" w:hAnsi="仿宋" w:eastAsia="仿宋"/>
          <w:bCs/>
          <w:color w:val="auto"/>
          <w:spacing w:val="-4"/>
          <w:sz w:val="32"/>
          <w:szCs w:val="32"/>
          <w:lang w:val="en-US" w:eastAsia="zh-CN"/>
        </w:rPr>
        <w:t>新建项目。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40" w:firstLineChars="200"/>
        <w:outlineLvl w:val="0"/>
        <w:rPr>
          <w:rFonts w:hint="eastAsia" w:ascii="仿宋" w:hAnsi="仿宋" w:eastAsia="仿宋" w:cs="仿宋"/>
          <w:sz w:val="32"/>
          <w:szCs w:val="32"/>
          <w:lang w:eastAsia="zh-CN"/>
        </w:rPr>
      </w:pPr>
      <w:r>
        <w:rPr>
          <w:rFonts w:hint="eastAsia" w:ascii="仿宋" w:hAnsi="仿宋" w:eastAsia="仿宋" w:cs="仿宋"/>
          <w:sz w:val="32"/>
          <w:szCs w:val="32"/>
        </w:rPr>
        <w:t>通过本项目的建设，可以完善塔县疾病防控工作，提高实验室分析能力及科研水平，提高疾病预防控制能力，加强健康危害因素的监测和干预，保证正常的医疗秩序和维护社会</w:t>
      </w:r>
      <w:r>
        <w:rPr>
          <w:rFonts w:hint="eastAsia" w:ascii="仿宋" w:hAnsi="仿宋" w:eastAsia="仿宋" w:cs="仿宋"/>
          <w:sz w:val="32"/>
          <w:szCs w:val="32"/>
          <w:lang w:val="en-US" w:eastAsia="zh-CN"/>
        </w:rPr>
        <w:t>和谐</w:t>
      </w:r>
      <w:r>
        <w:rPr>
          <w:rFonts w:hint="eastAsia" w:ascii="仿宋" w:hAnsi="仿宋" w:eastAsia="仿宋" w:cs="仿宋"/>
          <w:sz w:val="32"/>
          <w:szCs w:val="32"/>
        </w:rPr>
        <w:t>，对建设和谐社会具有重要意义</w:t>
      </w:r>
      <w:r>
        <w:rPr>
          <w:rFonts w:hint="eastAsia" w:ascii="仿宋" w:hAnsi="仿宋" w:eastAsia="仿宋" w:cs="仿宋"/>
          <w:sz w:val="32"/>
          <w:szCs w:val="32"/>
          <w:lang w:eastAsia="zh-CN"/>
        </w:rPr>
        <w:t>。</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lang w:val="en-US" w:eastAsia="zh-CN"/>
        </w:rPr>
        <w:t>塔什库尔干县疾病预防控制中心建设</w:t>
      </w:r>
      <w:r>
        <w:rPr>
          <w:rFonts w:hint="eastAsia" w:ascii="仿宋" w:hAnsi="仿宋" w:eastAsia="仿宋" w:cs="仿宋"/>
          <w:sz w:val="32"/>
          <w:szCs w:val="32"/>
        </w:rPr>
        <w:t>项目预算安排总额为</w:t>
      </w:r>
      <w:r>
        <w:rPr>
          <w:rFonts w:hint="eastAsia" w:ascii="仿宋" w:hAnsi="仿宋" w:eastAsia="仿宋" w:cs="仿宋"/>
          <w:sz w:val="32"/>
          <w:szCs w:val="32"/>
          <w:lang w:val="en-US" w:eastAsia="zh-CN"/>
        </w:rPr>
        <w:t>300</w:t>
      </w:r>
      <w:r>
        <w:rPr>
          <w:rFonts w:hint="eastAsia" w:ascii="仿宋" w:hAnsi="仿宋" w:eastAsia="仿宋" w:cs="仿宋"/>
          <w:sz w:val="32"/>
          <w:szCs w:val="32"/>
        </w:rPr>
        <w:t>万元，其中财政资金</w:t>
      </w:r>
      <w:r>
        <w:rPr>
          <w:rFonts w:hint="eastAsia" w:ascii="仿宋" w:hAnsi="仿宋" w:eastAsia="仿宋" w:cs="仿宋"/>
          <w:sz w:val="32"/>
          <w:szCs w:val="32"/>
          <w:lang w:val="en-US" w:eastAsia="zh-CN"/>
        </w:rPr>
        <w:t>300</w:t>
      </w:r>
      <w:r>
        <w:rPr>
          <w:rFonts w:hint="eastAsia" w:ascii="仿宋" w:hAnsi="仿宋" w:eastAsia="仿宋" w:cs="仿宋"/>
          <w:sz w:val="32"/>
          <w:szCs w:val="32"/>
        </w:rPr>
        <w:t>万元，2018年实际收到预算资金</w:t>
      </w:r>
      <w:r>
        <w:rPr>
          <w:rFonts w:hint="eastAsia" w:ascii="仿宋" w:hAnsi="仿宋" w:eastAsia="仿宋" w:cs="仿宋"/>
          <w:sz w:val="32"/>
          <w:szCs w:val="32"/>
          <w:lang w:val="en-US" w:eastAsia="zh-CN"/>
        </w:rPr>
        <w:t>300</w:t>
      </w:r>
      <w:r>
        <w:rPr>
          <w:rFonts w:hint="eastAsia" w:ascii="仿宋" w:hAnsi="仿宋" w:eastAsia="仿宋" w:cs="仿宋"/>
          <w:sz w:val="32"/>
          <w:szCs w:val="32"/>
        </w:rPr>
        <w:t>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bCs/>
          <w:color w:val="auto"/>
          <w:spacing w:val="-4"/>
          <w:sz w:val="32"/>
          <w:szCs w:val="32"/>
          <w:lang w:val="en-US" w:eastAsia="zh-CN"/>
        </w:rPr>
      </w:pPr>
      <w:r>
        <w:rPr>
          <w:rFonts w:hint="eastAsia" w:ascii="仿宋" w:hAnsi="仿宋" w:eastAsia="仿宋"/>
          <w:bCs/>
          <w:color w:val="auto"/>
          <w:spacing w:val="-4"/>
          <w:sz w:val="32"/>
          <w:szCs w:val="32"/>
        </w:rPr>
        <w:t>本项目实际支付资金</w:t>
      </w:r>
      <w:r>
        <w:rPr>
          <w:rFonts w:hint="eastAsia" w:ascii="仿宋" w:hAnsi="仿宋" w:eastAsia="仿宋"/>
          <w:bCs/>
          <w:color w:val="auto"/>
          <w:spacing w:val="-4"/>
          <w:sz w:val="32"/>
          <w:szCs w:val="32"/>
          <w:lang w:val="en-US" w:eastAsia="zh-CN"/>
        </w:rPr>
        <w:t>300</w:t>
      </w:r>
      <w:r>
        <w:rPr>
          <w:rFonts w:hint="eastAsia" w:ascii="仿宋" w:hAnsi="仿宋" w:eastAsia="仿宋"/>
          <w:bCs/>
          <w:color w:val="auto"/>
          <w:spacing w:val="-4"/>
          <w:sz w:val="32"/>
          <w:szCs w:val="32"/>
        </w:rPr>
        <w:t>万元，预算执行率</w:t>
      </w:r>
      <w:r>
        <w:rPr>
          <w:rFonts w:hint="eastAsia" w:ascii="仿宋" w:hAnsi="仿宋" w:eastAsia="仿宋"/>
          <w:bCs/>
          <w:color w:val="auto"/>
          <w:spacing w:val="-4"/>
          <w:sz w:val="32"/>
          <w:szCs w:val="32"/>
          <w:lang w:val="en-US" w:eastAsia="zh-CN"/>
        </w:rPr>
        <w:t>100</w:t>
      </w:r>
      <w:r>
        <w:rPr>
          <w:rFonts w:ascii="仿宋" w:hAnsi="仿宋" w:eastAsia="仿宋"/>
          <w:bCs/>
          <w:color w:val="auto"/>
          <w:spacing w:val="-4"/>
          <w:sz w:val="32"/>
          <w:szCs w:val="32"/>
        </w:rPr>
        <w:t>%</w:t>
      </w:r>
      <w:r>
        <w:rPr>
          <w:rFonts w:hint="eastAsia" w:ascii="仿宋" w:hAnsi="仿宋" w:eastAsia="仿宋"/>
          <w:bCs/>
          <w:color w:val="auto"/>
          <w:spacing w:val="-4"/>
          <w:sz w:val="32"/>
          <w:szCs w:val="32"/>
        </w:rPr>
        <w:t>。项目资金主要用于支付</w:t>
      </w:r>
      <w:r>
        <w:rPr>
          <w:rFonts w:hint="eastAsia" w:ascii="仿宋" w:hAnsi="仿宋" w:eastAsia="仿宋"/>
          <w:bCs/>
          <w:color w:val="auto"/>
          <w:spacing w:val="-4"/>
          <w:sz w:val="32"/>
          <w:szCs w:val="32"/>
          <w:lang w:val="en-US" w:eastAsia="zh-CN"/>
        </w:rPr>
        <w:t>建设</w:t>
      </w:r>
      <w:r>
        <w:rPr>
          <w:rFonts w:hint="eastAsia" w:ascii="仿宋" w:hAnsi="仿宋" w:eastAsia="仿宋"/>
          <w:bCs/>
          <w:color w:val="auto"/>
          <w:spacing w:val="-4"/>
          <w:sz w:val="32"/>
          <w:szCs w:val="32"/>
        </w:rPr>
        <w:t>费用</w:t>
      </w:r>
      <w:r>
        <w:rPr>
          <w:rFonts w:hint="eastAsia" w:ascii="仿宋" w:hAnsi="仿宋" w:eastAsia="仿宋"/>
          <w:bCs/>
          <w:color w:val="auto"/>
          <w:spacing w:val="-4"/>
          <w:sz w:val="32"/>
          <w:szCs w:val="32"/>
          <w:lang w:val="en-US" w:eastAsia="zh-CN"/>
        </w:rPr>
        <w:t>219.212473</w:t>
      </w:r>
      <w:r>
        <w:rPr>
          <w:rFonts w:hint="eastAsia" w:ascii="仿宋" w:hAnsi="仿宋" w:eastAsia="仿宋"/>
          <w:bCs/>
          <w:color w:val="auto"/>
          <w:spacing w:val="-4"/>
          <w:sz w:val="32"/>
          <w:szCs w:val="32"/>
        </w:rPr>
        <w:t>万元、</w:t>
      </w:r>
      <w:r>
        <w:rPr>
          <w:rFonts w:hint="eastAsia" w:ascii="仿宋" w:hAnsi="仿宋" w:eastAsia="仿宋"/>
          <w:bCs/>
          <w:color w:val="auto"/>
          <w:spacing w:val="-4"/>
          <w:sz w:val="32"/>
          <w:szCs w:val="32"/>
          <w:lang w:val="en-US" w:eastAsia="zh-CN"/>
        </w:rPr>
        <w:t>支付前期（设计、地勘、可研等）费用19.441255万元、支付消防配套设施费用61.346272万元。</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pPr>
        <w:adjustRightInd w:val="0"/>
        <w:snapToGrid w:val="0"/>
        <w:spacing w:line="560" w:lineRule="exact"/>
        <w:ind w:firstLine="624" w:firstLineChars="200"/>
        <w:rPr>
          <w:rStyle w:val="18"/>
          <w:rFonts w:ascii="仿宋" w:hAnsi="仿宋" w:eastAsia="仿宋"/>
          <w:b w:val="0"/>
          <w:bCs w:val="0"/>
          <w:color w:val="FF0000"/>
          <w:spacing w:val="-4"/>
          <w:sz w:val="32"/>
          <w:szCs w:val="32"/>
        </w:rPr>
      </w:pPr>
      <w:r>
        <w:rPr>
          <w:rFonts w:hint="eastAsia" w:ascii="仿宋" w:hAnsi="仿宋" w:eastAsia="仿宋"/>
          <w:b w:val="0"/>
          <w:bCs/>
          <w:color w:val="auto"/>
          <w:spacing w:val="-4"/>
          <w:sz w:val="32"/>
          <w:szCs w:val="32"/>
        </w:rPr>
        <w:t>本项目支出符合</w:t>
      </w:r>
      <w:r>
        <w:rPr>
          <w:rFonts w:hint="eastAsia" w:ascii="仿宋" w:hAnsi="仿宋" w:eastAsia="仿宋"/>
          <w:b w:val="0"/>
          <w:bCs/>
          <w:color w:val="auto"/>
          <w:spacing w:val="-4"/>
          <w:sz w:val="32"/>
          <w:szCs w:val="32"/>
          <w:lang w:val="en-US" w:eastAsia="zh-CN"/>
        </w:rPr>
        <w:t>塔什库尔干县卫生和计划生育委员会</w:t>
      </w:r>
      <w:r>
        <w:rPr>
          <w:rFonts w:hint="eastAsia" w:ascii="仿宋" w:hAnsi="仿宋" w:eastAsia="仿宋"/>
          <w:b w:val="0"/>
          <w:bCs/>
          <w:color w:val="auto"/>
          <w:spacing w:val="-4"/>
          <w:sz w:val="32"/>
          <w:szCs w:val="32"/>
        </w:rPr>
        <w:t>相关财务管理制度，包括会计人员集中核算工作管理制度、财务收支审批制度、财务稽核制度、财务牵制制度、会计主管岗位职责等制度规定，资金的拨付有完整的审批程序和手续，不存在截留、挤占、挪用等情况。</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8"/>
          <w:rFonts w:ascii="仿宋" w:hAnsi="仿宋" w:eastAsia="仿宋"/>
          <w:b w:val="0"/>
          <w:color w:val="auto"/>
          <w:spacing w:val="-4"/>
          <w:sz w:val="32"/>
          <w:szCs w:val="32"/>
        </w:rPr>
      </w:pPr>
      <w:r>
        <w:rPr>
          <w:rStyle w:val="18"/>
          <w:rFonts w:hint="eastAsia" w:ascii="仿宋" w:hAnsi="仿宋" w:eastAsia="仿宋"/>
          <w:b w:val="0"/>
          <w:color w:val="auto"/>
          <w:spacing w:val="-4"/>
          <w:sz w:val="32"/>
          <w:szCs w:val="32"/>
          <w:lang w:val="en-US" w:eastAsia="zh-CN"/>
        </w:rPr>
        <w:t>本</w:t>
      </w:r>
      <w:r>
        <w:rPr>
          <w:rStyle w:val="18"/>
          <w:rFonts w:hint="eastAsia" w:ascii="仿宋" w:hAnsi="仿宋" w:eastAsia="仿宋"/>
          <w:b w:val="0"/>
          <w:color w:val="auto"/>
          <w:spacing w:val="-4"/>
          <w:sz w:val="32"/>
          <w:szCs w:val="32"/>
        </w:rPr>
        <w:t>项目属于招投标</w:t>
      </w:r>
      <w:r>
        <w:rPr>
          <w:rStyle w:val="18"/>
          <w:rFonts w:hint="eastAsia" w:ascii="仿宋" w:hAnsi="仿宋" w:eastAsia="仿宋"/>
          <w:b w:val="0"/>
          <w:color w:val="auto"/>
          <w:spacing w:val="-4"/>
          <w:sz w:val="32"/>
          <w:szCs w:val="32"/>
          <w:lang w:val="en-US" w:eastAsia="zh-CN"/>
        </w:rPr>
        <w:t>项目</w:t>
      </w:r>
      <w:r>
        <w:rPr>
          <w:rStyle w:val="18"/>
          <w:rFonts w:hint="eastAsia" w:ascii="仿宋" w:hAnsi="仿宋" w:eastAsia="仿宋"/>
          <w:b w:val="0"/>
          <w:color w:val="auto"/>
          <w:spacing w:val="-4"/>
          <w:sz w:val="32"/>
          <w:szCs w:val="32"/>
        </w:rPr>
        <w:t>,</w:t>
      </w:r>
      <w:r>
        <w:rPr>
          <w:rStyle w:val="18"/>
          <w:rFonts w:hint="eastAsia" w:ascii="仿宋" w:hAnsi="仿宋" w:eastAsia="仿宋"/>
          <w:b w:val="0"/>
          <w:color w:val="auto"/>
          <w:spacing w:val="-4"/>
          <w:sz w:val="32"/>
          <w:szCs w:val="32"/>
          <w:lang w:val="en-US" w:eastAsia="zh-CN"/>
        </w:rPr>
        <w:t>委托新疆元泓项目管理有限公司喀什第一分公司完成招投标</w:t>
      </w:r>
      <w:r>
        <w:rPr>
          <w:rStyle w:val="18"/>
          <w:rFonts w:hint="eastAsia" w:ascii="仿宋" w:hAnsi="仿宋" w:eastAsia="仿宋"/>
          <w:b w:val="0"/>
          <w:color w:val="auto"/>
          <w:spacing w:val="-4"/>
          <w:sz w:val="32"/>
          <w:szCs w:val="32"/>
        </w:rPr>
        <w:t>。</w:t>
      </w:r>
    </w:p>
    <w:p>
      <w:pPr>
        <w:adjustRightInd w:val="0"/>
        <w:snapToGrid w:val="0"/>
        <w:spacing w:line="560" w:lineRule="exact"/>
        <w:ind w:firstLine="624" w:firstLineChars="200"/>
        <w:rPr>
          <w:rStyle w:val="18"/>
          <w:rFonts w:ascii="仿宋" w:hAnsi="仿宋" w:eastAsia="仿宋"/>
          <w:b w:val="0"/>
          <w:color w:val="auto"/>
          <w:spacing w:val="-4"/>
          <w:sz w:val="32"/>
          <w:szCs w:val="32"/>
        </w:rPr>
      </w:pPr>
      <w:r>
        <w:rPr>
          <w:rStyle w:val="18"/>
          <w:rFonts w:hint="eastAsia" w:ascii="仿宋" w:hAnsi="仿宋" w:eastAsia="仿宋"/>
          <w:b w:val="0"/>
          <w:color w:val="auto"/>
          <w:spacing w:val="-4"/>
          <w:sz w:val="32"/>
          <w:szCs w:val="32"/>
        </w:rPr>
        <w:t>本项目不存在调整情况。</w:t>
      </w:r>
    </w:p>
    <w:p>
      <w:pPr>
        <w:adjustRightInd w:val="0"/>
        <w:snapToGrid w:val="0"/>
        <w:spacing w:line="560" w:lineRule="exact"/>
        <w:ind w:firstLine="624" w:firstLineChars="200"/>
        <w:rPr>
          <w:rStyle w:val="18"/>
          <w:rFonts w:ascii="仿宋" w:hAnsi="仿宋" w:eastAsia="仿宋"/>
          <w:b w:val="0"/>
          <w:color w:val="auto"/>
          <w:spacing w:val="-4"/>
          <w:sz w:val="32"/>
          <w:szCs w:val="32"/>
        </w:rPr>
      </w:pPr>
      <w:r>
        <w:rPr>
          <w:rStyle w:val="18"/>
          <w:rFonts w:hint="eastAsia" w:ascii="仿宋" w:hAnsi="仿宋" w:eastAsia="仿宋"/>
          <w:b w:val="0"/>
          <w:color w:val="auto"/>
          <w:spacing w:val="-4"/>
          <w:sz w:val="32"/>
          <w:szCs w:val="32"/>
        </w:rPr>
        <w:t>为保证项目质量和成本控制，项目实施完成后，由本项目相关人员于</w:t>
      </w:r>
      <w:r>
        <w:rPr>
          <w:rStyle w:val="18"/>
          <w:rFonts w:hint="eastAsia" w:ascii="仿宋" w:hAnsi="仿宋" w:eastAsia="仿宋"/>
          <w:b w:val="0"/>
          <w:color w:val="auto"/>
          <w:spacing w:val="-4"/>
          <w:sz w:val="32"/>
          <w:szCs w:val="32"/>
          <w:lang w:val="en-US" w:eastAsia="zh-CN"/>
        </w:rPr>
        <w:t>2018</w:t>
      </w:r>
      <w:r>
        <w:rPr>
          <w:rStyle w:val="18"/>
          <w:rFonts w:hint="eastAsia" w:ascii="仿宋" w:hAnsi="仿宋" w:eastAsia="仿宋"/>
          <w:b w:val="0"/>
          <w:color w:val="auto"/>
          <w:spacing w:val="-4"/>
          <w:sz w:val="32"/>
          <w:szCs w:val="32"/>
        </w:rPr>
        <w:t>年</w:t>
      </w:r>
      <w:r>
        <w:rPr>
          <w:rStyle w:val="18"/>
          <w:rFonts w:hint="eastAsia" w:ascii="仿宋" w:hAnsi="仿宋" w:eastAsia="仿宋"/>
          <w:b w:val="0"/>
          <w:color w:val="auto"/>
          <w:spacing w:val="-4"/>
          <w:sz w:val="32"/>
          <w:szCs w:val="32"/>
          <w:lang w:val="en-US" w:eastAsia="zh-CN"/>
        </w:rPr>
        <w:t>12</w:t>
      </w:r>
      <w:r>
        <w:rPr>
          <w:rStyle w:val="18"/>
          <w:rFonts w:hint="eastAsia" w:ascii="仿宋" w:hAnsi="仿宋" w:eastAsia="仿宋"/>
          <w:b w:val="0"/>
          <w:color w:val="auto"/>
          <w:spacing w:val="-4"/>
          <w:sz w:val="32"/>
          <w:szCs w:val="32"/>
        </w:rPr>
        <w:t>月</w:t>
      </w:r>
      <w:r>
        <w:rPr>
          <w:rStyle w:val="18"/>
          <w:rFonts w:hint="eastAsia" w:ascii="仿宋" w:hAnsi="仿宋" w:eastAsia="仿宋"/>
          <w:b w:val="0"/>
          <w:color w:val="auto"/>
          <w:spacing w:val="-4"/>
          <w:sz w:val="32"/>
          <w:szCs w:val="32"/>
          <w:lang w:val="en-US" w:eastAsia="zh-CN"/>
        </w:rPr>
        <w:t>21</w:t>
      </w:r>
      <w:r>
        <w:rPr>
          <w:rStyle w:val="18"/>
          <w:rFonts w:hint="eastAsia" w:ascii="仿宋" w:hAnsi="仿宋" w:eastAsia="仿宋"/>
          <w:b w:val="0"/>
          <w:color w:val="auto"/>
          <w:spacing w:val="-4"/>
          <w:sz w:val="32"/>
          <w:szCs w:val="32"/>
        </w:rPr>
        <w:t>日完成检查验收，检查验收合格后按合同规定支付款项。</w:t>
      </w:r>
    </w:p>
    <w:p>
      <w:pPr>
        <w:adjustRightInd w:val="0"/>
        <w:snapToGrid w:val="0"/>
        <w:spacing w:line="560" w:lineRule="exact"/>
        <w:ind w:firstLine="627" w:firstLineChars="200"/>
        <w:outlineLvl w:val="0"/>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hint="eastAsia" w:ascii="仿宋_GB2312" w:hAnsi="方正仿宋简体" w:eastAsia="仿宋_GB2312" w:cs="方正仿宋简体"/>
          <w:sz w:val="32"/>
          <w:szCs w:val="32"/>
        </w:rPr>
      </w:pPr>
      <w:r>
        <w:rPr>
          <w:rFonts w:hint="eastAsia" w:ascii="仿宋_GB2312" w:hAnsi="仿宋_GB2312" w:eastAsia="仿宋_GB2312" w:cs="仿宋_GB2312"/>
          <w:sz w:val="32"/>
          <w:szCs w:val="32"/>
        </w:rPr>
        <w:t>我单位</w:t>
      </w:r>
      <w:r>
        <w:rPr>
          <w:rFonts w:hint="eastAsia" w:ascii="仿宋_GB2312" w:hAnsi="仿宋_GB2312" w:eastAsia="仿宋_GB2312" w:cs="仿宋_GB2312"/>
          <w:bCs/>
          <w:sz w:val="32"/>
          <w:szCs w:val="32"/>
        </w:rPr>
        <w:t>建立完善制度</w:t>
      </w:r>
      <w:r>
        <w:rPr>
          <w:rFonts w:hint="eastAsia" w:ascii="仿宋_GB2312" w:hAnsi="仿宋_GB2312" w:eastAsia="仿宋_GB2312" w:cs="仿宋_GB2312"/>
          <w:sz w:val="32"/>
          <w:szCs w:val="32"/>
        </w:rPr>
        <w:t>制定了《</w:t>
      </w:r>
      <w:r>
        <w:rPr>
          <w:rFonts w:hint="eastAsia" w:ascii="仿宋_GB2312" w:hAnsi="仿宋_GB2312" w:eastAsia="仿宋_GB2312" w:cs="仿宋_GB2312"/>
          <w:sz w:val="32"/>
          <w:szCs w:val="32"/>
          <w:lang w:val="en-US" w:eastAsia="zh-CN"/>
        </w:rPr>
        <w:t>塔什库尔干县卫生和计划生育委员会</w:t>
      </w:r>
      <w:r>
        <w:rPr>
          <w:rFonts w:hint="eastAsia" w:ascii="仿宋_GB2312" w:hAnsi="仿宋_GB2312" w:eastAsia="仿宋_GB2312" w:cs="仿宋_GB2312"/>
          <w:sz w:val="32"/>
          <w:szCs w:val="32"/>
        </w:rPr>
        <w:t>资金管理使用制度》等相关制度</w:t>
      </w:r>
      <w:r>
        <w:rPr>
          <w:rFonts w:hint="eastAsia" w:ascii="仿宋_GB2312" w:hAnsi="方正仿宋简体" w:eastAsia="仿宋_GB2312" w:cs="方正仿宋简体"/>
          <w:sz w:val="32"/>
          <w:szCs w:val="32"/>
        </w:rPr>
        <w:t>严格工作程序，规范业务流程，做好资金划拨，确保</w:t>
      </w:r>
      <w:r>
        <w:rPr>
          <w:rFonts w:hint="eastAsia" w:ascii="仿宋_GB2312" w:hAnsi="方正仿宋简体" w:eastAsia="仿宋_GB2312" w:cs="方正仿宋简体"/>
          <w:sz w:val="32"/>
          <w:szCs w:val="32"/>
          <w:lang w:val="en-US" w:eastAsia="zh-CN"/>
        </w:rPr>
        <w:t>项目资金</w:t>
      </w:r>
      <w:r>
        <w:rPr>
          <w:rFonts w:hint="eastAsia" w:ascii="仿宋_GB2312" w:hAnsi="方正仿宋简体" w:eastAsia="仿宋_GB2312" w:cs="方正仿宋简体"/>
          <w:sz w:val="32"/>
          <w:szCs w:val="32"/>
        </w:rPr>
        <w:t>合理使用。</w:t>
      </w:r>
      <w:r>
        <w:rPr>
          <w:rFonts w:hint="eastAsia" w:ascii="仿宋" w:hAnsi="仿宋" w:eastAsia="仿宋"/>
          <w:bCs/>
          <w:color w:val="auto"/>
          <w:spacing w:val="-4"/>
          <w:sz w:val="32"/>
          <w:szCs w:val="32"/>
        </w:rPr>
        <w:t>已建立《</w:t>
      </w:r>
      <w:r>
        <w:rPr>
          <w:rFonts w:hint="eastAsia" w:ascii="仿宋" w:hAnsi="仿宋" w:eastAsia="仿宋"/>
          <w:bCs/>
          <w:color w:val="auto"/>
          <w:spacing w:val="-4"/>
          <w:sz w:val="32"/>
          <w:szCs w:val="32"/>
          <w:lang w:val="en-US" w:eastAsia="zh-CN"/>
        </w:rPr>
        <w:t>塔什库尔干县卫生和计划生育委员会</w:t>
      </w:r>
      <w:r>
        <w:rPr>
          <w:rFonts w:hint="eastAsia" w:ascii="仿宋" w:hAnsi="仿宋" w:eastAsia="仿宋"/>
          <w:bCs/>
          <w:color w:val="auto"/>
          <w:spacing w:val="-4"/>
          <w:sz w:val="32"/>
          <w:szCs w:val="32"/>
        </w:rPr>
        <w:t>日常检查监督检查机制》，不定期对项目进度情况进行督导检查，对检查过程中发现的问题及时督促整改，确保了项目按时保质完成。</w:t>
      </w:r>
    </w:p>
    <w:p>
      <w:pPr>
        <w:spacing w:line="520" w:lineRule="exact"/>
        <w:ind w:firstLine="640" w:firstLineChars="200"/>
        <w:rPr>
          <w:rFonts w:hint="eastAsia" w:ascii="仿宋_GB2312" w:hAnsi="方正仿宋简体" w:eastAsia="仿宋_GB2312" w:cs="方正仿宋简体"/>
          <w:sz w:val="32"/>
          <w:szCs w:val="32"/>
        </w:rPr>
      </w:pPr>
      <w:r>
        <w:rPr>
          <w:rFonts w:hint="eastAsia" w:ascii="仿宋_GB2312" w:hAnsi="方正仿宋简体" w:eastAsia="仿宋_GB2312" w:cs="方正仿宋简体"/>
          <w:sz w:val="32"/>
          <w:szCs w:val="32"/>
        </w:rPr>
        <w:t>为了确保此次绩效自评工作更好的开展，我单位专门针对此工作成立了领导小组，领导小组组长由</w:t>
      </w:r>
      <w:r>
        <w:rPr>
          <w:rFonts w:hint="eastAsia" w:ascii="仿宋_GB2312" w:hAnsi="方正仿宋简体" w:eastAsia="仿宋_GB2312" w:cs="方正仿宋简体"/>
          <w:sz w:val="32"/>
          <w:szCs w:val="32"/>
          <w:lang w:val="en-US" w:eastAsia="zh-CN"/>
        </w:rPr>
        <w:t>单位负责人</w:t>
      </w:r>
      <w:r>
        <w:rPr>
          <w:rFonts w:hint="eastAsia" w:ascii="仿宋_GB2312" w:hAnsi="方正仿宋简体" w:eastAsia="仿宋_GB2312" w:cs="方正仿宋简体"/>
          <w:sz w:val="32"/>
          <w:szCs w:val="32"/>
        </w:rPr>
        <w:t>担任，</w:t>
      </w:r>
      <w:r>
        <w:rPr>
          <w:rFonts w:hint="eastAsia" w:ascii="仿宋_GB2312" w:hAnsi="方正仿宋简体" w:eastAsia="仿宋_GB2312" w:cs="方正仿宋简体"/>
          <w:sz w:val="32"/>
          <w:szCs w:val="32"/>
          <w:lang w:val="en-US" w:eastAsia="zh-CN"/>
        </w:rPr>
        <w:t>分管财务工作的副主任</w:t>
      </w:r>
      <w:r>
        <w:rPr>
          <w:rFonts w:hint="eastAsia" w:ascii="仿宋_GB2312" w:hAnsi="方正仿宋简体" w:eastAsia="仿宋_GB2312" w:cs="方正仿宋简体"/>
          <w:sz w:val="32"/>
          <w:szCs w:val="32"/>
        </w:rPr>
        <w:t>担任副组长，领导成员由此科室的所有成员组成，进行了责任分工。</w:t>
      </w:r>
    </w:p>
    <w:p>
      <w:pPr>
        <w:spacing w:line="520" w:lineRule="exact"/>
        <w:ind w:firstLine="640" w:firstLineChars="200"/>
        <w:rPr>
          <w:rFonts w:hint="eastAsia" w:ascii="仿宋_GB2312" w:hAnsi="方正仿宋简体" w:eastAsia="仿宋_GB2312" w:cs="方正仿宋简体"/>
          <w:color w:val="333333"/>
          <w:kern w:val="0"/>
          <w:sz w:val="32"/>
          <w:szCs w:val="32"/>
        </w:rPr>
      </w:pPr>
      <w:r>
        <w:rPr>
          <w:rFonts w:hint="eastAsia" w:ascii="仿宋_GB2312" w:hAnsi="方正仿宋简体" w:eastAsia="仿宋_GB2312" w:cs="方正仿宋简体"/>
          <w:sz w:val="32"/>
          <w:szCs w:val="32"/>
        </w:rPr>
        <w:t>在此次绩效自评过程中严格按照工作程序办理，绩效自评期间一定要实事求是的将此次绩效自评工作落到实处，确保每一个环节的真实性。</w:t>
      </w:r>
    </w:p>
    <w:p>
      <w:pPr>
        <w:adjustRightInd w:val="0"/>
        <w:snapToGrid w:val="0"/>
        <w:spacing w:line="560" w:lineRule="exact"/>
        <w:ind w:firstLine="624" w:firstLineChars="200"/>
        <w:outlineLvl w:val="0"/>
        <w:rPr>
          <w:rStyle w:val="18"/>
          <w:rFonts w:ascii="黑体" w:hAnsi="黑体" w:eastAsia="黑体"/>
        </w:rPr>
      </w:pPr>
      <w:r>
        <w:rPr>
          <w:rStyle w:val="18"/>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8"/>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8</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100</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18"/>
          <w:rFonts w:hint="eastAsia" w:ascii="仿宋" w:hAnsi="仿宋" w:eastAsia="仿宋"/>
          <w:b w:val="0"/>
          <w:color w:val="auto"/>
          <w:spacing w:val="-4"/>
          <w:sz w:val="32"/>
          <w:szCs w:val="32"/>
        </w:rPr>
      </w:pPr>
      <w:r>
        <w:rPr>
          <w:rStyle w:val="18"/>
          <w:rFonts w:hint="eastAsia" w:ascii="仿宋" w:hAnsi="仿宋" w:eastAsia="仿宋"/>
          <w:b w:val="0"/>
          <w:color w:val="auto"/>
          <w:spacing w:val="-4"/>
          <w:sz w:val="32"/>
          <w:szCs w:val="32"/>
        </w:rPr>
        <w:t>经济性：本项目属于民生类投资项目，没有直接经济效益；间接的、长期的经济效益表现为：整体提高了塔县医疗卫生设施，也提高医疗卫生保健和疾病控制水平，加强健康危害因素的监测和干预，保证正常的医疗卫生保健和维护社会</w:t>
      </w:r>
      <w:r>
        <w:rPr>
          <w:rStyle w:val="18"/>
          <w:rFonts w:hint="eastAsia" w:ascii="仿宋" w:hAnsi="仿宋" w:eastAsia="仿宋"/>
          <w:b w:val="0"/>
          <w:color w:val="auto"/>
          <w:spacing w:val="-4"/>
          <w:sz w:val="32"/>
          <w:szCs w:val="32"/>
          <w:lang w:val="en-US" w:eastAsia="zh-CN"/>
        </w:rPr>
        <w:t>和谐</w:t>
      </w:r>
      <w:bookmarkStart w:id="0" w:name="_GoBack"/>
      <w:bookmarkEnd w:id="0"/>
      <w:r>
        <w:rPr>
          <w:rStyle w:val="18"/>
          <w:rFonts w:hint="eastAsia" w:ascii="仿宋" w:hAnsi="仿宋" w:eastAsia="仿宋"/>
          <w:b w:val="0"/>
          <w:color w:val="auto"/>
          <w:spacing w:val="-4"/>
          <w:sz w:val="32"/>
          <w:szCs w:val="32"/>
        </w:rPr>
        <w:t>，对建设和谐社会具有重要意义。</w:t>
      </w:r>
    </w:p>
    <w:p>
      <w:pPr>
        <w:adjustRightInd w:val="0"/>
        <w:snapToGrid w:val="0"/>
        <w:spacing w:line="560" w:lineRule="exact"/>
        <w:ind w:firstLine="624" w:firstLineChars="200"/>
        <w:rPr>
          <w:rStyle w:val="18"/>
          <w:rFonts w:ascii="仿宋" w:hAnsi="仿宋" w:eastAsia="仿宋"/>
          <w:b w:val="0"/>
          <w:color w:val="auto"/>
          <w:spacing w:val="-4"/>
          <w:sz w:val="32"/>
          <w:szCs w:val="32"/>
        </w:rPr>
      </w:pPr>
      <w:r>
        <w:rPr>
          <w:rStyle w:val="18"/>
          <w:rFonts w:hint="eastAsia" w:ascii="仿宋" w:hAnsi="仿宋" w:eastAsia="仿宋"/>
          <w:b w:val="0"/>
          <w:color w:val="auto"/>
          <w:spacing w:val="-4"/>
          <w:sz w:val="32"/>
          <w:szCs w:val="32"/>
        </w:rPr>
        <w:t>效率性：</w:t>
      </w:r>
      <w:r>
        <w:rPr>
          <w:rStyle w:val="18"/>
          <w:rFonts w:hint="eastAsia" w:ascii="仿宋" w:hAnsi="仿宋" w:eastAsia="仿宋"/>
          <w:b w:val="0"/>
          <w:color w:val="auto"/>
          <w:spacing w:val="-4"/>
          <w:sz w:val="32"/>
          <w:szCs w:val="32"/>
          <w:lang w:val="en-US" w:eastAsia="zh-CN"/>
        </w:rPr>
        <w:t>本</w:t>
      </w:r>
      <w:r>
        <w:rPr>
          <w:rStyle w:val="18"/>
          <w:rFonts w:hint="eastAsia" w:ascii="仿宋" w:hAnsi="仿宋" w:eastAsia="仿宋"/>
          <w:b w:val="0"/>
          <w:color w:val="auto"/>
          <w:spacing w:val="-4"/>
          <w:sz w:val="32"/>
          <w:szCs w:val="32"/>
        </w:rPr>
        <w:t>项目</w:t>
      </w:r>
      <w:r>
        <w:rPr>
          <w:rStyle w:val="18"/>
          <w:rFonts w:hint="eastAsia" w:ascii="仿宋" w:hAnsi="仿宋" w:eastAsia="仿宋"/>
          <w:b w:val="0"/>
          <w:color w:val="auto"/>
          <w:spacing w:val="-4"/>
          <w:sz w:val="32"/>
          <w:szCs w:val="32"/>
          <w:lang w:val="en-US" w:eastAsia="zh-CN"/>
        </w:rPr>
        <w:t>下达后，严格按照各项要求</w:t>
      </w:r>
      <w:r>
        <w:rPr>
          <w:rStyle w:val="18"/>
          <w:rFonts w:hint="eastAsia" w:ascii="仿宋" w:hAnsi="仿宋" w:eastAsia="仿宋"/>
          <w:b w:val="0"/>
          <w:color w:val="auto"/>
          <w:spacing w:val="-4"/>
          <w:sz w:val="32"/>
          <w:szCs w:val="32"/>
        </w:rPr>
        <w:t>实施</w:t>
      </w:r>
      <w:r>
        <w:rPr>
          <w:rStyle w:val="18"/>
          <w:rFonts w:hint="eastAsia" w:ascii="仿宋" w:hAnsi="仿宋" w:eastAsia="仿宋"/>
          <w:b w:val="0"/>
          <w:color w:val="auto"/>
          <w:spacing w:val="-4"/>
          <w:sz w:val="32"/>
          <w:szCs w:val="32"/>
          <w:lang w:eastAsia="zh-CN"/>
        </w:rPr>
        <w:t>，</w:t>
      </w:r>
      <w:r>
        <w:rPr>
          <w:rStyle w:val="18"/>
          <w:rFonts w:hint="eastAsia" w:ascii="仿宋" w:hAnsi="仿宋" w:eastAsia="仿宋"/>
          <w:b w:val="0"/>
          <w:color w:val="auto"/>
          <w:spacing w:val="-4"/>
          <w:sz w:val="32"/>
          <w:szCs w:val="32"/>
          <w:lang w:val="en-US" w:eastAsia="zh-CN"/>
        </w:rPr>
        <w:t>目前已完成项目建设</w:t>
      </w:r>
      <w:r>
        <w:rPr>
          <w:rStyle w:val="18"/>
          <w:rFonts w:hint="eastAsia" w:ascii="仿宋" w:hAnsi="仿宋" w:eastAsia="仿宋"/>
          <w:b w:val="0"/>
          <w:color w:val="auto"/>
          <w:spacing w:val="-4"/>
          <w:sz w:val="32"/>
          <w:szCs w:val="32"/>
        </w:rPr>
        <w:t>。</w:t>
      </w:r>
    </w:p>
    <w:p>
      <w:pPr>
        <w:adjustRightInd w:val="0"/>
        <w:snapToGrid w:val="0"/>
        <w:spacing w:line="560" w:lineRule="exact"/>
        <w:ind w:firstLine="624" w:firstLineChars="200"/>
        <w:rPr>
          <w:rFonts w:ascii="仿宋" w:hAnsi="仿宋" w:eastAsia="仿宋"/>
          <w:bCs/>
          <w:color w:val="auto"/>
          <w:spacing w:val="-4"/>
          <w:sz w:val="32"/>
          <w:szCs w:val="32"/>
        </w:rPr>
      </w:pPr>
      <w:r>
        <w:rPr>
          <w:rStyle w:val="18"/>
          <w:rFonts w:hint="eastAsia" w:ascii="仿宋" w:hAnsi="仿宋" w:eastAsia="仿宋"/>
          <w:b w:val="0"/>
          <w:color w:val="auto"/>
          <w:spacing w:val="-4"/>
          <w:sz w:val="32"/>
          <w:szCs w:val="32"/>
        </w:rPr>
        <w:t>效益性：本项目的实施，受益贫困户数2215户8759人，明显提前预防疾病发生的可能性。</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不存在未完成情况</w:t>
      </w:r>
      <w:r>
        <w:rPr>
          <w:rFonts w:hint="eastAsia" w:ascii="仿宋" w:hAnsi="仿宋" w:eastAsia="仿宋"/>
          <w:color w:val="auto"/>
          <w:spacing w:val="-4"/>
          <w:sz w:val="32"/>
          <w:szCs w:val="32"/>
          <w:lang w:eastAsia="zh-CN"/>
        </w:rPr>
        <w:t>。</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outlineLvl w:val="0"/>
        <w:rPr>
          <w:rFonts w:hint="eastAsia" w:ascii="仿宋" w:hAnsi="仿宋" w:eastAsia="仿宋"/>
          <w:bCs/>
          <w:color w:val="auto"/>
          <w:spacing w:val="-4"/>
          <w:sz w:val="32"/>
          <w:szCs w:val="32"/>
          <w:lang w:val="en-US" w:eastAsia="zh-CN"/>
        </w:rPr>
      </w:pPr>
      <w:r>
        <w:rPr>
          <w:rFonts w:hint="eastAsia" w:ascii="仿宋" w:hAnsi="仿宋" w:eastAsia="仿宋"/>
          <w:bCs/>
          <w:color w:val="auto"/>
          <w:spacing w:val="-4"/>
          <w:sz w:val="32"/>
          <w:szCs w:val="32"/>
          <w:lang w:val="en-US" w:eastAsia="zh-CN"/>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bCs/>
          <w:color w:val="auto"/>
          <w:spacing w:val="-4"/>
          <w:sz w:val="32"/>
          <w:szCs w:val="32"/>
          <w:lang w:eastAsia="zh-CN"/>
        </w:rPr>
      </w:pPr>
      <w:r>
        <w:rPr>
          <w:rFonts w:hint="eastAsia" w:ascii="仿宋" w:hAnsi="仿宋" w:eastAsia="仿宋"/>
          <w:bCs/>
          <w:color w:val="auto"/>
          <w:spacing w:val="-4"/>
          <w:sz w:val="32"/>
          <w:szCs w:val="32"/>
          <w:lang w:val="en-US" w:eastAsia="zh-CN"/>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无其他说明内容</w:t>
      </w:r>
      <w:r>
        <w:rPr>
          <w:rFonts w:hint="eastAsia" w:ascii="仿宋" w:hAnsi="仿宋" w:eastAsia="仿宋"/>
          <w:color w:val="auto"/>
          <w:spacing w:val="-4"/>
          <w:sz w:val="32"/>
          <w:szCs w:val="32"/>
          <w:lang w:eastAsia="zh-CN"/>
        </w:rPr>
        <w:t>。</w:t>
      </w:r>
    </w:p>
    <w:p>
      <w:pPr>
        <w:adjustRightInd w:val="0"/>
        <w:snapToGrid w:val="0"/>
        <w:spacing w:line="560" w:lineRule="exact"/>
        <w:ind w:firstLine="624" w:firstLineChars="200"/>
        <w:outlineLvl w:val="0"/>
        <w:rPr>
          <w:rFonts w:ascii="黑体" w:hAnsi="黑体" w:eastAsia="黑体"/>
          <w:bCs/>
          <w:spacing w:val="-4"/>
          <w:sz w:val="32"/>
          <w:szCs w:val="32"/>
        </w:rPr>
      </w:pPr>
      <w:r>
        <w:rPr>
          <w:rStyle w:val="18"/>
          <w:rFonts w:hint="eastAsia" w:ascii="黑体" w:hAnsi="黑体" w:eastAsia="黑体"/>
          <w:b w:val="0"/>
          <w:spacing w:val="-4"/>
          <w:sz w:val="32"/>
          <w:szCs w:val="32"/>
        </w:rPr>
        <w:t>六、项目评价工作情况</w:t>
      </w:r>
    </w:p>
    <w:p>
      <w:pPr>
        <w:adjustRightInd w:val="0"/>
        <w:snapToGrid w:val="0"/>
        <w:spacing w:line="520" w:lineRule="exact"/>
        <w:ind w:firstLine="640" w:firstLineChars="200"/>
        <w:outlineLvl w:val="0"/>
        <w:rPr>
          <w:rFonts w:hint="eastAsia" w:ascii="仿宋_GB2312" w:hAnsi="方正仿宋简体" w:eastAsia="仿宋_GB2312" w:cs="方正仿宋简体"/>
          <w:sz w:val="32"/>
          <w:szCs w:val="32"/>
        </w:rPr>
      </w:pPr>
      <w:r>
        <w:rPr>
          <w:rFonts w:hint="eastAsia" w:ascii="仿宋_GB2312" w:hAnsi="方正仿宋简体" w:eastAsia="仿宋_GB2312" w:cs="方正仿宋简体"/>
          <w:sz w:val="32"/>
          <w:szCs w:val="32"/>
        </w:rPr>
        <w:t>通过此次项目绩效评价完善了此项目的各种问题，并且通过此次项目绩效评价建立健全了长期有效监管机制，建立和完善工作程序，在以后的工作中有规可循，建立健全了资金监管办法，确保了资金每一分钱都能使用到位，使资金使用更加精准</w:t>
      </w:r>
    </w:p>
    <w:p>
      <w:pPr>
        <w:adjustRightInd w:val="0"/>
        <w:snapToGrid w:val="0"/>
        <w:spacing w:line="560" w:lineRule="exact"/>
        <w:ind w:firstLine="624" w:firstLineChars="200"/>
        <w:outlineLvl w:val="0"/>
        <w:rPr>
          <w:rStyle w:val="18"/>
          <w:rFonts w:ascii="黑体" w:hAnsi="黑体" w:eastAsia="黑体"/>
          <w:b w:val="0"/>
          <w:spacing w:val="-4"/>
          <w:sz w:val="32"/>
          <w:szCs w:val="32"/>
        </w:rPr>
      </w:pPr>
      <w:r>
        <w:rPr>
          <w:rStyle w:val="18"/>
          <w:rFonts w:hint="eastAsia" w:ascii="黑体" w:hAnsi="黑体" w:eastAsia="黑体"/>
          <w:b w:val="0"/>
          <w:spacing w:val="-4"/>
          <w:sz w:val="32"/>
          <w:szCs w:val="32"/>
        </w:rPr>
        <w:t>七、附表</w:t>
      </w:r>
    </w:p>
    <w:p>
      <w:pPr>
        <w:adjustRightInd w:val="0"/>
        <w:snapToGrid w:val="0"/>
        <w:spacing w:line="560" w:lineRule="exact"/>
        <w:ind w:firstLine="624" w:firstLineChars="200"/>
        <w:rPr>
          <w:rStyle w:val="18"/>
          <w:rFonts w:ascii="仿宋" w:hAnsi="仿宋" w:eastAsia="仿宋"/>
          <w:b w:val="0"/>
          <w:spacing w:val="-4"/>
          <w:sz w:val="32"/>
          <w:szCs w:val="32"/>
        </w:rPr>
      </w:pPr>
      <w:r>
        <w:rPr>
          <w:rStyle w:val="18"/>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8"/>
          <w:rFonts w:ascii="仿宋" w:hAnsi="仿宋" w:eastAsia="仿宋"/>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04D48"/>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2F447EBC"/>
    <w:rsid w:val="397F4FE8"/>
    <w:rsid w:val="52CD2D2E"/>
    <w:rsid w:val="67041A93"/>
    <w:rsid w:val="7B3C1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2">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6"/>
    <w:unhideWhenUsed/>
    <w:qFormat/>
    <w:uiPriority w:val="99"/>
    <w:rPr>
      <w:rFonts w:ascii="宋体"/>
      <w:sz w:val="18"/>
      <w:szCs w:val="18"/>
    </w:rPr>
  </w:style>
  <w:style w:type="paragraph" w:styleId="12">
    <w:name w:val="Balloon Text"/>
    <w:basedOn w:val="1"/>
    <w:link w:val="47"/>
    <w:unhideWhenUsed/>
    <w:qFormat/>
    <w:uiPriority w:val="99"/>
    <w:rPr>
      <w:sz w:val="18"/>
      <w:szCs w:val="18"/>
    </w:rPr>
  </w:style>
  <w:style w:type="paragraph" w:styleId="13">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3"/>
    <w:qFormat/>
    <w:uiPriority w:val="9"/>
    <w:rPr>
      <w:rFonts w:asciiTheme="majorHAnsi" w:hAnsiTheme="majorHAnsi" w:eastAsiaTheme="majorEastAsia"/>
      <w:b/>
      <w:bCs/>
      <w:kern w:val="32"/>
      <w:sz w:val="32"/>
      <w:szCs w:val="32"/>
    </w:rPr>
  </w:style>
  <w:style w:type="character" w:customStyle="1" w:styleId="22">
    <w:name w:val="标题 2 Char"/>
    <w:basedOn w:val="17"/>
    <w:link w:val="4"/>
    <w:semiHidden/>
    <w:qFormat/>
    <w:uiPriority w:val="9"/>
    <w:rPr>
      <w:rFonts w:asciiTheme="majorHAnsi" w:hAnsiTheme="majorHAnsi" w:eastAsiaTheme="majorEastAsia"/>
      <w:b/>
      <w:bCs/>
      <w:i/>
      <w:iCs/>
      <w:sz w:val="28"/>
      <w:szCs w:val="28"/>
    </w:rPr>
  </w:style>
  <w:style w:type="character" w:customStyle="1" w:styleId="23">
    <w:name w:val="标题 3 Char"/>
    <w:basedOn w:val="17"/>
    <w:link w:val="2"/>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5"/>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7"/>
    <w:qFormat/>
    <w:uiPriority w:val="21"/>
    <w:rPr>
      <w:b/>
      <w:i/>
      <w:sz w:val="24"/>
      <w:szCs w:val="24"/>
      <w:u w:val="single"/>
    </w:rPr>
  </w:style>
  <w:style w:type="character" w:customStyle="1" w:styleId="40">
    <w:name w:val="Subtle Reference"/>
    <w:basedOn w:val="17"/>
    <w:qFormat/>
    <w:uiPriority w:val="31"/>
    <w:rPr>
      <w:sz w:val="24"/>
      <w:szCs w:val="24"/>
      <w:u w:val="single"/>
    </w:rPr>
  </w:style>
  <w:style w:type="character" w:customStyle="1" w:styleId="41">
    <w:name w:val="Intense Reference"/>
    <w:basedOn w:val="17"/>
    <w:qFormat/>
    <w:uiPriority w:val="32"/>
    <w:rPr>
      <w:b/>
      <w:sz w:val="24"/>
      <w:u w:val="single"/>
    </w:rPr>
  </w:style>
  <w:style w:type="character" w:customStyle="1" w:styleId="42">
    <w:name w:val="Book Title"/>
    <w:basedOn w:val="17"/>
    <w:qFormat/>
    <w:uiPriority w:val="33"/>
    <w:rPr>
      <w:rFonts w:asciiTheme="majorHAnsi" w:hAnsiTheme="majorHAnsi" w:eastAsiaTheme="majorEastAsia"/>
      <w:b/>
      <w:i/>
      <w:sz w:val="24"/>
      <w:szCs w:val="24"/>
    </w:rPr>
  </w:style>
  <w:style w:type="paragraph" w:customStyle="1" w:styleId="43">
    <w:name w:val="TOC Heading"/>
    <w:basedOn w:val="3"/>
    <w:next w:val="1"/>
    <w:unhideWhenUsed/>
    <w:qFormat/>
    <w:uiPriority w:val="39"/>
    <w:pPr>
      <w:outlineLvl w:val="9"/>
    </w:pPr>
    <w:rPr>
      <w:lang w:eastAsia="en-US" w:bidi="en-US"/>
    </w:rPr>
  </w:style>
  <w:style w:type="character" w:customStyle="1" w:styleId="44">
    <w:name w:val="页眉 Char"/>
    <w:basedOn w:val="17"/>
    <w:link w:val="14"/>
    <w:qFormat/>
    <w:uiPriority w:val="99"/>
    <w:rPr>
      <w:rFonts w:ascii="Calibri" w:hAnsi="Calibri" w:eastAsia="宋体"/>
      <w:kern w:val="2"/>
      <w:sz w:val="18"/>
      <w:szCs w:val="18"/>
    </w:rPr>
  </w:style>
  <w:style w:type="character" w:customStyle="1" w:styleId="45">
    <w:name w:val="页脚 Char"/>
    <w:basedOn w:val="17"/>
    <w:link w:val="13"/>
    <w:uiPriority w:val="99"/>
    <w:rPr>
      <w:rFonts w:ascii="Calibri" w:hAnsi="Calibri" w:eastAsia="宋体"/>
      <w:kern w:val="2"/>
      <w:sz w:val="18"/>
      <w:szCs w:val="18"/>
    </w:rPr>
  </w:style>
  <w:style w:type="character" w:customStyle="1" w:styleId="46">
    <w:name w:val="文档结构图 Char"/>
    <w:basedOn w:val="17"/>
    <w:link w:val="11"/>
    <w:semiHidden/>
    <w:qFormat/>
    <w:uiPriority w:val="99"/>
    <w:rPr>
      <w:rFonts w:ascii="宋体" w:hAnsi="Times New Roman" w:eastAsia="宋体"/>
      <w:kern w:val="2"/>
      <w:sz w:val="18"/>
      <w:szCs w:val="18"/>
    </w:rPr>
  </w:style>
  <w:style w:type="character" w:customStyle="1" w:styleId="47">
    <w:name w:val="批注框文本 Char"/>
    <w:basedOn w:val="17"/>
    <w:link w:val="12"/>
    <w:semiHidden/>
    <w:qFormat/>
    <w:uiPriority w:val="99"/>
    <w:rPr>
      <w:rFonts w:ascii="Times New Roman" w:hAnsi="Times New Roman" w:eastAsia="宋体"/>
      <w:kern w:val="2"/>
      <w:sz w:val="18"/>
      <w:szCs w:val="18"/>
    </w:rPr>
  </w:style>
  <w:style w:type="paragraph" w:customStyle="1" w:styleId="48">
    <w:name w:val="正文 A"/>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8</TotalTime>
  <ScaleCrop>false</ScaleCrop>
  <LinksUpToDate>false</LinksUpToDate>
  <CharactersWithSpaces>1916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2019-09-22T11:07:47Z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