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行政区划和地名管理项目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县民政局是塔什库尔干县人民政府主管社会事务的重要部门，承担着全县城乡社会救助和社会福利、基层民主政治建设、服务军队和国防建设、管理专项社会事务四大方面二十项工作职能。目前县民政局有设6个职能股室：办公室（社工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民间组织管理、救灾救济、社会福利、社会救助股（慈善总会）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社会事务股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优抚安置军休股（退伍军人安置办）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基层政权建设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240" w:lineRule="auto"/>
        <w:ind w:firstLine="635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val="en-US" w:eastAsia="zh-CN"/>
        </w:rPr>
        <w:t>1、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机构情况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民政局（本级）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行政区划和地名管理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、优待抚恤和革命烈士的初审申报工作；负责复员干部、退伍义务兵和转业士官的；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 w:val="0"/>
        <w:bidi w:val="0"/>
        <w:spacing w:line="240" w:lineRule="auto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负责移交地方安置的军队离退休干部、士官和无军籍退休职工的接收安排工作。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组织和指导扶贫济困等社会互助活动；管理城乡社会救济、五保户的供应、社会福利院管理。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编制社工规划，储备社工人才，建立社工队伍，探索自治县的社工工作。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。审批城乡居民的医疗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、建档工作，负责协医疗机构对全县的居民治病实行一站式服务，协助卫生行政部门对医疗机构的监管。</w:t>
      </w:r>
    </w:p>
    <w:p>
      <w:pPr>
        <w:pStyle w:val="17"/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spacing w:line="240" w:lineRule="auto"/>
        <w:ind w:firstLine="472"/>
        <w:textAlignment w:val="auto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val="en-US" w:eastAsia="zh-CN"/>
        </w:rPr>
        <w:t>2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人员情况，包括当年变动情况及原因。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建立规范标准的地名标志，建立现实性强、符合标准化要求、处理系统先进性的地名信息系统，推进塔县地名信息化工作，为社会提供全面准确的地名信息，地名区划经费的下拨，更进一步推动地名信息化工作。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本项目性质为延续性项目。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此资金主要用于购置地名区划办公室的办公用品，确保地名成果转化。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使用范围：购置办公用品，确保正常运转。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主要内容：购置办公用品，确保正常运转。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行政区划和地名管理项目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购置地名区划办公室的办公用品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bidi w:val="0"/>
        <w:spacing w:before="0" w:beforeAutospacing="0" w:after="0" w:afterAutospacing="0" w:line="240" w:lineRule="auto"/>
        <w:ind w:left="0" w:right="0"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行政区划和地名管理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条例》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打电话核实落实情况。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default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塔什库尔干县民政局地名办严格按照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行政区划和地名管理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条例》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  <w:lang w:eastAsia="zh-CN"/>
        </w:rPr>
        <w:t>实施慰问，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保障项目的顺利实施。项目的实施遵守相关法律法规和业务管理规定，项目资料齐全并及时归档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，确保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2018年“两项工作”进展顺利。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建立现实性强、符合标准化要求、处理系统先进性的地名信息系统，推进塔县地名信息化工作。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eastAsia="zh-CN"/>
        </w:rPr>
        <w:t>做好慰问后的反馈工作。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200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建立规范标准的地名标志，建立现实性强、符合标准化要求、处理系统先进性的地名信息系统，推进塔县地名信息化工作，为社会提供全面准确的地名信息，地名区划经费的下拨，更进一步推动地名信息化工作。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200"/>
        <w:textAlignment w:val="auto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  <w:lang w:val="en-US" w:eastAsia="zh-CN"/>
        </w:rPr>
        <w:t>3、</w:t>
      </w: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jc w:val="left"/>
        <w:textAlignment w:val="auto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行政区划和地名管理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项目资金的使用效率和效果，项目管理过程规范，完成了预期绩效目标等。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 w:val="0"/>
        <w:snapToGrid w:val="0"/>
        <w:spacing w:line="240" w:lineRule="auto"/>
        <w:ind w:firstLine="627" w:firstLineChars="200"/>
        <w:textAlignment w:val="auto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200"/>
        <w:textAlignment w:val="auto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F976CA4"/>
    <w:rsid w:val="109535D0"/>
    <w:rsid w:val="12695183"/>
    <w:rsid w:val="12C72FA3"/>
    <w:rsid w:val="1336109A"/>
    <w:rsid w:val="195A7AB1"/>
    <w:rsid w:val="278F60C4"/>
    <w:rsid w:val="311D1F59"/>
    <w:rsid w:val="325A5973"/>
    <w:rsid w:val="393616ED"/>
    <w:rsid w:val="39E67796"/>
    <w:rsid w:val="48FB0D4A"/>
    <w:rsid w:val="4B057596"/>
    <w:rsid w:val="4DA204AF"/>
    <w:rsid w:val="52476818"/>
    <w:rsid w:val="55756856"/>
    <w:rsid w:val="583305E9"/>
    <w:rsid w:val="62F25F05"/>
    <w:rsid w:val="6EFA2E41"/>
    <w:rsid w:val="7420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160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2019-01-15T12:51:00Z</cp:lastPrinted>
  <dcterms:modified xsi:type="dcterms:W3CDTF">2019-09-22T09:40:27Z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