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2018年度新疆喀什地区塔什库尔干县妇幼保健站部门决算公开说明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1、单位职责研究似订全县农村卫生工作计划和政策措施，似订农村基层卫生组织的建设标准和服务标准。</w:t>
      </w:r>
      <w:r>
        <w:rPr>
          <w:rFonts w:hint="eastAsia" w:ascii="仿宋_GB2312" w:eastAsia="仿宋_GB2312"/>
          <w:sz w:val="32"/>
          <w:szCs w:val="32"/>
        </w:rPr>
        <w:br w:type="textWrapping"/>
      </w:r>
      <w:r>
        <w:rPr>
          <w:rFonts w:hint="eastAsia" w:ascii="仿宋_GB2312" w:eastAsia="仿宋_GB2312"/>
          <w:sz w:val="32"/>
          <w:szCs w:val="32"/>
        </w:rPr>
        <w:t>2、似订全县卫生服务发展规划，政策措施及技术服务标准。</w:t>
      </w:r>
      <w:r>
        <w:rPr>
          <w:rFonts w:hint="eastAsia" w:ascii="仿宋_GB2312" w:eastAsia="仿宋_GB2312"/>
          <w:sz w:val="32"/>
          <w:szCs w:val="32"/>
        </w:rPr>
        <w:br w:type="textWrapping"/>
      </w:r>
      <w:r>
        <w:rPr>
          <w:rFonts w:hint="eastAsia" w:ascii="仿宋_GB2312" w:eastAsia="仿宋_GB2312"/>
          <w:sz w:val="32"/>
          <w:szCs w:val="32"/>
        </w:rPr>
        <w:t>3、研究似订全县初级卫生保健规划，并指导措施和评价考核。</w:t>
      </w:r>
      <w:r>
        <w:rPr>
          <w:rFonts w:hint="eastAsia" w:ascii="仿宋_GB2312" w:eastAsia="仿宋_GB2312"/>
          <w:sz w:val="32"/>
          <w:szCs w:val="32"/>
        </w:rPr>
        <w:br w:type="textWrapping"/>
      </w:r>
      <w:r>
        <w:rPr>
          <w:rFonts w:hint="eastAsia" w:ascii="仿宋_GB2312" w:eastAsia="仿宋_GB2312"/>
          <w:sz w:val="32"/>
          <w:szCs w:val="32"/>
        </w:rPr>
        <w:t>4、研究基层卫生服务系统的改革。</w:t>
      </w:r>
      <w:r>
        <w:rPr>
          <w:rFonts w:hint="eastAsia" w:ascii="仿宋_GB2312" w:eastAsia="仿宋_GB2312"/>
          <w:sz w:val="32"/>
          <w:szCs w:val="32"/>
        </w:rPr>
        <w:br w:type="textWrapping"/>
      </w:r>
      <w:r>
        <w:rPr>
          <w:rFonts w:hint="eastAsia" w:ascii="仿宋_GB2312" w:eastAsia="仿宋_GB2312"/>
          <w:sz w:val="32"/>
          <w:szCs w:val="32"/>
        </w:rPr>
        <w:t>5、协助有关部门组织实施乡镇卫生院的农村卫生“三项建设”工作。</w:t>
      </w:r>
      <w:r>
        <w:rPr>
          <w:rFonts w:hint="eastAsia" w:ascii="仿宋_GB2312" w:eastAsia="仿宋_GB2312"/>
          <w:sz w:val="32"/>
          <w:szCs w:val="32"/>
        </w:rPr>
        <w:br w:type="textWrapping"/>
      </w:r>
      <w:r>
        <w:rPr>
          <w:rFonts w:hint="eastAsia" w:ascii="仿宋_GB2312" w:eastAsia="仿宋_GB2312"/>
          <w:sz w:val="32"/>
          <w:szCs w:val="32"/>
        </w:rPr>
        <w:t>6、似订全县妇幼卫生事业发展规划和提高出生人口素质工作的政策措施和技术标准。</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新疆喀什地区塔什库尔干县妇幼保健站</w:t>
      </w:r>
      <w:r>
        <w:rPr>
          <w:rFonts w:hint="eastAsia" w:ascii="仿宋_GB2312" w:eastAsia="仿宋_GB2312"/>
          <w:sz w:val="32"/>
          <w:szCs w:val="32"/>
        </w:rPr>
        <w:t>部门决算包括：</w:t>
      </w:r>
      <w:r>
        <w:rPr>
          <w:rFonts w:ascii="仿宋_GB2312" w:eastAsia="仿宋_GB2312"/>
          <w:sz w:val="32"/>
          <w:szCs w:val="32"/>
        </w:rPr>
        <w:t>新疆喀什地区塔什库尔干县妇幼保健站</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新疆喀什地区塔什库尔干县妇幼保健站</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1"/>
        <w:gridCol w:w="5665"/>
        <w:gridCol w:w="1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510" w:hRule="exact"/>
        </w:trPr>
        <w:tc>
          <w:tcPr>
            <w:tcW w:w="2051"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665"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748"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051"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665"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新疆喀什地区塔什库尔干县妇幼保健站</w:t>
            </w:r>
          </w:p>
        </w:tc>
        <w:tc>
          <w:tcPr>
            <w:tcW w:w="174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81.67</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，与上年相比，增加14.61万元，增长21.79%，增加的主要原因是：</w:t>
      </w:r>
      <w:r>
        <w:rPr>
          <w:rFonts w:hint="eastAsia" w:ascii="仿宋_GB2312" w:eastAsia="仿宋_GB2312"/>
          <w:color w:val="000000" w:themeColor="text1"/>
          <w:sz w:val="32"/>
          <w:szCs w:val="32"/>
        </w:rPr>
        <w:t>政策性工资补发增加，主要是工龄工资、</w:t>
      </w:r>
      <w:r>
        <w:rPr>
          <w:rFonts w:hint="eastAsia" w:ascii="仿宋_GB2312" w:eastAsia="仿宋_GB2312"/>
          <w:color w:val="000000" w:themeColor="text1"/>
          <w:sz w:val="32"/>
          <w:szCs w:val="32"/>
          <w:lang w:val="en-US" w:eastAsia="zh-CN"/>
        </w:rPr>
        <w:t>基本工资、</w:t>
      </w:r>
      <w:r>
        <w:rPr>
          <w:rFonts w:hint="eastAsia" w:ascii="仿宋_GB2312" w:eastAsia="仿宋_GB2312"/>
          <w:color w:val="000000" w:themeColor="text1"/>
          <w:sz w:val="32"/>
          <w:szCs w:val="32"/>
        </w:rPr>
        <w:t>艰苦边远津贴补发；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81.67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，与上年相比，增加14.61万元，增长21.79%，增加的主要原因是：</w:t>
      </w:r>
      <w:r>
        <w:rPr>
          <w:rFonts w:hint="eastAsia" w:ascii="仿宋_GB2312" w:eastAsia="仿宋_GB2312"/>
          <w:color w:val="000000" w:themeColor="text1"/>
          <w:sz w:val="32"/>
          <w:szCs w:val="32"/>
        </w:rPr>
        <w:t>政策性工资补发增加，主要是工龄工资、</w:t>
      </w:r>
      <w:r>
        <w:rPr>
          <w:rFonts w:hint="eastAsia" w:ascii="仿宋_GB2312" w:eastAsia="仿宋_GB2312"/>
          <w:color w:val="000000" w:themeColor="text1"/>
          <w:sz w:val="32"/>
          <w:szCs w:val="32"/>
          <w:lang w:val="en-US" w:eastAsia="zh-CN"/>
        </w:rPr>
        <w:t>基本工资、</w:t>
      </w:r>
      <w:r>
        <w:rPr>
          <w:rFonts w:hint="eastAsia" w:ascii="仿宋_GB2312" w:eastAsia="仿宋_GB2312"/>
          <w:color w:val="000000" w:themeColor="text1"/>
          <w:sz w:val="32"/>
          <w:szCs w:val="32"/>
        </w:rPr>
        <w:t>艰苦边远津贴补发；</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color w:val="000000"/>
          <w:sz w:val="32"/>
          <w:szCs w:val="32"/>
          <w:lang w:val="en-US" w:eastAsia="zh-CN"/>
        </w:rPr>
        <w:t>本年与上年均无结余资金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81.67</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81.67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况：本年收入年初预算数74.91万元</w:t>
      </w:r>
      <w:r>
        <w:rPr>
          <w:rFonts w:hint="eastAsia" w:ascii="仿宋_GB2312" w:eastAsia="仿宋_GB2312"/>
          <w:sz w:val="32"/>
          <w:szCs w:val="32"/>
        </w:rPr>
        <w:t>，决算数81.67万元</w:t>
      </w:r>
      <w:r>
        <w:rPr>
          <w:rFonts w:ascii="仿宋_GB2312" w:eastAsia="仿宋_GB2312"/>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sz w:val="32"/>
          <w:szCs w:val="32"/>
        </w:rPr>
        <w:t>艰苦边远津贴补发。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81.67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81.67</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与年初预算数相比情况：本年支出年初预算数74.91万元，</w:t>
      </w:r>
      <w:r>
        <w:rPr>
          <w:rFonts w:hint="eastAsia" w:ascii="仿宋_GB2312" w:eastAsia="仿宋_GB2312"/>
          <w:sz w:val="32"/>
          <w:szCs w:val="32"/>
        </w:rPr>
        <w:t>决算数81.67万元</w:t>
      </w:r>
      <w:r>
        <w:rPr>
          <w:rFonts w:ascii="仿宋_GB2312" w:eastAsia="仿宋_GB2312"/>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sz w:val="32"/>
          <w:szCs w:val="32"/>
        </w:rPr>
        <w:t>艰苦边远津贴补发。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81.67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，与上年相比，增加14.61万元，增长21.79%，增加的主要原因是：政策性工资补发增加，主要是工龄工资、</w:t>
      </w:r>
      <w:r>
        <w:rPr>
          <w:rFonts w:hint="eastAsia" w:ascii="仿宋_GB2312" w:eastAsia="仿宋_GB2312"/>
          <w:color w:val="000000" w:themeColor="text1"/>
          <w:sz w:val="32"/>
          <w:szCs w:val="32"/>
          <w:lang w:val="en-US" w:eastAsia="zh-CN"/>
        </w:rPr>
        <w:t>基本工资、</w:t>
      </w:r>
      <w:r>
        <w:rPr>
          <w:rFonts w:hint="eastAsia" w:ascii="仿宋_GB2312" w:eastAsia="仿宋_GB2312"/>
          <w:sz w:val="32"/>
          <w:szCs w:val="32"/>
        </w:rPr>
        <w:t>艰苦边远津贴补发。</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81.67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，与上年相比，增加14.61万元，增长21.79%，增加的主要原因是：</w:t>
      </w:r>
      <w:r>
        <w:rPr>
          <w:rFonts w:ascii="仿宋_GB2312" w:eastAsia="仿宋_GB2312"/>
          <w:sz w:val="32"/>
          <w:szCs w:val="32"/>
        </w:rPr>
        <w:t>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sz w:val="32"/>
          <w:szCs w:val="32"/>
        </w:rPr>
        <w:t>艰苦边远津贴补发。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81.67</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74.91</w:t>
      </w:r>
      <w:r>
        <w:rPr>
          <w:rFonts w:hint="eastAsia" w:ascii="仿宋_GB2312" w:eastAsia="仿宋_GB2312"/>
          <w:color w:val="000000" w:themeColor="text1"/>
          <w:sz w:val="32"/>
          <w:szCs w:val="32"/>
        </w:rPr>
        <w:t>万元，决算数</w:t>
      </w:r>
      <w:r>
        <w:rPr>
          <w:rFonts w:hint="eastAsia" w:ascii="仿宋_GB2312" w:eastAsia="仿宋_GB2312"/>
          <w:sz w:val="32"/>
          <w:szCs w:val="32"/>
        </w:rPr>
        <w:t>81.67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color w:val="000000" w:themeColor="text1"/>
          <w:sz w:val="32"/>
          <w:szCs w:val="32"/>
        </w:rPr>
        <w:t>艰苦边远津贴补发。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74.91</w:t>
      </w:r>
      <w:r>
        <w:rPr>
          <w:rFonts w:hint="eastAsia" w:ascii="仿宋_GB2312" w:eastAsia="仿宋_GB2312"/>
          <w:color w:val="000000" w:themeColor="text1"/>
          <w:sz w:val="32"/>
          <w:szCs w:val="32"/>
        </w:rPr>
        <w:t>万元，决算数</w:t>
      </w:r>
      <w:r>
        <w:rPr>
          <w:rFonts w:hint="eastAsia" w:ascii="仿宋_GB2312" w:eastAsia="仿宋_GB2312"/>
          <w:sz w:val="32"/>
          <w:szCs w:val="32"/>
        </w:rPr>
        <w:t>81.67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color w:val="000000" w:themeColor="text1"/>
          <w:sz w:val="32"/>
          <w:szCs w:val="32"/>
        </w:rPr>
        <w:t>艰苦边远津贴补发。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81.67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，与上年相比，增加14.61万元，增长21.79%，增加的主要原因是：政策性工资补发增加，主要是工龄工资、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color w:val="000000" w:themeColor="text1"/>
          <w:sz w:val="32"/>
          <w:szCs w:val="32"/>
        </w:rPr>
        <w:t>艰苦边远津贴补发。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81.67</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，与上年相比，增加14.61万元，增长21.79%，增加的主要原因是：政策性工资补发增加，主要是工龄工资、</w:t>
      </w:r>
      <w:r>
        <w:rPr>
          <w:rFonts w:hint="eastAsia" w:ascii="仿宋_GB2312" w:eastAsia="仿宋_GB2312"/>
          <w:color w:val="000000" w:themeColor="text1"/>
          <w:sz w:val="32"/>
          <w:szCs w:val="32"/>
          <w:lang w:val="en-US" w:eastAsia="zh-CN"/>
        </w:rPr>
        <w:t>基本工资、</w:t>
      </w:r>
      <w:r>
        <w:rPr>
          <w:rFonts w:hint="eastAsia" w:ascii="仿宋_GB2312" w:eastAsia="仿宋_GB2312"/>
          <w:sz w:val="32"/>
          <w:szCs w:val="32"/>
        </w:rPr>
        <w:t>艰苦边远津贴补发。</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医疗卫生与计划生育支出70.03万元,住房保障支出4.71万元,社会保障和就业支出6.94万元。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工资福利支出74.02万元,商品和服务支出2.93万元,对个人和家庭的补助4.72万元。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74.91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81.67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r>
        <w:rPr>
          <w:rFonts w:ascii="仿宋_GB2312" w:eastAsia="仿宋_GB2312"/>
          <w:color w:val="000000" w:themeColor="text1"/>
          <w:sz w:val="32"/>
          <w:szCs w:val="32"/>
        </w:rPr>
        <w:t>艰苦边远津贴补发。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74.91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81.67</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，预决算差异率9.02%，差异主要原因是政策性工资补发增加，主要是工龄工资、</w:t>
      </w:r>
      <w:r>
        <w:rPr>
          <w:rFonts w:hint="eastAsia" w:ascii="仿宋_GB2312" w:eastAsia="仿宋_GB2312"/>
          <w:color w:val="000000" w:themeColor="text1"/>
          <w:sz w:val="32"/>
          <w:szCs w:val="32"/>
          <w:lang w:val="en-US" w:eastAsia="zh-CN"/>
        </w:rPr>
        <w:t>基本工资、</w:t>
      </w:r>
      <w:bookmarkStart w:id="79" w:name="_GoBack"/>
      <w:bookmarkEnd w:id="79"/>
      <w:r>
        <w:rPr>
          <w:rFonts w:ascii="仿宋_GB2312" w:eastAsia="仿宋_GB2312"/>
          <w:color w:val="000000" w:themeColor="text1"/>
          <w:sz w:val="32"/>
          <w:szCs w:val="32"/>
        </w:rPr>
        <w:t>艰苦边远津贴补发。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pPr>
      <w:bookmarkStart w:id="52" w:name="OLE_LINK79"/>
      <w:bookmarkStart w:id="53" w:name="OLE_LINK80"/>
      <w:r>
        <w:rPr>
          <w:rFonts w:hint="eastAsia" w:ascii="仿宋_GB2312" w:eastAsia="仿宋_GB2312"/>
          <w:color w:val="000000"/>
          <w:sz w:val="32"/>
          <w:szCs w:val="32"/>
        </w:rPr>
        <w:t>2018年度一般公共预算“三公”经费支出决算</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hint="eastAsia" w:ascii="仿宋_GB2312" w:eastAsia="仿宋_GB2312"/>
          <w:sz w:val="32"/>
          <w:szCs w:val="32"/>
        </w:rPr>
        <w:t>。</w:t>
      </w:r>
      <w:r>
        <w:rPr>
          <w:rFonts w:hint="eastAsia" w:ascii="仿宋_GB2312" w:eastAsia="仿宋_GB2312"/>
          <w:color w:val="000000"/>
          <w:sz w:val="32"/>
          <w:szCs w:val="32"/>
        </w:rPr>
        <w:t>其中，因公出国（境）费支出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r>
        <w:rPr>
          <w:rFonts w:hint="eastAsia" w:ascii="仿宋_GB2312" w:eastAsia="仿宋_GB2312"/>
          <w:color w:val="000000"/>
          <w:sz w:val="32"/>
          <w:szCs w:val="32"/>
        </w:rPr>
        <w:t>公务用车购置及运行维护费支出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新疆喀什地区塔什库尔干县妇幼保健站</w:t>
      </w:r>
      <w:r>
        <w:rPr>
          <w:rFonts w:hint="eastAsia" w:ascii="仿宋_GB2312" w:eastAsia="仿宋_GB2312"/>
          <w:color w:val="000000" w:themeColor="text1"/>
          <w:sz w:val="32"/>
          <w:szCs w:val="32"/>
        </w:rPr>
        <w:t>单位</w:t>
      </w:r>
      <w:bookmarkStart w:id="54" w:name="OLE_LINK33"/>
      <w:r>
        <w:rPr>
          <w:rFonts w:hint="eastAsia" w:ascii="仿宋_GB2312" w:eastAsia="仿宋_GB2312"/>
          <w:color w:val="000000" w:themeColor="text1"/>
          <w:sz w:val="32"/>
          <w:szCs w:val="32"/>
        </w:rPr>
        <w:t>全年</w:t>
      </w:r>
      <w:bookmarkStart w:id="55" w:name="OLE_LINK35"/>
      <w:bookmarkStart w:id="56" w:name="OLE_LINK34"/>
      <w:bookmarkStart w:id="57" w:name="OLE_LINK36"/>
      <w:r>
        <w:rPr>
          <w:rFonts w:hint="eastAsia" w:ascii="仿宋_GB2312" w:eastAsia="仿宋_GB2312"/>
          <w:color w:val="000000" w:themeColor="text1"/>
          <w:sz w:val="32"/>
          <w:szCs w:val="32"/>
        </w:rPr>
        <w:t>使用一般公共预算财政拨款安排的出国（境）团组</w:t>
      </w:r>
      <w:bookmarkEnd w:id="54"/>
      <w:bookmarkEnd w:id="55"/>
      <w:bookmarkEnd w:id="56"/>
      <w:r>
        <w:rPr>
          <w:rFonts w:hint="eastAsia" w:ascii="仿宋_GB2312" w:eastAsia="仿宋_GB2312"/>
          <w:sz w:val="32"/>
          <w:szCs w:val="32"/>
        </w:rPr>
        <w:t>0</w:t>
      </w:r>
      <w:r>
        <w:rPr>
          <w:rFonts w:hint="eastAsia" w:ascii="仿宋_GB2312" w:eastAsia="仿宋_GB2312"/>
          <w:color w:val="000000" w:themeColor="text1"/>
          <w:sz w:val="32"/>
          <w:szCs w:val="32"/>
        </w:rPr>
        <w:t>个</w:t>
      </w:r>
      <w:bookmarkEnd w:id="57"/>
      <w:r>
        <w:rPr>
          <w:rFonts w:hint="eastAsia" w:ascii="仿宋_GB2312" w:eastAsia="仿宋_GB2312"/>
          <w:color w:val="000000" w:themeColor="text1"/>
          <w:sz w:val="32"/>
          <w:szCs w:val="32"/>
        </w:rPr>
        <w:t>，</w:t>
      </w:r>
      <w:bookmarkStart w:id="58"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58"/>
      <w:r>
        <w:rPr>
          <w:rFonts w:hint="eastAsia" w:ascii="仿宋_GB2312" w:eastAsia="仿宋_GB2312"/>
          <w:color w:val="000000" w:themeColor="text1"/>
          <w:sz w:val="32"/>
          <w:szCs w:val="32"/>
        </w:rPr>
        <w:t>。</w:t>
      </w:r>
      <w:bookmarkStart w:id="59"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2"/>
      <w:bookmarkEnd w:id="53"/>
      <w:bookmarkEnd w:id="59"/>
    </w:p>
    <w:p>
      <w:pPr>
        <w:spacing w:line="540" w:lineRule="exact"/>
        <w:ind w:firstLine="640" w:firstLineChars="200"/>
        <w:rPr>
          <w:rFonts w:ascii="仿宋_GB2312" w:eastAsia="仿宋_GB2312"/>
          <w:color w:val="000000" w:themeColor="text1"/>
          <w:sz w:val="32"/>
          <w:szCs w:val="32"/>
        </w:rPr>
      </w:pPr>
      <w:bookmarkStart w:id="60"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61"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1"/>
      <w:r>
        <w:rPr>
          <w:rFonts w:hint="eastAsia" w:ascii="仿宋_GB2312" w:eastAsia="仿宋_GB2312"/>
          <w:color w:val="000000" w:themeColor="text1"/>
          <w:sz w:val="32"/>
          <w:szCs w:val="32"/>
        </w:rPr>
        <w:t>，</w:t>
      </w:r>
      <w:bookmarkStart w:id="62" w:name="OLE_LINK40"/>
      <w:bookmarkStart w:id="63"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2"/>
      <w:bookmarkEnd w:id="63"/>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themeColor="text1"/>
          <w:sz w:val="32"/>
          <w:szCs w:val="32"/>
        </w:rPr>
        <w:t>等。</w:t>
      </w:r>
      <w:bookmarkEnd w:id="60"/>
      <w:bookmarkStart w:id="64"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64"/>
    </w:p>
    <w:p>
      <w:pPr>
        <w:spacing w:line="540" w:lineRule="exact"/>
        <w:ind w:firstLine="640" w:firstLineChars="200"/>
        <w:rPr>
          <w:rFonts w:ascii="仿宋_GB2312" w:eastAsia="仿宋_GB2312"/>
          <w:color w:val="000000" w:themeColor="text1"/>
          <w:sz w:val="32"/>
          <w:szCs w:val="32"/>
        </w:rPr>
      </w:pPr>
      <w:bookmarkStart w:id="65"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w:t>
      </w:r>
      <w:r>
        <w:rPr>
          <w:rFonts w:hint="eastAsia" w:ascii="仿宋_GB2312" w:eastAsia="仿宋_GB2312"/>
          <w:color w:val="000000" w:themeColor="text1"/>
          <w:sz w:val="32"/>
          <w:szCs w:val="32"/>
        </w:rPr>
        <w:t>等。</w:t>
      </w:r>
      <w:bookmarkEnd w:id="65"/>
      <w:bookmarkStart w:id="66" w:name="OLE_LINK84"/>
      <w:r>
        <w:rPr>
          <w:rFonts w:hint="eastAsia" w:ascii="仿宋_GB2312" w:eastAsia="仿宋_GB2312"/>
          <w:sz w:val="32"/>
          <w:szCs w:val="32"/>
        </w:rPr>
        <w:t>新疆喀什地区塔什库尔干县妇幼保健站</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6"/>
    </w:p>
    <w:p>
      <w:pPr>
        <w:spacing w:line="540" w:lineRule="exact"/>
        <w:ind w:firstLine="640" w:firstLineChars="200"/>
        <w:rPr>
          <w:rFonts w:ascii="仿宋_GB2312" w:hAnsi="宋体" w:eastAsia="仿宋_GB2312" w:cs="宋体"/>
          <w:color w:val="000000" w:themeColor="text1"/>
          <w:kern w:val="0"/>
          <w:sz w:val="32"/>
          <w:szCs w:val="32"/>
        </w:rPr>
      </w:pPr>
      <w:bookmarkStart w:id="67"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w:t>
      </w:r>
      <w:r>
        <w:rPr>
          <w:rFonts w:hint="eastAsia" w:ascii="仿宋_GB2312" w:eastAsia="仿宋_GB2312"/>
          <w:color w:val="000000" w:themeColor="text1"/>
          <w:sz w:val="32"/>
          <w:szCs w:val="32"/>
          <w:lang w:eastAsia="zh-CN"/>
        </w:rPr>
        <w:t>是本单位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rPr>
        <w:t>一般公共预算“三公”经费支出</w:t>
      </w:r>
      <w:r>
        <w:rPr>
          <w:rFonts w:ascii="仿宋_GB2312" w:eastAsia="仿宋_GB2312"/>
          <w:color w:val="000000" w:themeColor="text1"/>
          <w:sz w:val="32"/>
          <w:szCs w:val="32"/>
        </w:rPr>
        <w:t>。</w:t>
      </w:r>
      <w:bookmarkEnd w:id="67"/>
      <w:bookmarkStart w:id="68" w:name="OLE_LINK87"/>
      <w:bookmarkStart w:id="69"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w:t>
      </w:r>
      <w:r>
        <w:rPr>
          <w:rFonts w:hint="eastAsia" w:ascii="仿宋_GB2312" w:hAnsi="宋体" w:eastAsia="仿宋_GB2312" w:cs="宋体"/>
          <w:color w:val="000000" w:themeColor="text1"/>
          <w:kern w:val="0"/>
          <w:sz w:val="32"/>
          <w:szCs w:val="32"/>
        </w:rPr>
        <w:t>因公出国（境）费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68"/>
      <w:bookmarkEnd w:id="69"/>
      <w:bookmarkStart w:id="70" w:name="OLE_LINK88"/>
      <w:bookmarkStart w:id="71"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70"/>
      <w:bookmarkEnd w:id="71"/>
      <w:bookmarkStart w:id="72"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本单位无</w:t>
      </w:r>
      <w:r>
        <w:rPr>
          <w:rFonts w:hint="eastAsia" w:ascii="仿宋_GB2312" w:hAnsi="宋体" w:eastAsia="仿宋_GB2312" w:cs="宋体"/>
          <w:color w:val="000000" w:themeColor="text1"/>
          <w:kern w:val="0"/>
          <w:sz w:val="32"/>
          <w:szCs w:val="32"/>
        </w:rPr>
        <w:t>公务用车运行费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2"/>
      <w:bookmarkStart w:id="73"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3"/>
      <w:r>
        <w:rPr>
          <w:rFonts w:hint="eastAsia" w:ascii="仿宋_GB2312" w:eastAsia="仿宋_GB2312"/>
          <w:sz w:val="32"/>
          <w:szCs w:val="32"/>
        </w:rPr>
        <w:t>本单位无公务接待费</w:t>
      </w:r>
      <w:r>
        <w:rPr>
          <w:rFonts w:hint="eastAsia" w:ascii="仿宋_GB2312" w:eastAsia="仿宋_GB2312"/>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新疆喀什地区塔什库尔干县妇幼保健站日常公用经费2.93万元，与上年相比，减少1.93万元，下降39.71%，减少的主要原因是：办公经费，培训费，差旅费等日常公用经费开支减少。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4" w:name="OLE_LINK45"/>
      <w:r>
        <w:rPr>
          <w:rFonts w:hint="eastAsia" w:ascii="仿宋_GB2312" w:eastAsia="仿宋_GB2312"/>
          <w:color w:val="000000" w:themeColor="text1"/>
          <w:sz w:val="32"/>
          <w:szCs w:val="32"/>
        </w:rPr>
        <w:t>政府采购支出总额</w:t>
      </w:r>
      <w:bookmarkEnd w:id="74"/>
      <w:r>
        <w:rPr>
          <w:rFonts w:hint="eastAsia" w:ascii="仿宋_GB2312" w:eastAsia="仿宋_GB2312"/>
          <w:sz w:val="32"/>
          <w:szCs w:val="32"/>
        </w:rPr>
        <w:t>0.93</w:t>
      </w:r>
      <w:r>
        <w:rPr>
          <w:rFonts w:hint="eastAsia" w:ascii="仿宋_GB2312" w:eastAsia="仿宋_GB2312"/>
          <w:color w:val="000000" w:themeColor="text1"/>
          <w:sz w:val="32"/>
          <w:szCs w:val="32"/>
        </w:rPr>
        <w:t>万元，其中：</w:t>
      </w:r>
      <w:bookmarkStart w:id="75" w:name="OLE_LINK46"/>
      <w:r>
        <w:rPr>
          <w:rFonts w:hint="eastAsia" w:ascii="仿宋_GB2312" w:eastAsia="仿宋_GB2312"/>
          <w:color w:val="000000" w:themeColor="text1"/>
          <w:sz w:val="32"/>
          <w:szCs w:val="32"/>
        </w:rPr>
        <w:t>政府采购货物支出</w:t>
      </w:r>
      <w:bookmarkEnd w:id="75"/>
      <w:r>
        <w:rPr>
          <w:rFonts w:hint="eastAsia" w:ascii="仿宋_GB2312" w:eastAsia="仿宋_GB2312"/>
          <w:sz w:val="32"/>
          <w:szCs w:val="32"/>
        </w:rPr>
        <w:t>0.61</w:t>
      </w:r>
      <w:r>
        <w:rPr>
          <w:rFonts w:hint="eastAsia" w:ascii="仿宋_GB2312" w:eastAsia="仿宋_GB2312"/>
          <w:color w:val="000000" w:themeColor="text1"/>
          <w:sz w:val="32"/>
          <w:szCs w:val="32"/>
        </w:rPr>
        <w:t>万元、</w:t>
      </w:r>
      <w:bookmarkStart w:id="76" w:name="OLE_LINK47"/>
      <w:r>
        <w:rPr>
          <w:rFonts w:hint="eastAsia" w:ascii="仿宋_GB2312" w:eastAsia="仿宋_GB2312"/>
          <w:color w:val="000000" w:themeColor="text1"/>
          <w:sz w:val="32"/>
          <w:szCs w:val="32"/>
        </w:rPr>
        <w:t>政府采购工程支出</w:t>
      </w:r>
      <w:bookmarkEnd w:id="76"/>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7" w:name="OLE_LINK48"/>
      <w:r>
        <w:rPr>
          <w:rFonts w:hint="eastAsia" w:ascii="仿宋_GB2312" w:eastAsia="仿宋_GB2312"/>
          <w:color w:val="000000" w:themeColor="text1"/>
          <w:sz w:val="32"/>
          <w:szCs w:val="32"/>
        </w:rPr>
        <w:t>政府采购服务支出</w:t>
      </w:r>
      <w:bookmarkEnd w:id="77"/>
      <w:r>
        <w:rPr>
          <w:rFonts w:hint="eastAsia" w:ascii="仿宋_GB2312" w:eastAsia="仿宋_GB2312"/>
          <w:sz w:val="32"/>
          <w:szCs w:val="32"/>
        </w:rPr>
        <w:t>0.32</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78"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7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jc w:val="left"/>
        <w:rPr>
          <w:rFonts w:ascii="仿宋_GB2312" w:eastAsia="仿宋_GB2312"/>
          <w:sz w:val="32"/>
          <w:szCs w:val="32"/>
        </w:rPr>
      </w:pP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018年度，本部门单位预算绩效自评情况：</w:t>
      </w:r>
      <w:r>
        <w:rPr>
          <w:rFonts w:ascii="仿宋_GB2312" w:eastAsia="仿宋_GB2312"/>
          <w:color w:val="000000" w:themeColor="text1"/>
          <w:sz w:val="32"/>
          <w:szCs w:val="32"/>
        </w:rPr>
        <w:t>201</w:t>
      </w:r>
      <w:r>
        <w:rPr>
          <w:rFonts w:hint="eastAsia" w:ascii="仿宋_GB2312" w:eastAsia="仿宋_GB2312"/>
          <w:color w:val="000000" w:themeColor="text1"/>
          <w:sz w:val="32"/>
          <w:szCs w:val="32"/>
          <w:lang w:val="en-US" w:eastAsia="zh-CN"/>
        </w:rPr>
        <w:t>8</w:t>
      </w:r>
      <w:r>
        <w:rPr>
          <w:rFonts w:hint="eastAsia" w:ascii="仿宋_GB2312" w:eastAsia="仿宋_GB2312"/>
          <w:color w:val="000000" w:themeColor="text1"/>
          <w:sz w:val="32"/>
          <w:szCs w:val="32"/>
        </w:rPr>
        <w:t>年度，本部门单位实行绩效管理的项目</w:t>
      </w:r>
      <w:r>
        <w:rPr>
          <w:rFonts w:ascii="仿宋_GB2312" w:eastAsia="仿宋_GB2312"/>
          <w:color w:val="000000" w:themeColor="text1"/>
          <w:sz w:val="32"/>
          <w:szCs w:val="32"/>
        </w:rPr>
        <w:t>0</w:t>
      </w:r>
      <w:r>
        <w:rPr>
          <w:rFonts w:hint="eastAsia" w:ascii="仿宋_GB2312" w:eastAsia="仿宋_GB2312"/>
          <w:color w:val="000000" w:themeColor="text1"/>
          <w:sz w:val="32"/>
          <w:szCs w:val="32"/>
        </w:rPr>
        <w:t>个，涉及预算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万元，项目支出决算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万元。年末本部门单位民生项目和重点支出项目的绩效评价开展情况及结果：无</w:t>
      </w:r>
      <w:r>
        <w:rPr>
          <w:rFonts w:hint="eastAsia" w:ascii="仿宋_GB2312" w:eastAsia="仿宋_GB2312"/>
          <w:color w:val="000000" w:themeColor="text1"/>
          <w:sz w:val="32"/>
          <w:szCs w:val="32"/>
          <w:lang w:eastAsia="zh-CN"/>
        </w:rPr>
        <w:t>预算绩效情况</w:t>
      </w:r>
      <w:r>
        <w:rPr>
          <w:rFonts w:hint="eastAsia" w:ascii="仿宋_GB2312" w:eastAsia="仿宋_GB2312"/>
          <w:color w:val="000000" w:themeColor="text1"/>
          <w:sz w:val="32"/>
          <w:szCs w:val="32"/>
        </w:rPr>
        <w:t>。</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221（类）02（款）01（项）指：住房公积金。210（类）04（款）03（项）指：妇幼保健机构。208（类）05（款）05（项）指：机关事业单位基本养老保险缴费支出。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16ED"/>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745581"/>
    <w:rsid w:val="04DB02C7"/>
    <w:rsid w:val="055A5D10"/>
    <w:rsid w:val="06B856EE"/>
    <w:rsid w:val="07FE5938"/>
    <w:rsid w:val="084604BC"/>
    <w:rsid w:val="08883825"/>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440EC7"/>
    <w:rsid w:val="18D54A0D"/>
    <w:rsid w:val="1A4106A0"/>
    <w:rsid w:val="1A4F5437"/>
    <w:rsid w:val="1AB76FDD"/>
    <w:rsid w:val="1AB77CD0"/>
    <w:rsid w:val="1B1A13D6"/>
    <w:rsid w:val="1E807156"/>
    <w:rsid w:val="1EA657F6"/>
    <w:rsid w:val="1F097CB6"/>
    <w:rsid w:val="1F116668"/>
    <w:rsid w:val="20905375"/>
    <w:rsid w:val="2166156B"/>
    <w:rsid w:val="21B02D83"/>
    <w:rsid w:val="22A236F5"/>
    <w:rsid w:val="23995975"/>
    <w:rsid w:val="2432220E"/>
    <w:rsid w:val="248303BA"/>
    <w:rsid w:val="24837E47"/>
    <w:rsid w:val="252E01AA"/>
    <w:rsid w:val="2680023E"/>
    <w:rsid w:val="29680352"/>
    <w:rsid w:val="299A071D"/>
    <w:rsid w:val="2A020F75"/>
    <w:rsid w:val="2B007AEE"/>
    <w:rsid w:val="2BC14C56"/>
    <w:rsid w:val="2C1B026F"/>
    <w:rsid w:val="2CC61F55"/>
    <w:rsid w:val="2EF7452F"/>
    <w:rsid w:val="2F1D13B4"/>
    <w:rsid w:val="2FAA3DA6"/>
    <w:rsid w:val="30682E1F"/>
    <w:rsid w:val="30E210D2"/>
    <w:rsid w:val="311371D6"/>
    <w:rsid w:val="31EB64C9"/>
    <w:rsid w:val="32363828"/>
    <w:rsid w:val="336D0D6F"/>
    <w:rsid w:val="352E4BEC"/>
    <w:rsid w:val="37DD5594"/>
    <w:rsid w:val="38F24FA8"/>
    <w:rsid w:val="3A98342A"/>
    <w:rsid w:val="3AB6780E"/>
    <w:rsid w:val="3AD56D70"/>
    <w:rsid w:val="3B2920C2"/>
    <w:rsid w:val="3BE41ABD"/>
    <w:rsid w:val="3C5421A9"/>
    <w:rsid w:val="3D4407B7"/>
    <w:rsid w:val="3D903B21"/>
    <w:rsid w:val="3E4E3562"/>
    <w:rsid w:val="3F440741"/>
    <w:rsid w:val="40925780"/>
    <w:rsid w:val="41FC306C"/>
    <w:rsid w:val="4311674D"/>
    <w:rsid w:val="440E3242"/>
    <w:rsid w:val="44BE5554"/>
    <w:rsid w:val="44C05B01"/>
    <w:rsid w:val="451E0908"/>
    <w:rsid w:val="452C2D31"/>
    <w:rsid w:val="45D26E14"/>
    <w:rsid w:val="46A541B1"/>
    <w:rsid w:val="470D387F"/>
    <w:rsid w:val="48C57772"/>
    <w:rsid w:val="49782886"/>
    <w:rsid w:val="4A136B8A"/>
    <w:rsid w:val="4A51102A"/>
    <w:rsid w:val="4A6513B0"/>
    <w:rsid w:val="4A6F0D28"/>
    <w:rsid w:val="4AAF085C"/>
    <w:rsid w:val="4AEB7E60"/>
    <w:rsid w:val="4B4B135B"/>
    <w:rsid w:val="4BC7055F"/>
    <w:rsid w:val="4CFC7DB2"/>
    <w:rsid w:val="4E7C187D"/>
    <w:rsid w:val="4E9B366C"/>
    <w:rsid w:val="508941AD"/>
    <w:rsid w:val="50E65530"/>
    <w:rsid w:val="51457139"/>
    <w:rsid w:val="51574DBD"/>
    <w:rsid w:val="51EC1DA8"/>
    <w:rsid w:val="52172E49"/>
    <w:rsid w:val="52FC5524"/>
    <w:rsid w:val="532D7A17"/>
    <w:rsid w:val="53E302B6"/>
    <w:rsid w:val="54AF4562"/>
    <w:rsid w:val="54C9674B"/>
    <w:rsid w:val="55203DE6"/>
    <w:rsid w:val="556318EA"/>
    <w:rsid w:val="55A60AA1"/>
    <w:rsid w:val="56451615"/>
    <w:rsid w:val="57FC5774"/>
    <w:rsid w:val="59B332C9"/>
    <w:rsid w:val="5A44758A"/>
    <w:rsid w:val="5B3F1BE8"/>
    <w:rsid w:val="5BEC4BB3"/>
    <w:rsid w:val="5C070B55"/>
    <w:rsid w:val="5C206430"/>
    <w:rsid w:val="5CB96DCE"/>
    <w:rsid w:val="5CE61580"/>
    <w:rsid w:val="5D175666"/>
    <w:rsid w:val="5D556A3C"/>
    <w:rsid w:val="5D7B25C9"/>
    <w:rsid w:val="5ECB44B4"/>
    <w:rsid w:val="5EE2043C"/>
    <w:rsid w:val="602D2E37"/>
    <w:rsid w:val="61460FBE"/>
    <w:rsid w:val="62775810"/>
    <w:rsid w:val="62D83744"/>
    <w:rsid w:val="630F4048"/>
    <w:rsid w:val="63142C2E"/>
    <w:rsid w:val="63AA02E5"/>
    <w:rsid w:val="64700DE9"/>
    <w:rsid w:val="65C613BD"/>
    <w:rsid w:val="65FD118C"/>
    <w:rsid w:val="682C3D89"/>
    <w:rsid w:val="68611305"/>
    <w:rsid w:val="69772D99"/>
    <w:rsid w:val="6A162DE0"/>
    <w:rsid w:val="6A331428"/>
    <w:rsid w:val="6B2E5CB6"/>
    <w:rsid w:val="6B3D4886"/>
    <w:rsid w:val="6C017883"/>
    <w:rsid w:val="6DF8675E"/>
    <w:rsid w:val="6EA80098"/>
    <w:rsid w:val="6EE9240E"/>
    <w:rsid w:val="6F8D70FF"/>
    <w:rsid w:val="6FFE5011"/>
    <w:rsid w:val="7178734D"/>
    <w:rsid w:val="71791096"/>
    <w:rsid w:val="717B0C34"/>
    <w:rsid w:val="71FB78FD"/>
    <w:rsid w:val="7275064A"/>
    <w:rsid w:val="7302569B"/>
    <w:rsid w:val="733F750B"/>
    <w:rsid w:val="735702E2"/>
    <w:rsid w:val="765F635A"/>
    <w:rsid w:val="76B73454"/>
    <w:rsid w:val="76D254BD"/>
    <w:rsid w:val="77727ACD"/>
    <w:rsid w:val="78071142"/>
    <w:rsid w:val="79296B37"/>
    <w:rsid w:val="7A466EE5"/>
    <w:rsid w:val="7A4C4C40"/>
    <w:rsid w:val="7AA0518E"/>
    <w:rsid w:val="7B041636"/>
    <w:rsid w:val="7BB0301F"/>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0</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2020-04-04T14:45:51Z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