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</w:pPr>
      <w:r>
        <w:rPr>
          <w:rFonts w:ascii="华文中宋" w:hAnsi="华文中宋" w:eastAsia="华文中宋" w:cs="华文中宋"/>
          <w:b/>
          <w:sz w:val="52"/>
          <w:szCs w:val="52"/>
          <w:lang w:val="zh-TW" w:eastAsia="zh-TW"/>
        </w:rPr>
        <w:t>新疆财政支出绩效自评报告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sz w:val="36"/>
          <w:szCs w:val="36"/>
        </w:rPr>
        <w:t>8</w:t>
      </w: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jc w:val="center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</w:p>
    <w:p>
      <w:pPr>
        <w:pStyle w:val="48"/>
        <w:spacing w:line="540" w:lineRule="exact"/>
        <w:rPr>
          <w:sz w:val="30"/>
          <w:szCs w:val="30"/>
        </w:rPr>
      </w:pP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塔什库尔干县“灾后重建”人民医院高原病防治研究中心重建项目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塔什库尔干塔吉克自治县人民医院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主管部门（公章）：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塔什库尔干塔吉克自治县卫计委</w:t>
      </w:r>
    </w:p>
    <w:p>
      <w:pPr>
        <w:pStyle w:val="48"/>
        <w:spacing w:line="700" w:lineRule="exact"/>
        <w:ind w:firstLine="200"/>
        <w:jc w:val="left"/>
        <w:rPr>
          <w:rFonts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徐雪梅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sz w:val="36"/>
          <w:szCs w:val="36"/>
          <w:lang w:val="zh-TW" w:eastAsia="zh-TW"/>
        </w:rPr>
        <w:t>填报时间：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 xml:space="preserve">2018年 12 月 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200"/>
        <w:jc w:val="left"/>
        <w:rPr>
          <w:rFonts w:hint="eastAsia" w:ascii="仿宋_GB2312" w:hAnsi="仿宋_GB2312" w:eastAsia="仿宋_GB2312" w:cs="仿宋_GB2312"/>
          <w:sz w:val="36"/>
          <w:szCs w:val="36"/>
          <w:lang w:val="zh-TW" w:eastAsia="zh-TW"/>
        </w:rPr>
      </w:pPr>
      <w:bookmarkStart w:id="0" w:name="_GoBack"/>
      <w:bookmarkEnd w:id="0"/>
    </w:p>
    <w:p>
      <w:pPr>
        <w:pStyle w:val="48"/>
        <w:spacing w:line="560" w:lineRule="exact"/>
        <w:ind w:firstLine="566"/>
        <w:jc w:val="left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napToGrid w:val="0"/>
        <w:spacing w:line="560" w:lineRule="exact"/>
        <w:ind w:firstLine="566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塔什库尔干县人民医院作为县域内唯一一所二级综合性公立医院，医院占地约3.3万平方米，建筑面积1.03万平方米，业务用房8800平方米，编制床位数100张，实际开放床位数110张，人员编制108人，实际在编97人， 聘用人员101人，设有急诊科、内科、儿科、重症医学科、传染科、外科、妇产科、门诊、医技、行政管理及后勤等29个科室。承担县域居民的常见病、多发病诊疗，危急重症抢救与疑难病转诊，农村基层医疗卫生机构中医类别人员培训指导，以及部分公共卫生服务、自然灾害和突发公共卫生事件应急处置等工作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医院有医疗设备：德国西门子双排CT机、中科美仑数字化X光机、日本原装进口480欧林帕斯全自动生化分析仪、血气分析仪、血球分析仪、电解质分析仪、阿洛卡彩超、菲利普彩超、美国世纪动态血压、日本TM动态心电图、深圳迈瑞插件式监护仪、脑电图机、电子阴道镜、日本产欧林帕斯电子胃镜肠镜、史塞克内窥镜、德尔格麻醉机、美国纽邦呼吸机、飞利浦除颤监护仪、日本拓普康非接触性眼压计和角膜屈率计、韩国迈加耳鼻喉科综合治疗台、德国西诺德牙科综合治疗台、医用空气加压氧舱设备、中心供氧负压吸引系统</w:t>
      </w:r>
      <w:r>
        <w:rPr>
          <w:rFonts w:hint="eastAsia" w:ascii="仿宋" w:hAnsi="仿宋" w:eastAsia="仿宋" w:cs="仿宋"/>
          <w:spacing w:val="-20"/>
          <w:sz w:val="32"/>
          <w:szCs w:val="32"/>
        </w:rPr>
        <w:t>等医疗设备，为医院业务技术的提升奠定了坚实的基础。</w:t>
      </w:r>
    </w:p>
    <w:p>
      <w:pPr>
        <w:snapToGrid w:val="0"/>
        <w:spacing w:line="560" w:lineRule="exact"/>
        <w:ind w:firstLine="566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1、项目预期目标及阶段性目标</w:t>
      </w:r>
    </w:p>
    <w:p>
      <w:pPr>
        <w:pStyle w:val="48"/>
        <w:spacing w:line="560" w:lineRule="exact"/>
        <w:ind w:firstLine="566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塔什库尔干县“灾后重建”人民医院高原病防治研究中心重建项目面积1200平方米，使用</w:t>
      </w:r>
      <w:r>
        <w:rPr>
          <w:rFonts w:hint="eastAsia" w:ascii="仿宋" w:hAnsi="仿宋" w:eastAsia="仿宋" w:cs="仿宋"/>
          <w:sz w:val="32"/>
          <w:szCs w:val="32"/>
          <w:lang w:val="zh-TW"/>
        </w:rPr>
        <w:t>自然灾害灾后重建补助420万元，计划当年完工率为60%</w:t>
      </w:r>
      <w:r>
        <w:rPr>
          <w:rFonts w:hint="eastAsia" w:ascii="仿宋" w:hAnsi="仿宋" w:eastAsia="仿宋" w:cs="仿宋"/>
          <w:sz w:val="32"/>
          <w:szCs w:val="32"/>
          <w:lang w:val="zh-TW" w:eastAsia="zh-CN"/>
        </w:rPr>
        <w:t>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2、项目基本性质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塔什库尔干县“灾后重建”人民医院高原病防治研究中心重建项目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性质为延续性项目。</w:t>
      </w:r>
    </w:p>
    <w:p>
      <w:pPr>
        <w:snapToGrid w:val="0"/>
        <w:spacing w:line="560" w:lineRule="exact"/>
        <w:ind w:firstLine="566"/>
        <w:rPr>
          <w:rFonts w:ascii="仿宋" w:hAnsi="仿宋" w:eastAsia="仿宋"/>
          <w:b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spacing w:val="-4"/>
          <w:sz w:val="32"/>
          <w:szCs w:val="32"/>
        </w:rPr>
        <w:t>3、项目用途及范围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塔什库尔干县“灾后重建”人民医院高原病防治研究中心重建项目面积1200平方米，用于塔什库尔干县高原病防治研究。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塔什库尔干县“灾后重建”人民医院高原病防治研究中心重建项目预算安排总额为420万元，资金来源均为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中央财政灾后重建资金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560" w:lineRule="exact"/>
        <w:ind w:firstLine="566"/>
        <w:outlineLvl w:val="0"/>
        <w:rPr>
          <w:rFonts w:ascii="宋体" w:hAnsi="宋体" w:cs="宋体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2018年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塔什库尔干县“灾后重建”人民医院高原病防治研究中心重建项目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实际支付资金210万元，预算执行率50%,项目结转资金210万元。项目资金主要用于支付施工费210万元。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支出符合我县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塔什库尔干县“灾后重建”人民医院高原病防治研究中心重建项目2018年7月25日开工，竣工时间为2019年7月20日，此项目于2018年7月25日开工,2018年10月20主体已封顶，由于塔县入冬天气寒冷的缘故暂停施工，于2019年3月继续施工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snapToGrid w:val="0"/>
        <w:spacing w:line="560" w:lineRule="exact"/>
        <w:ind w:firstLine="566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项目实施过程中，遵守相关法律法规和业务管理规定，项目资料齐全并及时归档。已建立《2018年塔什库尔干县“灾后重建”人民医院高原病防治研究中心重建项目日常检查监督检查机制》不定期对项目进度情况进行督导检查，对检查过程中发现的问题及时督促整改，确保项目按时保质完成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塔什库尔干县“灾后重建”人民医院高原病防治研究中心重建项目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数量指标：重建项目面积1200平方米。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质量指标:工程施工符合国家相关工程技术规范率100%，工程施工按进度质量检查通过率60%。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时效指标:项目主体已完工，完成工程量的60%。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成本指标：项目单位投资成本1000元/平方米。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社会效益指标：预计该项目全年可完成高原病诊疗患者人次（接诊能力）2.3万人次。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可持续影响指标：该建设项目使用年限预期指标值为≧50年。</w:t>
      </w:r>
    </w:p>
    <w:p>
      <w:pPr>
        <w:spacing w:line="560" w:lineRule="exact"/>
        <w:ind w:firstLine="566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满意度指标：医院患者满意度95%。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napToGrid w:val="0"/>
        <w:spacing w:line="560" w:lineRule="exact"/>
        <w:ind w:firstLine="566"/>
        <w:outlineLvl w:val="0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napToGrid w:val="0"/>
        <w:spacing w:line="560" w:lineRule="exact"/>
        <w:ind w:firstLine="566"/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严格执行项目管理程序，加强医院管理及使用。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2、塔什库尔干县“灾后重建”人民医院高原病防治研究中心重建项目40%工程量于2019年3月中旬开工实施。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主要经验及做法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我单位项目实施过程中，在跑办前期方面，提前做准备，对于项目实施必要性前期手续，能提前办理的提前办理，待项目启动通知下达后实施，有效的节省了项目前期工作推进时间。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存在的问题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numPr>
          <w:ilvl w:val="0"/>
          <w:numId w:val="1"/>
        </w:numPr>
        <w:snapToGrid w:val="0"/>
        <w:spacing w:line="560" w:lineRule="exact"/>
        <w:ind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建议</w:t>
      </w:r>
    </w:p>
    <w:p>
      <w:pPr>
        <w:snapToGrid w:val="0"/>
        <w:spacing w:line="560" w:lineRule="exact"/>
        <w:ind w:left="882" w:leftChars="420" w:firstLine="566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无。</w:t>
      </w:r>
    </w:p>
    <w:p>
      <w:pPr>
        <w:snapToGrid w:val="0"/>
        <w:spacing w:line="560" w:lineRule="exact"/>
        <w:ind w:firstLine="566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napToGrid w:val="0"/>
        <w:spacing w:line="560" w:lineRule="exact"/>
        <w:ind w:firstLine="566"/>
        <w:rPr>
          <w:rFonts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无其他说明内容。</w:t>
      </w:r>
    </w:p>
    <w:p>
      <w:pPr>
        <w:snapToGrid w:val="0"/>
        <w:spacing w:line="560" w:lineRule="exact"/>
        <w:ind w:firstLine="566"/>
        <w:outlineLvl w:val="0"/>
        <w:rPr>
          <w:rFonts w:ascii="黑体" w:hAnsi="黑体" w:eastAsia="黑体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pStyle w:val="48"/>
        <w:spacing w:line="560" w:lineRule="exact"/>
        <w:ind w:firstLine="566"/>
        <w:jc w:val="left"/>
        <w:rPr>
          <w:rFonts w:ascii="仿宋" w:hAnsi="仿宋" w:eastAsia="仿宋" w:cs="仿宋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sz w:val="32"/>
          <w:szCs w:val="32"/>
          <w:lang w:val="zh-TW" w:eastAsia="zh-TW"/>
        </w:rPr>
        <w:t>项目</w:t>
      </w:r>
      <w:r>
        <w:rPr>
          <w:rFonts w:hint="eastAsia" w:ascii="仿宋" w:hAnsi="仿宋" w:eastAsia="仿宋" w:cs="仿宋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资金的使用效率和效果，项目管理过程是否规范，是否完成了预期绩效目标等。同时，通过开展自我评价来总结经验和教训，为医院今后的项目开展提供参考建议。</w:t>
      </w:r>
    </w:p>
    <w:p>
      <w:pPr>
        <w:snapToGrid w:val="0"/>
        <w:spacing w:line="560" w:lineRule="exact"/>
        <w:ind w:firstLine="566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napToGrid w:val="0"/>
        <w:spacing w:line="560" w:lineRule="exact"/>
        <w:ind w:firstLine="566"/>
        <w:rPr>
          <w:rStyle w:val="19"/>
          <w:rFonts w:ascii="仿宋" w:hAnsi="仿宋" w:eastAsia="仿宋" w:cs="仿宋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decimal" w:start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algun Gothic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altName w:val="宋体"/>
    <w:panose1 w:val="00000000000000000000"/>
    <w:charset w:val="52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52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52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52"/>
    <w:family w:val="modern"/>
    <w:pitch w:val="default"/>
    <w:sig w:usb0="00000000" w:usb1="00000000" w:usb2="00000016" w:usb3="00000000" w:csb0="00040001" w:csb1="0000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52"/>
    <w:family w:val="modern"/>
    <w:pitch w:val="default"/>
    <w:sig w:usb0="00000001" w:usb1="080E0000" w:usb2="00000000" w:usb3="00000000" w:csb0="0004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  <w:r>
      <w:rPr>
        <w:sz w:val="20"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2547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BpXH6NGQIAAA8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000000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0000"/>
    <w:multiLevelType w:val="multilevel"/>
    <w:tmpl w:val="2F000000"/>
    <w:lvl w:ilvl="0" w:tentative="0">
      <w:start w:val="1"/>
      <w:numFmt w:val="decimal"/>
      <w:suff w:val="nothing"/>
      <w:lvlText w:val="%1、"/>
      <w:lvlJc w:val="left"/>
    </w:lvl>
    <w:lvl w:ilvl="1" w:tentative="0">
      <w:start w:val="1"/>
      <w:numFmt w:val="decimal"/>
      <w:suff w:val="nothing"/>
      <w:lvlText w:val="%1、"/>
      <w:lvlJc w:val="left"/>
    </w:lvl>
    <w:lvl w:ilvl="2" w:tentative="0">
      <w:start w:val="1"/>
      <w:numFmt w:val="decimal"/>
      <w:suff w:val="nothing"/>
      <w:lvlText w:val="%1、"/>
      <w:lvlJc w:val="left"/>
    </w:lvl>
    <w:lvl w:ilvl="3" w:tentative="0">
      <w:start w:val="1"/>
      <w:numFmt w:val="decimal"/>
      <w:suff w:val="nothing"/>
      <w:lvlText w:val="%1、"/>
      <w:lvlJc w:val="left"/>
    </w:lvl>
    <w:lvl w:ilvl="4" w:tentative="0">
      <w:start w:val="1"/>
      <w:numFmt w:val="decimal"/>
      <w:suff w:val="nothing"/>
      <w:lvlText w:val="%1、"/>
      <w:lvlJc w:val="left"/>
    </w:lvl>
    <w:lvl w:ilvl="5" w:tentative="0">
      <w:start w:val="1"/>
      <w:numFmt w:val="decimal"/>
      <w:suff w:val="nothing"/>
      <w:lvlText w:val="%1、"/>
      <w:lvlJc w:val="left"/>
    </w:lvl>
    <w:lvl w:ilvl="6" w:tentative="0">
      <w:start w:val="1"/>
      <w:numFmt w:val="decimal"/>
      <w:suff w:val="nothing"/>
      <w:lvlText w:val="%1、"/>
      <w:lvlJc w:val="left"/>
    </w:lvl>
    <w:lvl w:ilvl="7" w:tentative="0">
      <w:start w:val="1"/>
      <w:numFmt w:val="decimal"/>
      <w:suff w:val="nothing"/>
      <w:lvlText w:val="%1、"/>
      <w:lvlJc w:val="left"/>
    </w:lvl>
    <w:lvl w:ilvl="8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1E8F75EB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semiHidden="0" w:name="heading 2"/>
    <w:lsdException w:qFormat="1" w:uiPriority="9" w:semiHidden="0" w:name="heading 3"/>
    <w:lsdException w:qFormat="1" w:uiPriority="10" w:semiHidden="0" w:name="heading 4"/>
    <w:lsdException w:qFormat="1" w:uiPriority="11" w:semiHidden="0" w:name="heading 5"/>
    <w:lsdException w:qFormat="1" w:uiPriority="12" w:semiHidden="0" w:name="heading 6"/>
    <w:lsdException w:qFormat="1" w:uiPriority="13" w:semiHidden="0" w:name="heading 7"/>
    <w:lsdException w:qFormat="1" w:uiPriority="14" w:semiHidden="0" w:name="heading 8"/>
    <w:lsdException w:qFormat="1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qFormat="1" w:uiPriority="151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7"/>
    <w:pPr>
      <w:spacing w:before="240" w:after="60"/>
      <w:jc w:val="left"/>
      <w:outlineLvl w:val="0"/>
    </w:pPr>
    <w:rPr>
      <w:rFonts w:asciiTheme="majorHAnsi" w:hAnsiTheme="majorHAnsi" w:eastAsiaTheme="majorEastAsia"/>
      <w:b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8"/>
    <w:pPr>
      <w:spacing w:before="240" w:after="60"/>
      <w:jc w:val="left"/>
      <w:outlineLvl w:val="1"/>
    </w:pPr>
    <w:rPr>
      <w:rFonts w:asciiTheme="majorHAnsi" w:hAnsiTheme="majorHAnsi" w:eastAsiaTheme="majorEastAsia"/>
      <w:b/>
      <w:i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spacing w:before="240" w:after="60"/>
      <w:jc w:val="left"/>
      <w:outlineLvl w:val="2"/>
    </w:pPr>
    <w:rPr>
      <w:rFonts w:asciiTheme="majorHAnsi" w:hAnsiTheme="majorHAnsi" w:eastAsiaTheme="majorEastAsia"/>
      <w:b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10"/>
    <w:pPr>
      <w:spacing w:before="240" w:after="60"/>
      <w:jc w:val="left"/>
      <w:outlineLvl w:val="3"/>
    </w:pPr>
    <w:rPr>
      <w:rFonts w:asciiTheme="minorHAnsi" w:hAnsiTheme="minorHAnsi" w:eastAsiaTheme="minorEastAsia"/>
      <w:b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11"/>
    <w:pPr>
      <w:spacing w:before="240" w:after="60"/>
      <w:jc w:val="left"/>
      <w:outlineLvl w:val="4"/>
    </w:pPr>
    <w:rPr>
      <w:rFonts w:asciiTheme="minorHAnsi" w:hAnsiTheme="minorHAnsi" w:eastAsiaTheme="minorEastAsia"/>
      <w:b/>
      <w:i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12"/>
    <w:pPr>
      <w:spacing w:before="240" w:after="60"/>
      <w:jc w:val="left"/>
      <w:outlineLvl w:val="5"/>
    </w:pPr>
    <w:rPr>
      <w:rFonts w:asciiTheme="minorHAnsi" w:hAnsiTheme="minorHAnsi" w:eastAsiaTheme="minorEastAsia"/>
      <w:b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13"/>
    <w:pPr>
      <w:spacing w:before="240" w:after="60"/>
      <w:jc w:val="left"/>
      <w:outlineLvl w:val="6"/>
    </w:pPr>
    <w:rPr>
      <w:rFonts w:asciiTheme="minorHAnsi" w:hAnsiTheme="minorHAnsi" w:eastAsiaTheme="minorEastAsia"/>
      <w:sz w:val="24"/>
      <w:szCs w:val="24"/>
    </w:rPr>
  </w:style>
  <w:style w:type="paragraph" w:styleId="9">
    <w:name w:val="heading 8"/>
    <w:basedOn w:val="1"/>
    <w:next w:val="1"/>
    <w:link w:val="28"/>
    <w:unhideWhenUsed/>
    <w:qFormat/>
    <w:uiPriority w:val="14"/>
    <w:pPr>
      <w:spacing w:before="240" w:after="60"/>
      <w:jc w:val="left"/>
      <w:outlineLvl w:val="7"/>
    </w:pPr>
    <w:rPr>
      <w:rFonts w:asciiTheme="minorHAnsi" w:hAnsiTheme="minorHAnsi" w:eastAsiaTheme="minorEastAsia"/>
      <w:i/>
      <w:sz w:val="24"/>
      <w:szCs w:val="24"/>
    </w:rPr>
  </w:style>
  <w:style w:type="paragraph" w:styleId="10">
    <w:name w:val="heading 9"/>
    <w:basedOn w:val="1"/>
    <w:next w:val="1"/>
    <w:link w:val="29"/>
    <w:unhideWhenUsed/>
    <w:qFormat/>
    <w:uiPriority w:val="15"/>
    <w:pPr>
      <w:spacing w:before="240" w:after="60"/>
      <w:jc w:val="left"/>
      <w:outlineLvl w:val="8"/>
    </w:pPr>
    <w:rPr>
      <w:rFonts w:asciiTheme="majorHAnsi" w:hAnsiTheme="majorHAnsi" w:eastAsiaTheme="majorEastAsia"/>
      <w:sz w:val="22"/>
      <w:szCs w:val="22"/>
    </w:rPr>
  </w:style>
  <w:style w:type="character" w:default="1" w:styleId="18">
    <w:name w:val="Default Paragraph Font"/>
    <w:semiHidden/>
    <w:unhideWhenUsed/>
    <w:qFormat/>
    <w:uiPriority w:val="2"/>
  </w:style>
  <w:style w:type="table" w:default="1" w:styleId="17">
    <w:name w:val="Normal Table"/>
    <w:semiHidden/>
    <w:unhideWhenUsed/>
    <w:qFormat/>
    <w:uiPriority w:val="3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unhideWhenUsed/>
    <w:qFormat/>
    <w:uiPriority w:val="151"/>
    <w:rPr>
      <w:rFonts w:ascii="宋体"/>
      <w:sz w:val="18"/>
      <w:szCs w:val="18"/>
    </w:rPr>
  </w:style>
  <w:style w:type="paragraph" w:styleId="12">
    <w:name w:val="Balloon Text"/>
    <w:basedOn w:val="1"/>
    <w:link w:val="47"/>
    <w:unhideWhenUsed/>
    <w:qFormat/>
    <w:uiPriority w:val="152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15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154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6"/>
    <w:pPr>
      <w:spacing w:after="60"/>
      <w:jc w:val="center"/>
      <w:outlineLvl w:val="1"/>
    </w:pPr>
    <w:rPr>
      <w:rFonts w:asciiTheme="majorHAnsi" w:hAnsiTheme="majorHAnsi" w:eastAsiaTheme="majorEastAsia"/>
      <w:sz w:val="24"/>
      <w:szCs w:val="24"/>
    </w:rPr>
  </w:style>
  <w:style w:type="paragraph" w:styleId="16">
    <w:name w:val="Title"/>
    <w:basedOn w:val="1"/>
    <w:next w:val="1"/>
    <w:link w:val="30"/>
    <w:qFormat/>
    <w:uiPriority w:val="6"/>
    <w:pPr>
      <w:spacing w:before="240" w:after="60"/>
      <w:jc w:val="center"/>
      <w:outlineLvl w:val="0"/>
    </w:pPr>
    <w:rPr>
      <w:rFonts w:asciiTheme="majorHAnsi" w:hAnsiTheme="majorHAnsi" w:eastAsiaTheme="majorEastAsia"/>
      <w:b/>
      <w:sz w:val="32"/>
      <w:szCs w:val="32"/>
    </w:rPr>
  </w:style>
  <w:style w:type="character" w:styleId="19">
    <w:name w:val="Strong"/>
    <w:basedOn w:val="18"/>
    <w:qFormat/>
    <w:uiPriority w:val="20"/>
    <w:rPr>
      <w:b/>
    </w:rPr>
  </w:style>
  <w:style w:type="character" w:styleId="20">
    <w:name w:val="Emphasis"/>
    <w:basedOn w:val="18"/>
    <w:qFormat/>
    <w:uiPriority w:val="18"/>
    <w:rPr>
      <w:rFonts w:asciiTheme="minorHAnsi" w:hAnsiTheme="minorHAnsi"/>
      <w:b/>
      <w:i/>
    </w:rPr>
  </w:style>
  <w:style w:type="character" w:customStyle="1" w:styleId="21">
    <w:name w:val="标题 1 Char"/>
    <w:basedOn w:val="18"/>
    <w:link w:val="2"/>
    <w:qFormat/>
    <w:uiPriority w:val="155"/>
    <w:rPr>
      <w:rFonts w:asciiTheme="majorHAnsi" w:hAnsiTheme="majorHAnsi" w:eastAsiaTheme="majorEastAsia"/>
      <w:b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156"/>
    <w:rPr>
      <w:rFonts w:asciiTheme="majorHAnsi" w:hAnsiTheme="majorHAnsi" w:eastAsiaTheme="majorEastAsia"/>
      <w:b/>
      <w:i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157"/>
    <w:rPr>
      <w:rFonts w:asciiTheme="majorHAnsi" w:hAnsiTheme="majorHAnsi" w:eastAsiaTheme="majorEastAsia"/>
      <w:b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158"/>
    <w:rPr>
      <w:b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159"/>
    <w:rPr>
      <w:b/>
      <w:i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160"/>
    <w:rPr>
      <w:b/>
    </w:rPr>
  </w:style>
  <w:style w:type="character" w:customStyle="1" w:styleId="27">
    <w:name w:val="标题 7 Char"/>
    <w:basedOn w:val="18"/>
    <w:link w:val="8"/>
    <w:semiHidden/>
    <w:qFormat/>
    <w:uiPriority w:val="161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162"/>
    <w:rPr>
      <w:i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163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64"/>
    <w:rPr>
      <w:rFonts w:asciiTheme="majorHAnsi" w:hAnsiTheme="majorHAnsi" w:eastAsiaTheme="majorEastAsia"/>
      <w:b/>
      <w:sz w:val="32"/>
      <w:szCs w:val="32"/>
    </w:rPr>
  </w:style>
  <w:style w:type="character" w:customStyle="1" w:styleId="31">
    <w:name w:val="副标题 Char"/>
    <w:basedOn w:val="18"/>
    <w:link w:val="15"/>
    <w:qFormat/>
    <w:uiPriority w:val="165"/>
    <w:rPr>
      <w:rFonts w:asciiTheme="majorHAnsi" w:hAnsiTheme="majorHAnsi" w:eastAsiaTheme="majorEastAsia"/>
      <w:sz w:val="24"/>
      <w:szCs w:val="24"/>
    </w:rPr>
  </w:style>
  <w:style w:type="paragraph" w:customStyle="1" w:styleId="32">
    <w:name w:val="无间隔1"/>
    <w:basedOn w:val="1"/>
    <w:qFormat/>
    <w:uiPriority w:val="166"/>
    <w:pPr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3">
    <w:name w:val="列出段落1"/>
    <w:basedOn w:val="1"/>
    <w:qFormat/>
    <w:uiPriority w:val="167"/>
    <w:pPr>
      <w:ind w:left="720" w:firstLine="0"/>
      <w:contextualSpacing/>
      <w:jc w:val="left"/>
    </w:pPr>
    <w:rPr>
      <w:rFonts w:asciiTheme="minorHAnsi" w:hAnsiTheme="minorHAnsi" w:eastAsiaTheme="minorEastAsia"/>
      <w:sz w:val="24"/>
      <w:szCs w:val="24"/>
      <w:lang w:eastAsia="en-US" w:bidi="en-US"/>
    </w:rPr>
  </w:style>
  <w:style w:type="paragraph" w:customStyle="1" w:styleId="34">
    <w:name w:val="引用1"/>
    <w:basedOn w:val="1"/>
    <w:next w:val="1"/>
    <w:link w:val="35"/>
    <w:qFormat/>
    <w:uiPriority w:val="168"/>
    <w:pPr>
      <w:jc w:val="left"/>
    </w:pPr>
    <w:rPr>
      <w:rFonts w:asciiTheme="minorHAnsi" w:hAnsiTheme="minorHAnsi" w:eastAsiaTheme="minorEastAsia"/>
      <w:i/>
      <w:sz w:val="24"/>
      <w:szCs w:val="24"/>
    </w:rPr>
  </w:style>
  <w:style w:type="character" w:customStyle="1" w:styleId="35">
    <w:name w:val="引用 Char"/>
    <w:basedOn w:val="18"/>
    <w:link w:val="34"/>
    <w:qFormat/>
    <w:uiPriority w:val="169"/>
    <w:rPr>
      <w:i/>
      <w:sz w:val="24"/>
      <w:szCs w:val="24"/>
    </w:rPr>
  </w:style>
  <w:style w:type="paragraph" w:customStyle="1" w:styleId="36">
    <w:name w:val="明显引用1"/>
    <w:basedOn w:val="1"/>
    <w:next w:val="1"/>
    <w:link w:val="37"/>
    <w:qFormat/>
    <w:uiPriority w:val="170"/>
    <w:pPr>
      <w:ind w:left="720" w:right="720" w:firstLine="0"/>
      <w:jc w:val="left"/>
    </w:pPr>
    <w:rPr>
      <w:rFonts w:asciiTheme="minorHAnsi" w:hAnsiTheme="minorHAnsi" w:eastAsiaTheme="minorEastAsia"/>
      <w:b/>
      <w:i/>
      <w:sz w:val="24"/>
      <w:szCs w:val="24"/>
    </w:rPr>
  </w:style>
  <w:style w:type="character" w:customStyle="1" w:styleId="37">
    <w:name w:val="明显引用 Char"/>
    <w:basedOn w:val="18"/>
    <w:link w:val="36"/>
    <w:qFormat/>
    <w:uiPriority w:val="171"/>
    <w:rPr>
      <w:b/>
      <w:i/>
      <w:sz w:val="24"/>
      <w:szCs w:val="24"/>
    </w:rPr>
  </w:style>
  <w:style w:type="character" w:customStyle="1" w:styleId="38">
    <w:name w:val="不明显强调1"/>
    <w:qFormat/>
    <w:uiPriority w:val="172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173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174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175"/>
    <w:rPr>
      <w:b/>
      <w:sz w:val="24"/>
      <w:szCs w:val="24"/>
      <w:u w:val="single"/>
    </w:rPr>
  </w:style>
  <w:style w:type="character" w:customStyle="1" w:styleId="42">
    <w:name w:val="书籍标题1"/>
    <w:basedOn w:val="18"/>
    <w:qFormat/>
    <w:uiPriority w:val="176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177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qFormat/>
    <w:uiPriority w:val="178"/>
    <w:rPr>
      <w:rFonts w:ascii="Calibri" w:hAnsi="Calibri" w:eastAsia="宋体"/>
      <w:sz w:val="18"/>
      <w:szCs w:val="18"/>
    </w:rPr>
  </w:style>
  <w:style w:type="character" w:customStyle="1" w:styleId="45">
    <w:name w:val="页脚 Char"/>
    <w:basedOn w:val="18"/>
    <w:link w:val="13"/>
    <w:qFormat/>
    <w:uiPriority w:val="179"/>
    <w:rPr>
      <w:rFonts w:ascii="Calibri" w:hAnsi="Calibri" w:eastAsia="宋体"/>
      <w:sz w:val="18"/>
      <w:szCs w:val="18"/>
    </w:rPr>
  </w:style>
  <w:style w:type="character" w:customStyle="1" w:styleId="46">
    <w:name w:val="文档结构图 Char"/>
    <w:basedOn w:val="18"/>
    <w:link w:val="11"/>
    <w:semiHidden/>
    <w:qFormat/>
    <w:uiPriority w:val="180"/>
    <w:rPr>
      <w:rFonts w:ascii="宋体" w:hAnsi="Times New Roman" w:eastAsia="宋体"/>
      <w:sz w:val="18"/>
      <w:szCs w:val="18"/>
    </w:rPr>
  </w:style>
  <w:style w:type="character" w:customStyle="1" w:styleId="47">
    <w:name w:val="批注框文本 Char"/>
    <w:basedOn w:val="18"/>
    <w:link w:val="12"/>
    <w:semiHidden/>
    <w:qFormat/>
    <w:uiPriority w:val="181"/>
    <w:rPr>
      <w:rFonts w:ascii="Times New Roman" w:hAnsi="Times New Roman" w:eastAsia="宋体"/>
      <w:sz w:val="18"/>
      <w:szCs w:val="18"/>
    </w:rPr>
  </w:style>
  <w:style w:type="paragraph" w:customStyle="1" w:styleId="48">
    <w:name w:val="正文 A"/>
    <w:qFormat/>
    <w:uiPriority w:val="182"/>
    <w:pPr>
      <w:jc w:val="both"/>
    </w:pPr>
    <w:rPr>
      <w:rFonts w:ascii="Arial Unicode MS" w:hAnsi="Arial Unicode MS" w:eastAsia="Arial Unicode MS" w:cs="Arial Unicode MS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533</Words>
  <Characters>0</Characters>
  <Lines>25</Lines>
  <Paragraphs>7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2019-09-20T14:29:40Z</dcterms:created>
  <dc:creator>赵 恺（预算处）</dc:creator>
  <cp:lastModifiedBy>Administrator</cp:lastModifiedBy>
  <dcterms:modified xsi:type="dcterms:W3CDTF">2019-09-20T14:30:03Z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