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孤残儿童照料护理补贴项目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塔什库尔干塔吉克自治县民政局（本级）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塔什库尔干塔吉克自治县民政局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库尔班汗·那斯尔丁</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该项目资金用于持续推进集中孤儿收养工作，确保孤儿生活幸福。孤残儿童照料护理补助资金由县级民政部门统筹用于购买照料护理服务，提升机构护理人员照料护理水平，满足孤残儿童的照料、护理、康复需求，提高孤残儿童的幸福感、获得感。</w:t>
        <w:br/>
        <w:t>2. 主要内容及实施情况</w:t>
        <w:br/>
        <w:t>该项目计划资金3.36万元，用于持续推进集中孤儿收养工作，确保孤儿生活幸福。孤残儿童照料护理补助资金由县级民政部门统筹用于购买照料护理服务，提升机构护理人员照料护理水平，满足孤残儿童的照料、护理、康复需求，提高孤残儿童的幸福感、获得感。</w:t>
        <w:br/>
        <w:t>3.项目实施主体</w:t>
        <w:br/>
        <w:t>塔什库尔干县民政局为行政事业单位，纳入2022年部门决算编制范围的有4个办公室：党政办公室、社会事务组织管理股、社会福利和社会救助股、区划地名和基层政权股。</w:t>
        <w:br/>
        <w:t>编制人数12人，其中：行政人员编制3人、工勤1人、参公0人、事业编制8人。实有在职人数18人，其中：行政在职4人、工勤2人、参公0人、事业在职12人。离退休人员16人，其中：行政退休人员10人、事业退休6人。</w:t>
        <w:br/>
        <w:t>4. 资金投入和使用情况</w:t>
        <w:br/>
        <w:t>喀地财社[2022]9号共安排下达资金3.36万元，为孤残儿童照料护理补贴项目资金，最终确定项目资金总数为3.36万元。</w:t>
        <w:br/>
        <w:t>截至2022年12月31日，实际支出3.36万元，预算执行率100%。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该项目计划资金3.36万元，用于持续推进集中孤儿收养工作，确保孤儿生活幸福。孤残儿童照料护理补助资金由县级民政部门统筹用于购买照料护理服务，提升机构护理人员照料护理水平，满足孤残儿童的照料、护理、康复需求，提高孤残儿童的幸福感、获得感。</w:t>
        <w:br/>
        <w:t>2.阶段性目标</w:t>
        <w:br/>
        <w:t>该项目计划资金3.36万元，用于持续推进集中孤儿收养工作，确保孤儿生活幸福。孤残儿童照料护理补助资金由县级民政部门统筹用于购买照料护理服务，提升机构护理人员照料护理水平，满足孤残儿童的照料、护理、康复需求，提高孤残儿童的幸福感、获得感。</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高敏任评价组组长，绩效评价工作职责为负责全盘工作。</w:t>
        <w:br/>
        <w:t>库尔班汗·那斯尔丁任评价组副组长，绩效评价工作职责为为对项目实施情况进行实地调查。</w:t>
        <w:br/>
        <w:t>阿米妮古丽·艾散、马丽亚木古丽·尤力其、吐玛尔汗·卡母孜任评价组成员，绩效评价工作职责为负责资料审核等工作。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孤残儿童照料护理补贴项目得分情况表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塔吉克自治县民政局已完成孤残儿童照料护理补贴项目，提升机构护理人员照料护理水平，满足孤残儿童的照料、护理、康复需求，提高孤残儿童的幸福感、获得感。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（1）立项依据充分性：结合塔什库尔干县民政局职责，并组织实施。围绕2022年度工作重点和工作计划制定经费预算，根据评分标准，该指标不扣分，得3分。</w:t>
        <w:br/>
        <w:t>（2）立项程序规范性：根据决策依据编制工作计划和经费预算，经过与县政府分管领导进行沟通、筛选确定经费预算计划，上党委会研究确定最终预算方案，根据评分标准，该指标不扣分，得2分。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项目产出类指标包括产出数量、产出质量、产出时效、产出成本四方面的内容，由7个三级指标构成，权重分为40分，实际得分40分，得分率为100%。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发放照料护理补贴人数5人，与预期目标一致，根据评分标准，该指标不扣分，得5分。</w:t>
        <w:br/>
        <w:t>照料护理辐射儿童机构数1个，与预期目标一致，根据评分标准，该指标不扣分，得5分。</w:t>
        <w:br/>
        <w:t>合计得10分。</w:t>
        <w:br/>
        <w:t>（2）对于“产出质量”：</w:t>
        <w:br/>
        <w:t>资金安全使用率100%，与预期目标一致，根据评分标准，该指标不扣分，得5分。</w:t>
        <w:br/>
        <w:t>符合政府购买服务相关程序规定率100%，与预期目标一致，根据评分标准，该指标不扣分，得5分。</w:t>
        <w:br/>
        <w:t>合计得10分。</w:t>
        <w:br/>
        <w:t>（3）对于“产出时效”：</w:t>
        <w:br/>
        <w:t>资金按时发放率100%，与预期目标指标一致，根据评分标准，该指标不扣分，得5分。</w:t>
        <w:br/>
        <w:t>项目完成时间2022年12月30日，与预期目标一致，根据评分标准，该指标不扣分，得5分。</w:t>
        <w:br/>
        <w:t>合计得10分。</w:t>
        <w:br/>
        <w:t>（4）对于“产出成本”：</w:t>
        <w:br/>
        <w:t>照料护理补贴标准560万元，项目经费都能控制绩效目标范围内，根据评分标准，该指标不扣分，得10分。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项目效益类指标包括项目效益1个方面的内容，由3个三级指标构成，权重分为20分，实际得分20分，得分率为100%。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提升对孤儿的照料、康复、护理水平，效果显著，与预期指标一致，根据评分标准，该指标不扣分，得5分。</w:t>
        <w:br/>
        <w:t>（2）对于“可持续影响指标”：</w:t>
        <w:br/>
        <w:t>项目资金可持续保障年限1年，与预期指标一致，根据评分标准，该指标不扣分，得5分。</w:t>
        <w:br/>
        <w:t>实施效益指标合计得10分。</w:t>
        <w:br/>
        <w:t>2.满意度指标:</w:t>
        <w:br/>
        <w:t>对于“满意度指标：救助对象对社会救助实施的满意度100%，与预期目标一致，根据评分标准，该指标不扣分,得10分。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孤残儿童照料护理补贴项目预算3.36万元，到位3.36万元，实际支出3.36万元，预算执行率为10%，项目绩效指标总体完成率为100%，无偏差。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