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2022年中央残疾人事业发展补助资金（一般公共预算）项目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塔什库尔干塔吉克自治县残疾人联合会（本级）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塔什库尔干县人民政府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多来提艾力·沙帕尔拜克</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本项目依据“关于提前下达2022年中央残疾人事业发展补助资金预算的通知”（喀地财社〔2021〕82号）申请立项，符合中央、喀什地区等相关扶贫政策、规划和法律法规。</w:t>
        <w:br/>
        <w:t>2. 主要内容及实施情况</w:t>
        <w:br/>
        <w:t>本项目资金主要服务于我县残疾人事业的发展。通过开展残疾人基本康复服务项目年度工作，为肢体、视力、精神、智力残疾人提供基本康复服务，努力提高受助残疾人生活自理和社会参与能力，为0-6的残疾儿童提供康复救助，努力实现残疾儿童普遍享有基本康复服务。通过开展发放精神病患者服药补贴和适配辅具服务，维持原有康复室的运转，对需要辅助器具康复的人员及时进行登记，选择急需的人员及时到我单位申请免费配发。通过“阳光家园计划”项目年度工作的实施，帮助残疾人得到托养照料。</w:t>
        <w:br/>
        <w:t>3.项目实施主体</w:t>
        <w:br/>
        <w:t>塔什库尔干县残疾人联合会为参公事业单位，纳入2022年部门决算编制范围的有3个办公室：业务办公室、财务室、理事长办公室。</w:t>
        <w:br/>
        <w:t>编制人数5人，其中：行政人员编制4人、事业编制1人。实有在职人数5人，其中：行政在职2人、抽调3人。离退休人员2人，其中：行政退休人员2人。</w:t>
        <w:br/>
        <w:t>4. 资金投入和使用情况</w:t>
        <w:br/>
        <w:t>喀地财社【2021】82号共安排下达资金12.15万元，为中央残疾人补助资金，最终确定项目资金总数为12.15万元。</w:t>
        <w:br/>
        <w:t>截至2022年12月31日，实际支出12.15万元，预算执行率100%。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（1）做好阳光家园计划相关工作，确保所有符合条件的精神、智力和重度肢体残疾人能够享受相应托养和照料。</w:t>
        <w:br/>
        <w:t>（2）把康复工作作为残联的形象工程，常抓不懈。维持原有康复室的运转，对需要辅助器具康复的人员及时进行登记，选择急需的人员及时到我单位申请免费配发。</w:t>
        <w:br/>
        <w:t>（3）通过开展残疾人基本服务状况和需求工作，安排村（社区）残疾人工作者逐户深入残疾人家庭，详细了解残疾人需求，充分利用各种资源，帮助残疾人“量身定做”个性化的、有针对性的、实用的、可行的发展方案或帮扶方案，并通过相应渠道使方案得以落实，从而更有效地为残疾人服务。</w:t>
        <w:br/>
        <w:t>2.阶段性目标</w:t>
        <w:br/>
        <w:t>为150名残疾人进行精准康复、为10名残疾人发放精神病服药补贴、为5名肢体残疾人进行康复训练，为20名残疾人提供托养服务、为10名残疾人采购辅具。结合残联职能条件与相关惠残政策，制定切实可行的措施，确保各项政策落地生根。</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绩效评价标准通常包括计划标准、行业标准、历史标准等，用于对绩效指标完成情况进行比较、分析、评价。本次评价主要采用了计划标准和行业标准。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多来提艾力·沙帕尔拜克任评价组组长，绩效评价工作职责为负责全盘工作，对项目实施情况进行实地调查。</w:t>
        <w:br/>
        <w:t>热则耶·阿卜杜热伊木任评价组成员，绩效评价工作职责为负责资料审核等工作。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项目撰写绩效评价报告，按照财政局大平台绩效系统中统一格式和文本框架撰写绩效评价报告。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2022年中央残疾人事业发展补助资金项目得分情况表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中央财政残疾人事业发展补助资金项目总体组织规范，完成了2022年中央财政残疾人事业发展补助资金项目的工作目标，有效规范了项目档案资料的整理，推动了残疾人事业健康发展，产生了良好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2022年中央残疾人事业发展补助资金项目决策指标得分情况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（1）立项依据充分性：结合塔什库尔干塔吉克自治县残疾人联合会职责，并组织实施。围绕塔什库尔干塔吉克自治县年度工作重点和工作计划制定经费预算，根据评分标准，该指标不扣分，得3分。</w:t>
        <w:br/>
        <w:t>（2）立项程序规范性：根据决策依据编制工作计划和经费预算，经过与多来提艾力·沙帕尔拜克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2022年中央残疾人事业发展补助资金项目过程指标得分情况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2022年中央残疾人事业发展补助资金项目产出指标得分情况</w:t>
        <w:br/>
        <w:t>三级指标	权重	得分率	实际得分</w:t>
        <w:br/>
        <w:t>产出数量	10	100%	10</w:t>
        <w:br/>
        <w:t>产出质量	10	100%	10</w:t>
        <w:br/>
        <w:t>产出时效	10	100%	10</w:t>
        <w:br/>
        <w:t>成本情况	10	100%	10</w:t>
        <w:br/>
        <w:t>合计	40	100%	40</w:t>
        <w:br/>
        <w:t>（1）对于“产出数量”</w:t>
        <w:br/>
        <w:t>精准康复服务人数150人，与预期目标一致，根据评分标准，该指标不扣分，得2分。</w:t>
        <w:br/>
        <w:t>发放精神病患者服药补贴人数10人，与预期目标一致，根据评分标准，该指标不扣分，得2分。</w:t>
        <w:br/>
        <w:t>肢体残疾人康复训练人数5人，与预期目标一致，根据评分标准，该指标不扣分，得2分。</w:t>
        <w:br/>
        <w:t>采购辅具人数10人，与预期目标一致，根据评分标准，该指标不扣分，得2分。</w:t>
        <w:br/>
        <w:t>寄宿制托养人数20人，与预期目标一致，根据评分标准，该指标不扣分，得2分。</w:t>
        <w:br/>
        <w:t>合计得10分。</w:t>
        <w:br/>
        <w:t>（2）对于“产出质量”：</w:t>
        <w:br/>
        <w:t>配置辅助器具合格率95%，与预期目标一致，根据评分标准，该指标不扣分，得2.5分。</w:t>
        <w:br/>
        <w:t>残疾人康复服务率90%，与预期目标一致，根据评分标准，该指标不扣分，得2.5分。</w:t>
        <w:br/>
        <w:t>精神病患者服药合格率90%，与预期目标一致，根据评分标准，该指标不扣分，得2.5分。</w:t>
        <w:br/>
        <w:t>寄宿制托养机构服务率95%，与预期目标一致，根据评分标准，该指标不扣分，得2.5分。</w:t>
        <w:br/>
        <w:t>合计得10分。</w:t>
        <w:br/>
        <w:t>（3）对于“产出时效”：</w:t>
        <w:br/>
        <w:t>项目资金及时拨付率100%，与预期目标指标一致，根据评分标准，该指标不扣分，得5分。</w:t>
        <w:br/>
        <w:t>项目完成时间2022年12月，与预期目标指标一致，根据评分标准，该指标不扣分，得5分。</w:t>
        <w:br/>
        <w:t>合计得10分。</w:t>
        <w:br/>
        <w:t>（4）对于“产出成本”：</w:t>
        <w:br/>
        <w:t>残疾人精准康复0.02万元，项目经费都能控制绩效目标范围内，根据评分标准，该指标不扣分，得2分；</w:t>
        <w:br/>
        <w:t>精神病患者服药0.09万元，项目经费都能控制绩效目标范围内，根据评分标准，该指标不扣分，得2分；</w:t>
        <w:br/>
        <w:t>肢体残疾人康复训练0.3万元，项目经费都能控制绩效目标范围内，根据评分标准，该指标不扣分，得2分；</w:t>
        <w:br/>
        <w:t>采购辅具0.09万元，项目经费都能控制绩效目标范围内，根据评分标准，该指标不扣分，得2分；</w:t>
        <w:br/>
        <w:t>寄宿制托养机构0.3万元，项目经费都能控制绩效目标范围内，根据评分标准，该指标不扣分，得2分；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项目效益类指标包括项目效益1个方面的内容，由3个三级指标构成，权重分为30分，实际得分30分，得分率为100%。</w:t>
        <w:br/>
        <w:t>2022年中央残疾人事业发展补助资金项目绩效指标得分情况</w:t>
        <w:br/>
        <w:t>三级指标	权重	得分率	实际得分</w:t>
        <w:br/>
        <w:t>实施效益	10	100%	10</w:t>
        <w:br/>
        <w:t>			</w:t>
        <w:br/>
        <w:t>满意度	10	100%	10</w:t>
        <w:br/>
        <w:t>合计	20	100%	20</w:t>
        <w:br/>
        <w:t>1.实施效益指标：</w:t>
        <w:br/>
        <w:t>（1）对于“社会效益指标”：</w:t>
        <w:br/>
        <w:t>提升接受辅助器具适配及残疾人生活生活水平，效果显著；有效提高残疾人康复服务水平，效果显著；有效降低享受机构托养残疾人家庭照护成本，效果显著，与预期目标一致，根据评分标准，该指标不扣分，得5分；</w:t>
        <w:br/>
        <w:t>合计得10分。</w:t>
        <w:br/>
        <w:t>（2）对于“可持续影响指标”：</w:t>
        <w:br/>
        <w:t>项目可持续影响力1年，与预期指标一致，根据评分标准，该指标不扣分，得5分。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精准康复残疾人满意度95%，受益精准康复残疾人满意度95%，受益精神病服药残疾人满意度95%，受益副辅具器具残疾人满意度95%，受益肢体残疾人康复训练满意度95%，受益寄宿制托养残疾人满意度95%。与预期目标一致，根据评分标准，该指标不扣分,得10分。</w:t>
        <w:br/>
        <w:t>合计得10分。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2022年中央残疾人事业发展补助资金预算12.15万元，到位12.15万元，实际支出12.15万元，预算执行率为100%，项目绩效指标总体完成率为100%，无偏差。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坚持把康复工作作为贯彻落实《“十四五”规划》的重要内容来抓，着力抓好残疾人基本（精准）康复、精神残疾人康复服药救助、残疾儿童康复救助、残疾人辅助器具适配发放等工作。一是加强辅具适配救助，做好个性化适配服务工作，为广大残疾人提供工作、生活等方面的便利。二是巩固“残疾人人人享有康复服务”的工作成果，逐步使有康复需求的残疾人得到相应的康复服务。进一步扩大康复面，逐步形成人人享有康复。继续做好残疾筛查、康复治疗服务、康复训练、康复知识普及和转介服务等基础性工作。三是继续做好常规的康复工作，完成上级残联分配的各项康复工作任务。四是开展0-6岁残疾儿童康复服务，扩大免费康复服务的受益面。五是加大精神残疾人的防治和康复。具体方法如下：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具体方法如下：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