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5F9FF" w14:textId="77777777" w:rsidR="001D59F7" w:rsidRDefault="001D59F7">
      <w:pPr>
        <w:spacing w:line="570" w:lineRule="exact"/>
        <w:jc w:val="center"/>
        <w:rPr>
          <w:rFonts w:ascii="华文中宋" w:eastAsia="华文中宋" w:hAnsi="华文中宋" w:cs="宋体"/>
          <w:b/>
          <w:kern w:val="0"/>
          <w:sz w:val="52"/>
          <w:szCs w:val="52"/>
        </w:rPr>
      </w:pPr>
    </w:p>
    <w:p w14:paraId="46549FB3" w14:textId="77777777" w:rsidR="001D59F7" w:rsidRDefault="001D59F7">
      <w:pPr>
        <w:spacing w:line="570" w:lineRule="exact"/>
        <w:jc w:val="center"/>
        <w:rPr>
          <w:rFonts w:ascii="华文中宋" w:eastAsia="华文中宋" w:hAnsi="华文中宋" w:cs="宋体"/>
          <w:b/>
          <w:kern w:val="0"/>
          <w:sz w:val="52"/>
          <w:szCs w:val="52"/>
        </w:rPr>
      </w:pPr>
    </w:p>
    <w:p w14:paraId="377F7DCE" w14:textId="77777777" w:rsidR="001D59F7" w:rsidRDefault="001D59F7">
      <w:pPr>
        <w:spacing w:line="570" w:lineRule="exact"/>
        <w:jc w:val="center"/>
        <w:rPr>
          <w:rFonts w:ascii="华文中宋" w:eastAsia="华文中宋" w:hAnsi="华文中宋" w:cs="宋体"/>
          <w:b/>
          <w:kern w:val="0"/>
          <w:sz w:val="52"/>
          <w:szCs w:val="52"/>
        </w:rPr>
      </w:pPr>
    </w:p>
    <w:p w14:paraId="310A1144" w14:textId="77777777" w:rsidR="001D59F7" w:rsidRDefault="001D59F7">
      <w:pPr>
        <w:spacing w:line="570" w:lineRule="exact"/>
        <w:jc w:val="center"/>
        <w:rPr>
          <w:rFonts w:ascii="华文中宋" w:eastAsia="华文中宋" w:hAnsi="华文中宋" w:cs="宋体"/>
          <w:b/>
          <w:kern w:val="0"/>
          <w:sz w:val="52"/>
          <w:szCs w:val="52"/>
        </w:rPr>
      </w:pPr>
    </w:p>
    <w:p w14:paraId="6A4537D7" w14:textId="77777777" w:rsidR="001D59F7" w:rsidRDefault="001D59F7">
      <w:pPr>
        <w:spacing w:line="570" w:lineRule="exact"/>
        <w:rPr>
          <w:rFonts w:ascii="华文中宋" w:eastAsia="华文中宋" w:hAnsi="华文中宋" w:cs="宋体"/>
          <w:b/>
          <w:kern w:val="0"/>
          <w:sz w:val="52"/>
          <w:szCs w:val="52"/>
        </w:rPr>
      </w:pPr>
    </w:p>
    <w:p w14:paraId="7C7C20A6" w14:textId="77777777" w:rsidR="001D59F7" w:rsidRDefault="001D59F7">
      <w:pPr>
        <w:spacing w:line="570" w:lineRule="exact"/>
        <w:jc w:val="center"/>
        <w:rPr>
          <w:rFonts w:ascii="华文中宋" w:eastAsia="华文中宋" w:hAnsi="华文中宋" w:cs="宋体"/>
          <w:b/>
          <w:kern w:val="0"/>
          <w:sz w:val="52"/>
          <w:szCs w:val="52"/>
        </w:rPr>
      </w:pPr>
    </w:p>
    <w:p w14:paraId="40FD6F93" w14:textId="20C65D18" w:rsidR="001D59F7" w:rsidRDefault="00000000">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w:t>
      </w:r>
      <w:r w:rsidR="00D74CBE">
        <w:rPr>
          <w:rFonts w:ascii="方正小标宋_GBK" w:eastAsia="方正小标宋_GBK" w:hAnsi="华文中宋" w:cs="宋体" w:hint="eastAsia"/>
          <w:b/>
          <w:kern w:val="0"/>
          <w:sz w:val="44"/>
          <w:szCs w:val="44"/>
        </w:rPr>
        <w:t>部门单位项目支出绩效评价报告</w:t>
      </w:r>
    </w:p>
    <w:p w14:paraId="55AE2A33" w14:textId="77777777" w:rsidR="001D59F7" w:rsidRDefault="001D59F7">
      <w:pPr>
        <w:spacing w:line="570" w:lineRule="exact"/>
        <w:jc w:val="center"/>
        <w:rPr>
          <w:rFonts w:ascii="华文中宋" w:eastAsia="华文中宋" w:hAnsi="华文中宋" w:cs="宋体"/>
          <w:b/>
          <w:kern w:val="0"/>
          <w:sz w:val="52"/>
          <w:szCs w:val="52"/>
        </w:rPr>
      </w:pPr>
    </w:p>
    <w:p w14:paraId="1595D187" w14:textId="77777777" w:rsidR="001D59F7" w:rsidRDefault="00000000">
      <w:pPr>
        <w:spacing w:line="57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仿宋_GB2312" w:eastAsia="仿宋_GB2312" w:hAnsi="楷体" w:hint="eastAsia"/>
          <w:spacing w:val="-4"/>
          <w:sz w:val="32"/>
          <w:szCs w:val="32"/>
        </w:rPr>
        <w:t>2022</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F93EA35" w14:textId="77777777" w:rsidR="001D59F7" w:rsidRDefault="001D59F7">
      <w:pPr>
        <w:spacing w:line="570" w:lineRule="exact"/>
        <w:jc w:val="center"/>
        <w:rPr>
          <w:rFonts w:eastAsia="仿宋_GB2312" w:hAnsi="宋体" w:cs="宋体"/>
          <w:kern w:val="0"/>
          <w:sz w:val="30"/>
          <w:szCs w:val="30"/>
        </w:rPr>
      </w:pPr>
    </w:p>
    <w:p w14:paraId="588CB5A4" w14:textId="77777777" w:rsidR="001D59F7" w:rsidRDefault="001D59F7">
      <w:pPr>
        <w:spacing w:line="570" w:lineRule="exact"/>
        <w:jc w:val="center"/>
        <w:rPr>
          <w:rFonts w:eastAsia="仿宋_GB2312" w:hAnsi="宋体" w:cs="宋体"/>
          <w:kern w:val="0"/>
          <w:sz w:val="30"/>
          <w:szCs w:val="30"/>
        </w:rPr>
      </w:pPr>
    </w:p>
    <w:p w14:paraId="29212BDF" w14:textId="77777777" w:rsidR="001D59F7" w:rsidRDefault="001D59F7">
      <w:pPr>
        <w:spacing w:line="570" w:lineRule="exact"/>
        <w:jc w:val="center"/>
        <w:rPr>
          <w:rFonts w:eastAsia="仿宋_GB2312" w:hAnsi="宋体" w:cs="宋体"/>
          <w:kern w:val="0"/>
          <w:sz w:val="30"/>
          <w:szCs w:val="30"/>
        </w:rPr>
      </w:pPr>
    </w:p>
    <w:p w14:paraId="789CD4F0" w14:textId="77777777" w:rsidR="001D59F7" w:rsidRDefault="001D59F7">
      <w:pPr>
        <w:spacing w:line="570" w:lineRule="exact"/>
        <w:jc w:val="center"/>
        <w:rPr>
          <w:rFonts w:eastAsia="仿宋_GB2312" w:hAnsi="宋体" w:cs="宋体"/>
          <w:kern w:val="0"/>
          <w:sz w:val="30"/>
          <w:szCs w:val="30"/>
        </w:rPr>
      </w:pPr>
    </w:p>
    <w:p w14:paraId="33A1ED9B" w14:textId="77777777" w:rsidR="001D59F7" w:rsidRDefault="001D59F7">
      <w:pPr>
        <w:spacing w:line="570" w:lineRule="exact"/>
        <w:jc w:val="center"/>
        <w:rPr>
          <w:rFonts w:eastAsia="仿宋_GB2312" w:hAnsi="宋体" w:cs="宋体"/>
          <w:kern w:val="0"/>
          <w:sz w:val="30"/>
          <w:szCs w:val="30"/>
        </w:rPr>
      </w:pPr>
    </w:p>
    <w:p w14:paraId="662514DE" w14:textId="77777777" w:rsidR="001D59F7" w:rsidRDefault="001D59F7">
      <w:pPr>
        <w:spacing w:line="570" w:lineRule="exact"/>
        <w:jc w:val="center"/>
        <w:rPr>
          <w:rFonts w:eastAsia="仿宋_GB2312" w:hAnsi="宋体" w:cs="宋体"/>
          <w:kern w:val="0"/>
          <w:sz w:val="30"/>
          <w:szCs w:val="30"/>
        </w:rPr>
      </w:pPr>
    </w:p>
    <w:p w14:paraId="379E8661" w14:textId="77777777" w:rsidR="001D59F7" w:rsidRDefault="00000000">
      <w:pPr>
        <w:spacing w:line="70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项目名称：</w:t>
      </w:r>
      <w:r>
        <w:rPr>
          <w:rStyle w:val="ad"/>
          <w:rFonts w:ascii="仿宋" w:eastAsia="仿宋" w:hAnsi="仿宋" w:cs="仿宋" w:hint="eastAsia"/>
          <w:b w:val="0"/>
          <w:bCs w:val="0"/>
          <w:spacing w:val="-4"/>
          <w:sz w:val="32"/>
          <w:szCs w:val="32"/>
        </w:rPr>
        <w:t>2022年中央医疗服务与保障能力提升（公立医院综合改革）补助资金项目</w:t>
      </w:r>
    </w:p>
    <w:p w14:paraId="57960922" w14:textId="77777777" w:rsidR="001D59F7" w:rsidRDefault="00000000">
      <w:pPr>
        <w:spacing w:line="57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实施单位（公章）：</w:t>
      </w:r>
      <w:r>
        <w:rPr>
          <w:rStyle w:val="ad"/>
          <w:rFonts w:ascii="仿宋" w:eastAsia="仿宋" w:hAnsi="仿宋" w:cs="仿宋" w:hint="eastAsia"/>
          <w:b w:val="0"/>
          <w:bCs w:val="0"/>
          <w:spacing w:val="-4"/>
          <w:sz w:val="32"/>
          <w:szCs w:val="32"/>
        </w:rPr>
        <w:t>塔什库尔干塔吉克自治县人民医院</w:t>
      </w:r>
    </w:p>
    <w:p w14:paraId="31E94BA6" w14:textId="77777777" w:rsidR="001D59F7" w:rsidRDefault="00000000">
      <w:pPr>
        <w:spacing w:line="54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主管部门（公章）：</w:t>
      </w:r>
      <w:r>
        <w:rPr>
          <w:rStyle w:val="ad"/>
          <w:rFonts w:ascii="仿宋" w:eastAsia="仿宋" w:hAnsi="仿宋" w:cs="仿宋" w:hint="eastAsia"/>
          <w:b w:val="0"/>
          <w:bCs w:val="0"/>
          <w:spacing w:val="-4"/>
          <w:sz w:val="32"/>
          <w:szCs w:val="32"/>
        </w:rPr>
        <w:t>塔什库尔干县卫生健康委员会</w:t>
      </w:r>
    </w:p>
    <w:p w14:paraId="5E07E12A" w14:textId="77777777" w:rsidR="001D59F7" w:rsidRDefault="00000000">
      <w:pPr>
        <w:spacing w:line="57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项目负责人（签章）：</w:t>
      </w:r>
      <w:r>
        <w:rPr>
          <w:rStyle w:val="ad"/>
          <w:rFonts w:ascii="仿宋" w:eastAsia="仿宋" w:hAnsi="仿宋" w:cs="仿宋" w:hint="eastAsia"/>
          <w:b w:val="0"/>
          <w:bCs w:val="0"/>
          <w:spacing w:val="-4"/>
          <w:sz w:val="32"/>
          <w:szCs w:val="32"/>
        </w:rPr>
        <w:t>艾力江·宋江</w:t>
      </w:r>
    </w:p>
    <w:p w14:paraId="6F55FB7F" w14:textId="77777777" w:rsidR="001D59F7" w:rsidRDefault="00000000">
      <w:pPr>
        <w:spacing w:line="540" w:lineRule="exact"/>
        <w:ind w:firstLineChars="100" w:firstLine="360"/>
        <w:rPr>
          <w:rStyle w:val="ad"/>
          <w:rFonts w:ascii="仿宋" w:eastAsia="仿宋" w:hAnsi="仿宋" w:cs="仿宋"/>
          <w:b w:val="0"/>
          <w:bCs w:val="0"/>
          <w:spacing w:val="-4"/>
          <w:sz w:val="32"/>
          <w:szCs w:val="32"/>
        </w:rPr>
      </w:pPr>
      <w:r>
        <w:rPr>
          <w:rFonts w:ascii="仿宋" w:eastAsia="仿宋" w:hAnsi="仿宋" w:cs="仿宋" w:hint="eastAsia"/>
          <w:kern w:val="0"/>
          <w:sz w:val="36"/>
          <w:szCs w:val="36"/>
        </w:rPr>
        <w:t>填报时间：</w:t>
      </w:r>
      <w:r>
        <w:rPr>
          <w:rStyle w:val="ad"/>
          <w:rFonts w:ascii="仿宋" w:eastAsia="仿宋" w:hAnsi="仿宋" w:cs="仿宋" w:hint="eastAsia"/>
          <w:b w:val="0"/>
          <w:bCs w:val="0"/>
          <w:spacing w:val="-4"/>
          <w:sz w:val="32"/>
          <w:szCs w:val="32"/>
        </w:rPr>
        <w:t>2023年03月09日</w:t>
      </w:r>
    </w:p>
    <w:p w14:paraId="509E1EE9" w14:textId="77777777" w:rsidR="001D59F7" w:rsidRDefault="00000000">
      <w:pPr>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br w:type="page"/>
      </w:r>
    </w:p>
    <w:p w14:paraId="5D14C083"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一、基本情况</w:t>
      </w:r>
    </w:p>
    <w:p w14:paraId="002A42B3" w14:textId="77777777" w:rsidR="001D59F7" w:rsidRDefault="00000000">
      <w:pPr>
        <w:spacing w:line="570" w:lineRule="exact"/>
        <w:ind w:firstLineChars="200" w:firstLine="627"/>
        <w:rPr>
          <w:rStyle w:val="ad"/>
          <w:rFonts w:ascii="方正楷体_GBK" w:eastAsia="方正楷体_GBK" w:hAnsi="方正楷体_GBK" w:cs="方正楷体_GBK"/>
          <w:bCs w:val="0"/>
          <w:spacing w:val="-4"/>
          <w:sz w:val="32"/>
          <w:szCs w:val="32"/>
        </w:rPr>
      </w:pPr>
      <w:r>
        <w:rPr>
          <w:rStyle w:val="ad"/>
          <w:rFonts w:ascii="楷体" w:eastAsia="楷体" w:hAnsi="楷体" w:cs="楷体" w:hint="eastAsia"/>
          <w:bCs w:val="0"/>
          <w:spacing w:val="-4"/>
          <w:sz w:val="32"/>
          <w:szCs w:val="32"/>
        </w:rPr>
        <w:t>（一）项目概况。包括项目背景、主要内容及实施情况、资金投入和使用情况等。</w:t>
      </w:r>
    </w:p>
    <w:p w14:paraId="704D901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为提高预算完整性，加快支出进度，根据自治区财政厅《关于提前下达2022年中央医疗服务与保障能力提升(公立医院综合改革）补助资金预算的通知》(新财社[2021]314号）文件，现提前下达你县（市）2022年中央医疗服务与保障能力提升（公立医院综合改革）补助资金154万元，用于推进公立医院综合改革。</w:t>
        <w:br/>
        <w:t>2. 主要内容及实施情况</w:t>
        <w:br/>
        <w:t>根据深化公立医院综合改革工作要求实施药品零差率销售及一次性耗材取消加成和根据我院建设的实际需要，配置必要的诊疗设备，结合《县医院医疗服务能力基本标准》的要求，根据“突出重点、填平补齐、工作必备、适当提高”原则，我院拟购买仪器、药品零差率销售及一次性耗材取消加成等，重点加强学科建设，结合发展我院整体建设需求,项目资金安排163万元,用于购买医疗设备，检验科1台全自动镜子质量分析仪230000元，内一科1台阅片灯1500元，内一科1台成人体重秤700元，内一科1台除颤仪60000元，内一科1台治疗车3700元，内一科1台抢救箱6000元，内一科、眼科、耳鼻喉科4台不锈钢治疗车6000元，药品费和耗材费零差价补助1322100元，总共307900元。利于改善我院医疗设备，提高综合临床服务能力，针对我县域内常见病、多发病、地方病，结合我院自身发展和实际需求，进一步健全一级诊疗科目，逐步完善二级诊疗科目，进一步提高重大疾病的诊疗能力和危急重症的抢救能力。</w:t>
        <w:br/>
        <w:t>3.项目实施主体</w:t>
        <w:br/>
        <w:t>塔什库尔干县人民医院为差额事业单位，纳入2021年部门决算编制范围的有5个办公室：党政办、财务科、项目办、总务科、设备科。</w:t>
        <w:br/>
        <w:t>编制人数108人，其中：工勤3人、事业编制105人。实有在职人数94人，其中：工勤2人、事业在职92人。离退休人员55人，其中：事业退休55人。</w:t>
        <w:br/>
        <w:t>4. 资金投入和使用情况</w:t>
        <w:br/>
        <w:t>关于提前下达2022年中央医疗服务与保障能力提升（公立医院综合改革）补助资金预算的通知（喀地财社[2021]107号</w:t>
        <w:br/>
        <w:t>）共安排下达资金154万元，为补助预算资金，最终确定项目资金总数为154万元。</w:t>
        <w:br/>
        <w:t>截至2022年12月31日，实际支出154万元，预算执行率100%。</w:t>
      </w:r>
    </w:p>
    <w:p w14:paraId="6A9D8BA2"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（二）项目绩效目标。包括总体目标和阶段性目标。</w:t>
      </w:r>
    </w:p>
    <w:p w14:paraId="3902C6CE"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（二）项目绩效目标</w:t>
        <w:br/>
        <w:t>项目绩效目标包括项目绩效总目标和阶段性目标。</w:t>
        <w:br/>
        <w:t>1.项目绩效总目标</w:t>
        <w:br/>
        <w:t>根据我院建设的实际需要，配置必要的诊疗设备，结合《县医院医疗服务能力基本标准》的要求。提升医疗服务质量，建立健全现代医院管理制度，医疗服务价格调整，解决老百姓“看病贵，看病难”的问题。</w:t>
        <w:br/>
        <w:t>2.阶段性目标</w:t>
        <w:br/>
        <w:t>项目计划资金154万元,用于2022年中央医疗服务与保障能力提升（公立医院综合改革）补助资金项目。购买医疗设备，检验科1台全自动精子质量分析仪230000元，内一科1台阅片灯1500元，内一科1台成人体重秤700元，内一科1台除颤仪60000元，内一科1辆治疗车3700元，内一科1个抢救箱6000元，内一科、眼科、耳鼻喉科4辆不锈钢治疗车6000元，药品费零差价补助950000和耗材费零差价补助282100元，总共1630000元。利于改善我院医疗设备，提高综合临床服务能力，针对我县域内常见病、多发病、地方病，结合我院自身发展和实际需求，进一步健全一级诊疗科目，逐步完善二级诊疗科目，进一步提高重大疾病的诊疗能力和危急重症的抢救能力。</w:t>
      </w:r>
    </w:p>
    <w:p w14:paraId="3A919777"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二、绩效评价工作开展情况</w:t>
      </w:r>
    </w:p>
    <w:p w14:paraId="7E6C86C5"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（一）绩效评价目的、对象和范围。</w:t>
      </w:r>
    </w:p>
    <w:p w14:paraId="247B2BE7"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14:paraId="24500BF8"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（二）绩效评价原则、评价指标体系（附表说明）、评价方法、评价标准等。</w:t>
      </w:r>
    </w:p>
    <w:p w14:paraId="2DE7F4C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（二）绩效评价原则、评价指标体系、评价方法评价标准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</w:t>
        <w:br/>
        <w:t>3. 绩效评价方法</w:t>
        <w:br/>
        <w:t>本次绩效评价方法的选用坚持简便有效的原则采用综合分析法。采用定量与定性评价相结合的比较法，公众评判法，总分由各项指标得分汇总形成。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14:paraId="36A614F1"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（三）绩效评价工作过程。</w:t>
      </w:r>
    </w:p>
    <w:p w14:paraId="1C7E2031"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王贵平任评价组组长，绩效评价工作职责为负责全盘工作。</w:t>
        <w:br/>
        <w:t>艾力江·宋江、薛新平任评价组副组长，绩效评价工作职责为为对项目实施情况进行实地调查。</w:t>
        <w:br/>
        <w:t>李志斌、排孜来提、董杰、胡尔西达、古力西尔、阿力甫任评价组成员，绩效评价工作职责为负责资料审核等工作。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14:paraId="2DA5CBF2"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三、综合评价情况及评价结论</w:t>
      </w:r>
    </w:p>
    <w:p w14:paraId="4C8DDC14"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（一）综合评价情况</w:t>
        <w:br/>
        <w:t>经评价组通过实地调研、综合分析法、问卷调查法等方式，主要采用综合分析法对项目的决策、实施、产出、效益进行综合评价分析，最终评分100分。</w:t>
        <w:br/>
        <w:t>2022年中央医疗服务与保障能力提升（公立医院综合改革）补助资金项目得分情况表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2022年中央医疗服务与保障能力提升（公立医院综合改革）补助资金项目已完成购买医疗设备，检验科1台全自动精子质量分析仪230000元，内一科1台阅片灯1500元，内一科1台成人体重秤700元，内一科1台除颤仪60000元，内一科1辆治疗车3700元，内一科1个抢救箱6000元，内一科、眼科、耳鼻喉科4辆不锈钢治疗车6000元，药品费零差价补助950000和耗材费零差价补助282100元，进一步推动了重大疾病的诊疗能力和危急重症的抢救能力,产生社会保障医疗服务效益。该项目最终评分100分，绩效评级为“优”。</w:t>
      </w:r>
    </w:p>
    <w:p w14:paraId="7940CAF2" w14:textId="77777777" w:rsidR="001D59F7" w:rsidRDefault="00000000">
      <w:pPr>
        <w:spacing w:line="570" w:lineRule="exact"/>
        <w:ind w:firstLineChars="200" w:firstLine="624"/>
        <w:rPr>
          <w:rStyle w:val="ad"/>
          <w:rFonts w:ascii="黑体" w:eastAsia="黑体" w:hAnsi="黑体" w:cs="黑体"/>
          <w:b w:val="0"/>
          <w:sz w:val="32"/>
          <w:szCs w:val="32"/>
        </w:rPr>
      </w:pPr>
      <w:r>
        <w:rPr>
          <w:rStyle w:val="ad"/>
          <w:rFonts w:ascii="黑体" w:eastAsia="黑体" w:hAnsi="黑体" w:cs="黑体" w:hint="eastAsia"/>
          <w:b w:val="0"/>
          <w:spacing w:val="-4"/>
          <w:sz w:val="32"/>
          <w:szCs w:val="32"/>
        </w:rPr>
        <w:t xml:space="preserve">四、绩效评价指标分析 </w:t>
      </w:r>
    </w:p>
    <w:p w14:paraId="45B6A465"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（一）项目决策情况。</w:t>
      </w:r>
    </w:p>
    <w:p w14:paraId="0ACD818C"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（1）立项依据充分性：结合塔什库尔干塔吉克自治县人民医院职责，并组织实施。围绕塔什库尔干塔吉克自治县年度工作重点和工作计划制定经费预算，根据评分标准，该指标不扣分，得3分。</w:t>
        <w:br/>
        <w:t>（2）立项程序规范性：根据决策依据编制工作计划和经费预算，经过与王贵平分管领导进行沟通、筛选确定经费预算计划，上党委会研究确定最终预算方案，根据评分标准，该指标不扣分，得2分。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预算编制经过科学论证，内容与项目内容匹配，项目投资额与工作任务相匹配，根据评分标准，该指标不扣分，得5分。</w:t>
        <w:br/>
        <w:t>（6）资金分配合理性：资金分配与实际相适应，根据评分标准，该指标不扣分，得5分。</w:t>
      </w:r>
    </w:p>
    <w:p w14:paraId="08EF9CF2"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（二）项目过程情况。</w:t>
      </w:r>
    </w:p>
    <w:p w14:paraId="6B64B585"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（二）项目过程情况</w:t>
        <w:b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（1）资金到位率：财政资金足额拨付到位，牵头单位能够及时足额按照合同约定将专项资金拨付给联合体单位，根据评分标准，该指标不扣分，得5分。   </w:t>
        <w:br/>
        <w:t>（2）预算执行率：预算编制较为详细，项目资金支出总体能够按照预算执行，根据评分标准，该指标不扣分，得5分。</w:t>
        <w:br/>
        <w:t>（3）资金使用合规性：制定了相关的制度和管理规定对经费使用进行规范管理，财务制度健全、执行严格，根据评分标准，该指标不扣分，得5分。</w:t>
        <w:br/>
        <w:t>（4）管理制度健全性：制定了党校相关管理办法，对财政专项资金进行严格管理，基本做到了专款专用，根据评分标准，该指标不扣分，得2分。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14:paraId="1194A5B5"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（三）项目产出情况。</w:t>
      </w:r>
    </w:p>
    <w:p w14:paraId="0EA5C3EF"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（三）项目产出情况</w:t>
        <w:b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购买全自动精子质量分析仪1台，与预期目标一致，根据评分标准，该指标不扣分，得2分。</w:t>
        <w:br/>
        <w:t>购买阅片灯1台，与预期目标一致，根据评分标准，该指标不扣分，得2分。</w:t>
        <w:br/>
        <w:t>购买成人体重秤1台，与预期目标一致，根据评分标准，该指标不扣分，得2分。</w:t>
        <w:br/>
        <w:t>购买除颤仪1台，与预期目标一致，根据评分标准，该指标不扣分，得1分。</w:t>
        <w:br/>
        <w:t>购买治疗车1辆，与预期目标一致，根据评分标准，该指标不扣分，得1分。</w:t>
        <w:br/>
        <w:t>购买抢救箱1个，与预期目标一致，根据评分标准，该指标不扣分，得1分。</w:t>
        <w:br/>
        <w:t>购买不锈钢治疗车4辆，与预期目标一致，根据评分标准，该指标不扣分，得1分。</w:t>
        <w:br/>
        <w:t>合计得10分。</w:t>
        <w:br/>
        <w:t>（2）对于“产出质量”：</w:t>
        <w:br/>
        <w:t>购买医疗设备合格率100%，与预期目标一致，根据评分标准，该指标不扣分，得4分。</w:t>
        <w:br/>
        <w:t>耗材零差价补贴率10%，与预期目标一致，根据评分标准，该指标不扣分，得3分。</w:t>
        <w:br/>
        <w:t>药品零差价补贴率15%，与预期目标一致，根据评分标准，该指标不扣分，得3分。</w:t>
        <w:br/>
        <w:t>合计得10分。</w:t>
        <w:br/>
        <w:t>（3）对于“产出时效”：</w:t>
        <w:br/>
        <w:t>购买医疗设备交货及时率100%，与预期目标指标一致，根据评分标准，该指标不扣分，得4分。</w:t>
        <w:br/>
        <w:t>资金拨付及时率100%，与预期目标指标一致，根据评分标准，该指标不扣分，得3分。</w:t>
        <w:br/>
        <w:t>项目完成时间等于2022年12月，与预期目标指标一致，根据评分标准，该指标不扣分，得3分。</w:t>
        <w:br/>
        <w:t>合计得10分。</w:t>
        <w:br/>
        <w:t>（4）对于“产出成本”：</w:t>
        <w:br/>
        <w:t>购买全自动精子质量分析仪成本23万元，与预期目标指标一致，根据评分标准，该指标不扣分，得2分。</w:t>
        <w:br/>
        <w:t>购买阅片灯成本0.15万元，与预期目标指标一致，根据评分标准，该指标不扣分，得1分。</w:t>
        <w:br/>
        <w:t>购买成人体重秤成本0.07万元，与预期目标指标一致，根据评分标准，该指标不扣分，得1分。</w:t>
        <w:br/>
        <w:t>购买除颤仪成本6万元，与预期目标指标一致，根据评分标准，该指标不扣分，得1分。</w:t>
        <w:br/>
        <w:t>购买治疗车成本0.37万元，与预期目标指标一致，根据评分标准，该指标不扣分，得1分。</w:t>
        <w:br/>
        <w:t>购买抢救箱成本0.6万元，与预期目标指标一致，根据评分标准，该指标不扣分，得1分。</w:t>
        <w:br/>
        <w:t>购买不锈钢治疗车成本0.15万元，与预期目标指标一致，根据评分标准，该指标不扣分，得1分。</w:t>
        <w:br/>
        <w:t>药品零差价补贴95万元，与预期目标指标一致，根据评分标准，该指标不扣分，得1分。</w:t>
        <w:br/>
        <w:t>耗材零差价补贴37.21万元，与预期目标指标一致，根据评分标准，该指标不扣分，得1分。</w:t>
        <w:br/>
        <w:t>合计得10分。</w:t>
      </w:r>
    </w:p>
    <w:p w14:paraId="085A5DA0"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（四）项目效益情况。</w:t>
      </w:r>
    </w:p>
    <w:p w14:paraId="0DC686A4"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（四）项目效益情况</w:t>
        <w:b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有效保障医疗服务水平，与预期指标一致，根据评分标准，该指标不扣分，得5分。</w:t>
        <w:br/>
        <w:t>（2）对于“可持续影响指标”：</w:t>
        <w:br/>
        <w:t>医疗设备可使用年限10年，与预期指标一致，根据评分标准，该指标不扣分，得5分。</w:t>
        <w:br/>
        <w:t>实施效益指标合计得10分。</w:t>
        <w:br/>
        <w:t>（3）对于“经济效益指标”：</w:t>
        <w:br/>
        <w:t>无。</w:t>
        <w:br/>
        <w:t>（5）对于“生态效益指标”：</w:t>
        <w:br/>
        <w:t>无。</w:t>
        <w:br/>
        <w:t>实施效益指标合计得10分。</w:t>
        <w:br/>
        <w:t>2.满意度指标:</w:t>
        <w:br/>
        <w:t>对于“满意度指标：县级公立医院患者满意度96%，与预期目标一致，根据评分标准，该指标不扣分,得10分。</w:t>
      </w:r>
    </w:p>
    <w:p w14:paraId="1427E7F2"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五、预算执行进度与绩效指标偏差</w:t>
      </w:r>
    </w:p>
    <w:p w14:paraId="59F9E263" w14:textId="77777777" w:rsidR="001D59F7" w:rsidRDefault="00000000">
      <w:pPr>
        <w:spacing w:line="540" w:lineRule="exact"/>
        <w:ind w:firstLine="567"/>
        <w:rPr>
          <w:rFonts w:ascii="仿宋" w:eastAsia="仿宋" w:hAnsi="仿宋" w:cs="仿宋"/>
          <w:spacing w:val="-4"/>
          <w:sz w:val="32"/>
          <w:szCs w:val="32"/>
        </w:rPr>
      </w:pPr>
      <w:r>
        <w:rPr>
          <w:rStyle w:val="ad"/>
          <w:rFonts w:ascii="仿宋" w:eastAsia="仿宋" w:hAnsi="仿宋" w:cs="仿宋" w:hint="eastAsia"/>
          <w:b w:val="0"/>
          <w:bCs w:val="0"/>
          <w:spacing w:val="-4"/>
          <w:sz w:val="32"/>
          <w:szCs w:val="32"/>
        </w:rPr>
        <w:t>五、预算执行进度与绩效指标偏差情况</w:t>
        <w:br/>
        <w:t>2022年中央医疗服务与保障能力提升（公立医院综合改革）补助资金项目预算154万元，到位154万元，实际支出154万元，预算执行率为100%，项目绩效指标总体完成率为100%，无偏差。</w:t>
      </w:r>
    </w:p>
    <w:p w14:paraId="626EE800"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六、主要经验及做法、存在的问题及原因分析</w:t>
      </w:r>
    </w:p>
    <w:p w14:paraId="53C72163"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六、主要经验及做法、存在的问题及原因分析</w:t>
        <w:br/>
        <w:t>（一）主要经验及做法</w:t>
        <w:b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1958C78E"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七、有关建议</w:t>
      </w:r>
    </w:p>
    <w:p w14:paraId="7DEC5E5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七、有关建议</w:t>
        <w:b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14:paraId="6FEBFB95"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八、其他需要说明的问题</w:t>
      </w:r>
    </w:p>
    <w:p w14:paraId="4B1F6429"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八、其他需要说明的问题</w:t>
        <w:br/>
        <w:t>我单位对上述项目支出绩效评价报告内反映内容的真实性、完整性负责，接受上级部门及社会公众监督。</w:t>
      </w:r>
    </w:p>
    <w:p w14:paraId="0E525B6E" w14:textId="77777777" w:rsidR="001D59F7" w:rsidRDefault="001D59F7">
      <w:pPr>
        <w:spacing w:line="540" w:lineRule="exact"/>
        <w:ind w:firstLine="567"/>
        <w:rPr>
          <w:rStyle w:val="ad"/>
          <w:rFonts w:ascii="黑体" w:eastAsia="黑体" w:hAnsi="黑体" w:cs="黑体"/>
          <w:b w:val="0"/>
          <w:bCs w:val="0"/>
          <w:spacing w:val="-4"/>
          <w:sz w:val="32"/>
          <w:szCs w:val="32"/>
        </w:rPr>
      </w:pPr>
    </w:p>
    <w:p w14:paraId="088A38F8" w14:textId="77777777" w:rsidR="001D59F7" w:rsidRDefault="001D59F7">
      <w:pPr>
        <w:spacing w:line="540" w:lineRule="exact"/>
        <w:ind w:firstLine="567"/>
        <w:rPr>
          <w:rStyle w:val="ad"/>
          <w:rFonts w:ascii="黑体" w:eastAsia="黑体" w:hAnsi="黑体" w:cs="黑体"/>
          <w:b w:val="0"/>
          <w:bCs w:val="0"/>
          <w:spacing w:val="-4"/>
          <w:sz w:val="32"/>
          <w:szCs w:val="32"/>
        </w:rPr>
      </w:pPr>
    </w:p>
    <w:sectPr w:rsidR="001D59F7">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B848C" w14:textId="77777777" w:rsidR="00164EEB" w:rsidRDefault="00164EEB">
      <w:r>
        <w:separator/>
      </w:r>
    </w:p>
  </w:endnote>
  <w:endnote w:type="continuationSeparator" w:id="0">
    <w:p w14:paraId="6523E723" w14:textId="77777777" w:rsidR="00164EEB" w:rsidRDefault="0016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703A45A3" w14:textId="77777777" w:rsidR="001D59F7" w:rsidRDefault="00000000">
        <w:pPr>
          <w:pStyle w:val="a5"/>
          <w:jc w:val="center"/>
        </w:pPr>
        <w:r>
          <w:fldChar w:fldCharType="begin"/>
        </w:r>
        <w:r>
          <w:instrText>PAGE   \* MERGEFORMAT</w:instrText>
        </w:r>
        <w:r>
          <w:fldChar w:fldCharType="separate"/>
        </w:r>
        <w:r>
          <w:rPr>
            <w:lang w:val="zh-CN"/>
          </w:rPr>
          <w:t>1</w:t>
        </w:r>
        <w:r>
          <w:fldChar w:fldCharType="end"/>
        </w:r>
      </w:p>
    </w:sdtContent>
  </w:sdt>
  <w:p w14:paraId="068E755B" w14:textId="77777777" w:rsidR="001D59F7" w:rsidRDefault="001D59F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971B1" w14:textId="77777777" w:rsidR="00164EEB" w:rsidRDefault="00164EEB">
      <w:r>
        <w:separator/>
      </w:r>
    </w:p>
  </w:footnote>
  <w:footnote w:type="continuationSeparator" w:id="0">
    <w:p w14:paraId="180509BF" w14:textId="77777777" w:rsidR="00164EEB" w:rsidRDefault="00164E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17C32CDD"/>
    <w:rsid w:val="2A880B33"/>
    <w:rsid w:val="2AE11386"/>
    <w:rsid w:val="2D4C6AD2"/>
    <w:rsid w:val="2D5A6638"/>
    <w:rsid w:val="340D5924"/>
    <w:rsid w:val="41EC1CB5"/>
    <w:rsid w:val="43B04001"/>
    <w:rsid w:val="4609551D"/>
    <w:rsid w:val="4D2606A1"/>
    <w:rsid w:val="4DD42C22"/>
    <w:rsid w:val="50796DE0"/>
    <w:rsid w:val="5DA521F6"/>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965E3"/>
  <w15:docId w15:val="{5E203BB2-B778-493E-B8E8-15A84A71F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oter1.xml" Type="http://schemas.openxmlformats.org/officeDocument/2006/relationships/footer"/>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Words>
  <Characters>593</Characters>
  <Application>Microsoft Office Word</Application>
  <DocSecurity>0</DocSecurity>
  <Lines>4</Lines>
  <Paragraphs>1</Paragraphs>
  <ScaleCrop>false</ScaleCrop>
  <Company>Microsoft</Company>
  <LinksUpToDate>false</LinksUpToDate>
  <CharactersWithSpaces>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易仁多</cp:lastModifiedBy>
  <cp:lastPrinted>2018-12-31T10:56:00Z</cp:lastPrinted>
  <dcterms:modified xsi:type="dcterms:W3CDTF">2023-03-14T11:09:00Z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2052-11.1.0.11405</vt:lpwstr>
  </property>
  <property fmtid="{D5CDD505-2E9C-101B-9397-08002B2CF9AE}" pid="3" name="ICV">
    <vt:lpwstr>B2EA7016946742F29F6179AB652E0BB8</vt:lpwstr>
  </property>
</Properties>
</file>