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47B304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塔什库尔干塔吉克自治县医疗保障局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7E6902">
      <w:r>
        <w:br w:type="page"/>
      </w:r>
    </w:p>
    <w:p w14:paraId="51A5134F">
      <w:pPr>
        <w:spacing w:line="640" w:lineRule="exact"/>
        <w:jc w:val="center"/>
        <w:outlineLvl w:val="1"/>
      </w:pPr>
      <w:r>
        <w:rPr>
          <w:rFonts w:ascii="黑体" w:hAnsi="黑体" w:eastAsia="黑体"/>
          <w:sz w:val="32"/>
        </w:rPr>
        <w:t>第一部分 单位概况</w:t>
      </w:r>
    </w:p>
    <w:p w14:paraId="63620A9C">
      <w:pPr>
        <w:spacing w:line="640" w:lineRule="exact"/>
        <w:ind w:firstLine="640"/>
        <w:jc w:val="both"/>
        <w:outlineLvl w:val="2"/>
      </w:pPr>
      <w:r>
        <w:rPr>
          <w:rFonts w:ascii="黑体" w:hAnsi="黑体" w:eastAsia="黑体"/>
          <w:sz w:val="32"/>
        </w:rPr>
        <w:t>一、主要职能</w:t>
      </w:r>
    </w:p>
    <w:p w14:paraId="000568F5">
      <w:pPr>
        <w:spacing w:line="580" w:lineRule="exact"/>
        <w:ind w:firstLine="640"/>
        <w:jc w:val="both"/>
      </w:pPr>
      <w:r>
        <w:rPr>
          <w:rFonts w:ascii="仿宋_GB2312" w:hAnsi="仿宋_GB2312" w:eastAsia="仿宋_GB2312"/>
          <w:sz w:val="32"/>
        </w:rPr>
        <w:t>1.贯彻落实国家和自治区医疗保险、生育保险、人身意外伤害保险、医疗救助等医疗保障制度;提出地区医疗保障制度的政策、规划和标准并组织实施;拟订</w:t>
      </w:r>
      <w:r>
        <w:rPr>
          <w:rFonts w:hint="eastAsia" w:ascii="仿宋_GB2312" w:hAnsi="仿宋_GB2312" w:eastAsia="仿宋_GB2312"/>
          <w:sz w:val="32"/>
          <w:lang w:eastAsia="zh-CN"/>
        </w:rPr>
        <w:t>县级</w:t>
      </w:r>
      <w:r>
        <w:rPr>
          <w:rFonts w:ascii="仿宋_GB2312" w:hAnsi="仿宋_GB2312" w:eastAsia="仿宋_GB2312"/>
          <w:sz w:val="32"/>
        </w:rPr>
        <w:t>医疗保险、生育保险、大病保险、大额医疗补助、公务员医疗补助、企事业单位补充医疗保险、长期护理保险、医疗救助、离休人员和优抚对象医疗保障等政策、管理办法并组织实施。</w:t>
      </w:r>
    </w:p>
    <w:p w14:paraId="3CEE5466">
      <w:pPr>
        <w:spacing w:line="580" w:lineRule="exact"/>
        <w:ind w:firstLine="640"/>
        <w:jc w:val="both"/>
      </w:pPr>
      <w:r>
        <w:rPr>
          <w:rFonts w:ascii="仿宋_GB2312" w:hAnsi="仿宋_GB2312" w:eastAsia="仿宋_GB2312"/>
          <w:sz w:val="32"/>
        </w:rPr>
        <w:t>2.拟订并实施医疗保障基金监督管理办法，建立健全医疗保障基金安全防控机制，承担推进医疗保障基金支付方式改革工作，编制县级医疗保障基金预决算草案。</w:t>
      </w:r>
    </w:p>
    <w:p w14:paraId="5B579386">
      <w:pPr>
        <w:spacing w:line="580" w:lineRule="exact"/>
        <w:ind w:firstLine="640"/>
        <w:jc w:val="both"/>
      </w:pPr>
      <w:r>
        <w:rPr>
          <w:rFonts w:ascii="仿宋_GB2312" w:hAnsi="仿宋_GB2312" w:eastAsia="仿宋_GB2312"/>
          <w:sz w:val="32"/>
        </w:rPr>
        <w:t>3.组织拟订县级医疗保障筹资和</w:t>
      </w:r>
      <w:r>
        <w:rPr>
          <w:rFonts w:hint="eastAsia" w:ascii="仿宋_GB2312" w:hAnsi="仿宋_GB2312" w:eastAsia="仿宋_GB2312"/>
          <w:sz w:val="32"/>
          <w:lang w:eastAsia="zh-CN"/>
        </w:rPr>
        <w:t>待遇</w:t>
      </w:r>
      <w:r>
        <w:rPr>
          <w:rFonts w:ascii="仿宋_GB2312" w:hAnsi="仿宋_GB2312" w:eastAsia="仿宋_GB2312"/>
          <w:sz w:val="32"/>
        </w:rPr>
        <w:t>政策，</w:t>
      </w:r>
      <w:r>
        <w:rPr>
          <w:rFonts w:hint="eastAsia" w:ascii="仿宋_GB2312" w:hAnsi="仿宋_GB2312" w:eastAsia="仿宋_GB2312"/>
          <w:sz w:val="32"/>
          <w:lang w:eastAsia="zh-CN"/>
        </w:rPr>
        <w:t>完善</w:t>
      </w:r>
      <w:r>
        <w:rPr>
          <w:rFonts w:ascii="仿宋_GB2312" w:hAnsi="仿宋_GB2312" w:eastAsia="仿宋_GB2312"/>
          <w:sz w:val="32"/>
        </w:rPr>
        <w:t>动态调整和</w:t>
      </w:r>
      <w:r>
        <w:rPr>
          <w:rFonts w:hint="eastAsia" w:ascii="仿宋_GB2312" w:hAnsi="仿宋_GB2312" w:eastAsia="仿宋_GB2312"/>
          <w:sz w:val="32"/>
          <w:lang w:eastAsia="zh-CN"/>
        </w:rPr>
        <w:t>区域</w:t>
      </w:r>
      <w:r>
        <w:rPr>
          <w:rFonts w:ascii="仿宋_GB2312" w:hAnsi="仿宋_GB2312" w:eastAsia="仿宋_GB2312"/>
          <w:sz w:val="32"/>
        </w:rPr>
        <w:t>调剂平衡机制，统筹</w:t>
      </w:r>
      <w:r>
        <w:rPr>
          <w:rFonts w:hint="eastAsia" w:ascii="仿宋_GB2312" w:hAnsi="仿宋_GB2312" w:eastAsia="仿宋_GB2312"/>
          <w:sz w:val="32"/>
          <w:lang w:eastAsia="zh-CN"/>
        </w:rPr>
        <w:t>城乡</w:t>
      </w:r>
      <w:r>
        <w:rPr>
          <w:rFonts w:ascii="仿宋_GB2312" w:hAnsi="仿宋_GB2312" w:eastAsia="仿宋_GB2312"/>
          <w:sz w:val="32"/>
        </w:rPr>
        <w:t>医疗保障待遇标准，建立健全与筹资水平相适应的待遇调整机制。</w:t>
      </w:r>
      <w:r>
        <w:rPr>
          <w:rFonts w:hint="eastAsia" w:ascii="仿宋_GB2312" w:hAnsi="仿宋_GB2312" w:eastAsia="仿宋_GB2312"/>
          <w:sz w:val="32"/>
          <w:lang w:eastAsia="zh-CN"/>
        </w:rPr>
        <w:t>拟订</w:t>
      </w:r>
      <w:r>
        <w:rPr>
          <w:rFonts w:ascii="仿宋_GB2312" w:hAnsi="仿宋_GB2312" w:eastAsia="仿宋_GB2312"/>
          <w:sz w:val="32"/>
        </w:rPr>
        <w:t>并组织实施长期护理保险制度改革方案。</w:t>
      </w:r>
    </w:p>
    <w:p w14:paraId="6A432FAD">
      <w:pPr>
        <w:spacing w:line="580" w:lineRule="exact"/>
        <w:ind w:firstLine="640"/>
        <w:jc w:val="both"/>
      </w:pPr>
      <w:r>
        <w:rPr>
          <w:rFonts w:ascii="仿宋_GB2312" w:hAnsi="仿宋_GB2312" w:eastAsia="仿宋_GB2312"/>
          <w:sz w:val="32"/>
        </w:rPr>
        <w:t>4.贯彻落实国家、自治区药品、医用耗材价格和医疗服务项目、医疗服务设施收费等政策并监督实施，执行自治区制定的药品、医用耗材的招标采购政策并监督实施，建立健全医保支付医药服务价格合理确定和动态调整机制，建立市场主导的社会医药服务价格形成机制，建立医药服务价格信息监测和信息发布制度。</w:t>
      </w:r>
    </w:p>
    <w:p w14:paraId="1D8D7BF2">
      <w:pPr>
        <w:spacing w:line="580" w:lineRule="exact"/>
        <w:ind w:firstLine="640"/>
        <w:jc w:val="both"/>
      </w:pPr>
      <w:r>
        <w:rPr>
          <w:rFonts w:ascii="仿宋_GB2312" w:hAnsi="仿宋_GB2312" w:eastAsia="仿宋_GB2312"/>
          <w:sz w:val="32"/>
        </w:rPr>
        <w:t>5.贯彻落实国家、自治区药品、医用耗材、医疗服务项目、医疗服务设施等医保目录和支付标准，建立动态调整机制。</w:t>
      </w:r>
    </w:p>
    <w:p w14:paraId="723ABB43">
      <w:pPr>
        <w:spacing w:line="580" w:lineRule="exact"/>
        <w:ind w:firstLine="640"/>
        <w:jc w:val="both"/>
      </w:pPr>
      <w:r>
        <w:rPr>
          <w:rFonts w:ascii="仿宋_GB2312" w:hAnsi="仿宋_GB2312" w:eastAsia="仿宋_GB2312"/>
          <w:sz w:val="32"/>
        </w:rPr>
        <w:t>6.制定定点医药机构协议和支付管理办法并组织实施，建立健全医疗保障信用评价体系和信息披露制度，监督管理纳入医保范围内的医疗服务行为和医疗费用，依法查处医疗保障、生育保险领域违法违规行为。</w:t>
      </w:r>
    </w:p>
    <w:p w14:paraId="14F64EAA">
      <w:pPr>
        <w:spacing w:line="580" w:lineRule="exact"/>
        <w:ind w:firstLine="640"/>
        <w:jc w:val="both"/>
      </w:pPr>
      <w:r>
        <w:rPr>
          <w:rFonts w:ascii="仿宋_GB2312" w:hAnsi="仿宋_GB2312" w:eastAsia="仿宋_GB2312"/>
          <w:sz w:val="32"/>
        </w:rPr>
        <w:t>7.负责县级医疗保障经办管理、公共服务体系和信息化建设。贯彻落实国家和自治区跨省异地就医管理和费用结算政策，组织制定县异地就医和费用结算政策。建立健全医疗保障关系转移接续制度。监督指导医疗保障经办机构开展业务工作。</w:t>
      </w:r>
    </w:p>
    <w:p w14:paraId="20A6D153">
      <w:pPr>
        <w:spacing w:line="580" w:lineRule="exact"/>
        <w:ind w:firstLine="640"/>
        <w:jc w:val="both"/>
      </w:pPr>
      <w:r>
        <w:rPr>
          <w:rFonts w:ascii="仿宋_GB2312" w:hAnsi="仿宋_GB2312" w:eastAsia="仿宋_GB2312"/>
          <w:sz w:val="32"/>
        </w:rPr>
        <w:t>8.完成县委、县人民政府交办的其他任务。</w:t>
      </w:r>
    </w:p>
    <w:p w14:paraId="450BF7F5">
      <w:pPr>
        <w:spacing w:line="640" w:lineRule="exact"/>
        <w:ind w:firstLine="640"/>
        <w:jc w:val="both"/>
        <w:outlineLvl w:val="2"/>
      </w:pPr>
      <w:r>
        <w:rPr>
          <w:rFonts w:ascii="黑体" w:hAnsi="黑体" w:eastAsia="黑体"/>
          <w:sz w:val="32"/>
        </w:rPr>
        <w:t>二、机构设置及人员情况</w:t>
      </w:r>
    </w:p>
    <w:p w14:paraId="0A830CCC">
      <w:pPr>
        <w:spacing w:line="580" w:lineRule="exact"/>
        <w:ind w:firstLine="640"/>
        <w:jc w:val="both"/>
      </w:pPr>
      <w:r>
        <w:rPr>
          <w:rFonts w:ascii="仿宋_GB2312" w:hAnsi="仿宋_GB2312" w:eastAsia="仿宋_GB2312"/>
          <w:sz w:val="32"/>
        </w:rPr>
        <w:t>塔什库尔干塔吉克自治县医疗保障局2024年度，实有人数16人，其中：在职人员12人，增加0人；离休人员0人，增加0人；退休人员4人,增加1人。</w:t>
      </w:r>
    </w:p>
    <w:p w14:paraId="78D7D20E">
      <w:pPr>
        <w:spacing w:line="580" w:lineRule="exact"/>
        <w:ind w:firstLine="640"/>
        <w:jc w:val="both"/>
      </w:pPr>
      <w:r>
        <w:rPr>
          <w:rFonts w:ascii="仿宋_GB2312" w:hAnsi="仿宋_GB2312" w:eastAsia="仿宋_GB2312"/>
          <w:sz w:val="32"/>
        </w:rPr>
        <w:t>单位无下属预算单位，下设3个科室，分别是：办公室、财务室、综合业务大厅。</w:t>
      </w:r>
    </w:p>
    <w:p w14:paraId="1E91E437">
      <w:r>
        <w:br w:type="page"/>
      </w:r>
    </w:p>
    <w:p w14:paraId="4BC56739">
      <w:pPr>
        <w:spacing w:line="240" w:lineRule="auto"/>
        <w:jc w:val="center"/>
        <w:outlineLvl w:val="1"/>
      </w:pPr>
      <w:r>
        <w:rPr>
          <w:rFonts w:ascii="黑体" w:hAnsi="黑体" w:eastAsia="黑体"/>
          <w:sz w:val="32"/>
        </w:rPr>
        <w:t>第二部分 部门决算情况说明</w:t>
      </w:r>
    </w:p>
    <w:p w14:paraId="27F78671">
      <w:pPr>
        <w:spacing w:line="640" w:lineRule="exact"/>
        <w:ind w:firstLine="640"/>
        <w:jc w:val="both"/>
        <w:outlineLvl w:val="2"/>
      </w:pPr>
      <w:r>
        <w:rPr>
          <w:rFonts w:ascii="黑体" w:hAnsi="黑体" w:eastAsia="黑体"/>
          <w:sz w:val="32"/>
        </w:rPr>
        <w:t>一、收入支出决算总体情况说明</w:t>
      </w:r>
    </w:p>
    <w:p w14:paraId="1F07B223">
      <w:pPr>
        <w:spacing w:line="580" w:lineRule="exact"/>
        <w:ind w:firstLine="640"/>
        <w:jc w:val="both"/>
      </w:pPr>
      <w:r>
        <w:rPr>
          <w:rFonts w:ascii="仿宋_GB2312" w:hAnsi="仿宋_GB2312" w:eastAsia="仿宋_GB2312"/>
          <w:b/>
          <w:sz w:val="32"/>
        </w:rPr>
        <w:t>2024年度收入总计281.03万元，</w:t>
      </w:r>
      <w:r>
        <w:rPr>
          <w:rFonts w:ascii="仿宋_GB2312" w:hAnsi="仿宋_GB2312" w:eastAsia="仿宋_GB2312"/>
          <w:b w:val="0"/>
          <w:sz w:val="32"/>
        </w:rPr>
        <w:t>其中：本年收入合计281.03万元，使用非财政拨款结余（含专用结余）0.00万元，年初结转和结余0.00万元。</w:t>
      </w:r>
    </w:p>
    <w:p w14:paraId="6FD59AC6">
      <w:pPr>
        <w:spacing w:line="580" w:lineRule="exact"/>
        <w:ind w:firstLine="640"/>
        <w:jc w:val="both"/>
      </w:pPr>
      <w:r>
        <w:rPr>
          <w:rFonts w:ascii="仿宋_GB2312" w:hAnsi="仿宋_GB2312" w:eastAsia="仿宋_GB2312"/>
          <w:b/>
          <w:sz w:val="32"/>
        </w:rPr>
        <w:t>2024年度支出总计281.03万元，</w:t>
      </w:r>
      <w:r>
        <w:rPr>
          <w:rFonts w:ascii="仿宋_GB2312" w:hAnsi="仿宋_GB2312" w:eastAsia="仿宋_GB2312"/>
          <w:b w:val="0"/>
          <w:sz w:val="32"/>
        </w:rPr>
        <w:t>其中：本年支出合计281.03万元，结余分配0.00万元，年末结转和结余0.00万元。</w:t>
      </w:r>
    </w:p>
    <w:p w14:paraId="6E8B38E3">
      <w:pPr>
        <w:spacing w:line="580" w:lineRule="exact"/>
        <w:ind w:firstLine="640"/>
        <w:jc w:val="both"/>
      </w:pPr>
      <w:r>
        <w:rPr>
          <w:rFonts w:ascii="仿宋_GB2312" w:hAnsi="仿宋_GB2312" w:eastAsia="仿宋_GB2312"/>
          <w:b w:val="0"/>
          <w:sz w:val="32"/>
        </w:rPr>
        <w:t>收入支出总体与上年相比，减少35.85万元，下降11.31%，主要原因是：本年减少中央医疗服务与保障能力提升-医疗保障服务能力建设补助资金；本年在职人员调入调出，工资基数不同，相关人员经费较上年减少；本年新增退休人员较上年减少，职业年金缴费较上年减少。</w:t>
      </w:r>
    </w:p>
    <w:p w14:paraId="1BD7FAFA">
      <w:pPr>
        <w:spacing w:line="640" w:lineRule="exact"/>
        <w:ind w:firstLine="640"/>
        <w:jc w:val="both"/>
        <w:outlineLvl w:val="2"/>
      </w:pPr>
      <w:r>
        <w:rPr>
          <w:rFonts w:ascii="黑体" w:hAnsi="黑体" w:eastAsia="黑体"/>
          <w:sz w:val="32"/>
        </w:rPr>
        <w:t>二、收入决算情况说明</w:t>
      </w:r>
    </w:p>
    <w:p w14:paraId="2C0B0714">
      <w:pPr>
        <w:spacing w:line="580" w:lineRule="exact"/>
        <w:ind w:firstLine="640"/>
        <w:jc w:val="both"/>
      </w:pPr>
      <w:r>
        <w:rPr>
          <w:rFonts w:ascii="仿宋_GB2312" w:hAnsi="仿宋_GB2312" w:eastAsia="仿宋_GB2312"/>
          <w:b/>
          <w:sz w:val="32"/>
        </w:rPr>
        <w:t>本年收入281.03万元，</w:t>
      </w:r>
      <w:r>
        <w:rPr>
          <w:rFonts w:ascii="仿宋_GB2312" w:hAnsi="仿宋_GB2312" w:eastAsia="仿宋_GB2312"/>
          <w:b w:val="0"/>
          <w:sz w:val="32"/>
        </w:rPr>
        <w:t>其中：财政拨款收入281.03万元，占100.00%；上级补助收入0.00万元，占0.00%；事业收入0.00万元，占0.00%；经营收入0.00万元，占0.00%；附属单位上缴收入0.00万元，占0.00%；其他收入0.00万元，占0.00%。</w:t>
      </w:r>
    </w:p>
    <w:p w14:paraId="55982331">
      <w:pPr>
        <w:spacing w:line="640" w:lineRule="exact"/>
        <w:ind w:firstLine="640"/>
        <w:jc w:val="both"/>
        <w:outlineLvl w:val="2"/>
      </w:pPr>
      <w:r>
        <w:rPr>
          <w:rFonts w:ascii="黑体" w:hAnsi="黑体" w:eastAsia="黑体"/>
          <w:sz w:val="32"/>
        </w:rPr>
        <w:t>三、支出决算情况说明</w:t>
      </w:r>
    </w:p>
    <w:p w14:paraId="0BE794FE">
      <w:pPr>
        <w:spacing w:line="580" w:lineRule="exact"/>
        <w:ind w:firstLine="640"/>
        <w:jc w:val="both"/>
      </w:pPr>
      <w:r>
        <w:rPr>
          <w:rFonts w:ascii="仿宋_GB2312" w:hAnsi="仿宋_GB2312" w:eastAsia="仿宋_GB2312"/>
          <w:b/>
          <w:sz w:val="32"/>
        </w:rPr>
        <w:t>本年支出281.03万元，</w:t>
      </w:r>
      <w:r>
        <w:rPr>
          <w:rFonts w:ascii="仿宋_GB2312" w:hAnsi="仿宋_GB2312" w:eastAsia="仿宋_GB2312"/>
          <w:b w:val="0"/>
          <w:sz w:val="32"/>
        </w:rPr>
        <w:t>其中：基本支出270.69万元，占96.32%；项目支出10.34万元，占3.68%；上缴上级支出0.00万元，占0.00%；经营支出0.00万元，占0.00%；对附属单位补助支出0.00万元，占0.00%。</w:t>
      </w:r>
    </w:p>
    <w:p w14:paraId="3DEC95CB">
      <w:pPr>
        <w:spacing w:line="640" w:lineRule="exact"/>
        <w:ind w:firstLine="640"/>
        <w:jc w:val="both"/>
        <w:outlineLvl w:val="2"/>
      </w:pPr>
      <w:r>
        <w:rPr>
          <w:rFonts w:ascii="黑体" w:hAnsi="黑体" w:eastAsia="黑体"/>
          <w:sz w:val="32"/>
        </w:rPr>
        <w:t>四、财政拨款收入支出决算总体情况说明</w:t>
      </w:r>
    </w:p>
    <w:p w14:paraId="1067512D">
      <w:pPr>
        <w:spacing w:line="580" w:lineRule="exact"/>
        <w:ind w:firstLine="640"/>
        <w:jc w:val="both"/>
      </w:pPr>
      <w:r>
        <w:rPr>
          <w:rFonts w:ascii="仿宋_GB2312" w:hAnsi="仿宋_GB2312" w:eastAsia="仿宋_GB2312"/>
          <w:b/>
          <w:sz w:val="32"/>
        </w:rPr>
        <w:t>2024年度财政拨款收入总计281.03万元，</w:t>
      </w:r>
      <w:r>
        <w:rPr>
          <w:rFonts w:ascii="仿宋_GB2312" w:hAnsi="仿宋_GB2312" w:eastAsia="仿宋_GB2312"/>
          <w:b w:val="0"/>
          <w:sz w:val="32"/>
        </w:rPr>
        <w:t>其中：年初财政拨款结转和结余0.00万元，本年财政拨款收入281.03万元。</w:t>
      </w:r>
      <w:r>
        <w:rPr>
          <w:rFonts w:ascii="仿宋_GB2312" w:hAnsi="仿宋_GB2312" w:eastAsia="仿宋_GB2312"/>
          <w:b/>
          <w:sz w:val="32"/>
        </w:rPr>
        <w:t>财政拨款支出总计281.03万元，</w:t>
      </w:r>
      <w:r>
        <w:rPr>
          <w:rFonts w:ascii="仿宋_GB2312" w:hAnsi="仿宋_GB2312" w:eastAsia="仿宋_GB2312"/>
          <w:b w:val="0"/>
          <w:sz w:val="32"/>
        </w:rPr>
        <w:t>其中：年末财政拨款结转和结余0.00万元，本年财政拨款支出281.03万元。</w:t>
      </w:r>
    </w:p>
    <w:p w14:paraId="18F7D55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35.85万元，下降11.31%，主要原因是：本年减少中央医疗服务与保障能力提升-医疗保障服务能力建设补助资金；本年在职人员调入调出，工资基数不同，相关人员经费较上年减少；本年新增退休人员较上年减少，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年初预算数269.51万元，决算数281.03万元，预决算差异率4.27%，主要原因是：年中追加人员工资、社保、公积金基数调增部分资金及2024年为民办实事工作经费项目。</w:t>
      </w:r>
    </w:p>
    <w:p w14:paraId="5C0C7D0A">
      <w:pPr>
        <w:spacing w:line="640" w:lineRule="exact"/>
        <w:ind w:firstLine="640"/>
        <w:jc w:val="both"/>
        <w:outlineLvl w:val="2"/>
      </w:pPr>
      <w:r>
        <w:rPr>
          <w:rFonts w:ascii="黑体" w:hAnsi="黑体" w:eastAsia="黑体"/>
          <w:sz w:val="32"/>
        </w:rPr>
        <w:t>五、一般公共预算财政拨款支出决算情况说明</w:t>
      </w:r>
    </w:p>
    <w:p w14:paraId="425589CD">
      <w:pPr>
        <w:spacing w:line="640" w:lineRule="exact"/>
        <w:ind w:firstLine="640"/>
        <w:jc w:val="both"/>
        <w:outlineLvl w:val="3"/>
      </w:pPr>
      <w:r>
        <w:rPr>
          <w:rFonts w:ascii="楷体_GB2312" w:hAnsi="楷体_GB2312" w:eastAsia="楷体_GB2312"/>
          <w:b/>
          <w:sz w:val="32"/>
        </w:rPr>
        <w:t>（一）一般公共预算财政拨款支出决算总体情况</w:t>
      </w:r>
    </w:p>
    <w:p w14:paraId="2699FBB2">
      <w:pPr>
        <w:spacing w:line="580" w:lineRule="exact"/>
        <w:ind w:firstLine="640"/>
        <w:jc w:val="both"/>
      </w:pPr>
      <w:r>
        <w:rPr>
          <w:rFonts w:ascii="仿宋_GB2312" w:hAnsi="仿宋_GB2312" w:eastAsia="仿宋_GB2312"/>
          <w:b/>
          <w:sz w:val="32"/>
        </w:rPr>
        <w:t>2024年度一般公共预算财政拨款支出281.03万元，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35.85万元，下降11.31%，主要原因是：本年减少中央医疗服务与保障能力提升-医疗保障服务能力建设补助资金；本年在职人员调入调出，工资基数不同，相关人员经费较上年减少；本年新增退休人员较上年减少，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年初预算数269.51万元，决算数281.03万元，预决算差异率4.27%，主要原因是：年中追加人员工资、社保、公积金基数调增部分资金及2024年为民办实事工作经费项目。</w:t>
      </w:r>
    </w:p>
    <w:p w14:paraId="24F6115F">
      <w:pPr>
        <w:spacing w:line="640" w:lineRule="exact"/>
        <w:ind w:firstLine="640"/>
        <w:jc w:val="both"/>
        <w:outlineLvl w:val="3"/>
      </w:pPr>
      <w:r>
        <w:rPr>
          <w:rFonts w:ascii="楷体_GB2312" w:hAnsi="楷体_GB2312" w:eastAsia="楷体_GB2312"/>
          <w:b/>
          <w:sz w:val="32"/>
        </w:rPr>
        <w:t>（二）一般公共预算财政拨款支出决算结构情况</w:t>
      </w:r>
    </w:p>
    <w:p w14:paraId="51D80D69">
      <w:pPr>
        <w:spacing w:line="580" w:lineRule="exact"/>
        <w:ind w:firstLine="640"/>
        <w:jc w:val="both"/>
      </w:pPr>
      <w:r>
        <w:rPr>
          <w:rFonts w:ascii="仿宋_GB2312" w:hAnsi="仿宋_GB2312" w:eastAsia="仿宋_GB2312"/>
          <w:b w:val="0"/>
          <w:sz w:val="32"/>
        </w:rPr>
        <w:t>1.一般公共服务支出(类)1.10万元,占0.39%。</w:t>
      </w:r>
    </w:p>
    <w:p w14:paraId="5C9503F8">
      <w:pPr>
        <w:spacing w:line="580" w:lineRule="exact"/>
        <w:ind w:firstLine="640"/>
        <w:jc w:val="both"/>
      </w:pPr>
      <w:r>
        <w:rPr>
          <w:rFonts w:ascii="仿宋_GB2312" w:hAnsi="仿宋_GB2312" w:eastAsia="仿宋_GB2312"/>
          <w:b w:val="0"/>
          <w:sz w:val="32"/>
        </w:rPr>
        <w:t>2.社会保障和就业支出(类)41.35万元,占14.71%。</w:t>
      </w:r>
    </w:p>
    <w:p w14:paraId="5F917970">
      <w:pPr>
        <w:spacing w:line="580" w:lineRule="exact"/>
        <w:ind w:firstLine="640"/>
        <w:jc w:val="both"/>
      </w:pPr>
      <w:r>
        <w:rPr>
          <w:rFonts w:ascii="仿宋_GB2312" w:hAnsi="仿宋_GB2312" w:eastAsia="仿宋_GB2312"/>
          <w:b w:val="0"/>
          <w:sz w:val="32"/>
        </w:rPr>
        <w:t>3.卫生健康支出(类)209.15万元,占74.42%。</w:t>
      </w:r>
    </w:p>
    <w:p w14:paraId="1390E154">
      <w:pPr>
        <w:spacing w:line="580" w:lineRule="exact"/>
        <w:ind w:firstLine="640"/>
        <w:jc w:val="both"/>
      </w:pPr>
      <w:r>
        <w:rPr>
          <w:rFonts w:ascii="仿宋_GB2312" w:hAnsi="仿宋_GB2312" w:eastAsia="仿宋_GB2312"/>
          <w:b w:val="0"/>
          <w:sz w:val="32"/>
        </w:rPr>
        <w:t>4.住房保障支出(类)22.44万元,占7.98%。</w:t>
      </w:r>
    </w:p>
    <w:p w14:paraId="707AA9BF">
      <w:pPr>
        <w:spacing w:line="580" w:lineRule="exact"/>
        <w:ind w:firstLine="640"/>
        <w:jc w:val="both"/>
      </w:pPr>
      <w:r>
        <w:rPr>
          <w:rFonts w:ascii="仿宋_GB2312" w:hAnsi="仿宋_GB2312" w:eastAsia="仿宋_GB2312"/>
          <w:b w:val="0"/>
          <w:sz w:val="32"/>
        </w:rPr>
        <w:t>5.其他支出(类)7.00万元,占2.49%。</w:t>
      </w:r>
    </w:p>
    <w:p w14:paraId="733652B9">
      <w:pPr>
        <w:spacing w:line="640" w:lineRule="exact"/>
        <w:ind w:firstLine="640"/>
        <w:jc w:val="both"/>
        <w:outlineLvl w:val="3"/>
      </w:pPr>
      <w:r>
        <w:rPr>
          <w:rFonts w:ascii="楷体_GB2312" w:hAnsi="楷体_GB2312" w:eastAsia="楷体_GB2312"/>
          <w:b/>
          <w:sz w:val="32"/>
        </w:rPr>
        <w:t>（三）一般公共预算财政拨款支出决算具体情况</w:t>
      </w:r>
    </w:p>
    <w:p w14:paraId="185A5408">
      <w:pPr>
        <w:spacing w:line="580" w:lineRule="exact"/>
        <w:ind w:firstLine="640"/>
        <w:jc w:val="both"/>
      </w:pPr>
      <w:r>
        <w:rPr>
          <w:rFonts w:ascii="仿宋_GB2312" w:hAnsi="仿宋_GB2312" w:eastAsia="仿宋_GB2312"/>
          <w:b w:val="0"/>
          <w:sz w:val="32"/>
        </w:rPr>
        <w:t>1.一般公共服务支出(类)统计信息事务(款)行政运行(项):支出决算数为1.10万元，比上年决算增加1.10万元，增长100.00%,主要原因是：本年科目调整，部分人员工资经费由卫生健康支出(类)医疗保障管理事务(款)行政运行(项)调整至一般公共服务支出(类)统计信息事务(款)行政运行(项)列支，导致经费较上年增加。</w:t>
      </w:r>
    </w:p>
    <w:p w14:paraId="008A1BB4">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2.社会保障和就业支出(类)行政事业单位养老支出(款)行政单位离退休(项):支出决算数为5.11万元，比上年决算增加0.94万元，增长22.54%,主要原因是：本年增加退休人员基础绩效奖，退休费支出增加。</w:t>
      </w:r>
    </w:p>
    <w:p w14:paraId="2882EF17">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25.96万元，比上年决算增加2.36万元，增长10.00%,主要原因是：本年在职人员工资基数调增，养老缴费基数上涨，相应支出增加。</w:t>
      </w:r>
    </w:p>
    <w:p w14:paraId="52C4FE8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10.28万元，比上年决算减少16.19万元，下降61.16%,主要原因是：本年新增退休人员较上年减少，职业年金缴费较上年减少。</w:t>
      </w:r>
    </w:p>
    <w:p w14:paraId="601AF7B7">
      <w:pPr>
        <w:spacing w:line="580" w:lineRule="exact"/>
        <w:ind w:firstLine="640"/>
        <w:jc w:val="both"/>
      </w:pPr>
      <w:r>
        <w:rPr>
          <w:rFonts w:ascii="仿宋_GB2312" w:hAnsi="仿宋_GB2312" w:eastAsia="仿宋_GB2312"/>
          <w:b w:val="0"/>
          <w:sz w:val="32"/>
        </w:rPr>
        <w:t>5.卫生健康支出(类)行政事业单位医疗(款)行政单位医疗(项):支出决算数为10.89万元，比上年决算增加0.78万元，增长7.72%,主要原因是：本年在职人员工资基数调增，医疗缴费基数上涨，相应支出增加。</w:t>
      </w:r>
    </w:p>
    <w:p w14:paraId="020121BC">
      <w:pPr>
        <w:spacing w:line="580" w:lineRule="exact"/>
        <w:ind w:firstLine="640"/>
        <w:jc w:val="both"/>
      </w:pPr>
      <w:r>
        <w:rPr>
          <w:rFonts w:ascii="仿宋_GB2312" w:hAnsi="仿宋_GB2312" w:eastAsia="仿宋_GB2312"/>
          <w:b w:val="0"/>
          <w:sz w:val="32"/>
        </w:rPr>
        <w:t>6.卫生健康支出(类)行政事业单位医疗(款)公务员医疗补助(项):支出决算数为0.92万元，比上年决算增加0.02万元，增长2.22%,主要原因是：本年在职人员工资基数调增，公务员医疗补助上涨，相应支出增加。</w:t>
      </w:r>
    </w:p>
    <w:p w14:paraId="03D3ED8B">
      <w:pPr>
        <w:spacing w:line="580" w:lineRule="exact"/>
        <w:ind w:firstLine="640"/>
        <w:jc w:val="both"/>
      </w:pPr>
      <w:r>
        <w:rPr>
          <w:rFonts w:ascii="仿宋_GB2312" w:hAnsi="仿宋_GB2312" w:eastAsia="仿宋_GB2312"/>
          <w:b w:val="0"/>
          <w:sz w:val="32"/>
        </w:rPr>
        <w:t>7.卫生健康支出(类)医疗保障管理事务(款)行政运行(项):支出决算数为57.05万元，比上年决算减少12.39万元，下降17.84%,主要原因是：本年在职人员调入调出，人员职级不同，工资基数不同，导致人员经费较上年减少；本年科目调整，部分人员工资经费由卫生健康支出(类)医疗保障管理事务(款)行政运行(项)调整至一般公共服务支出(类)统计信息事务(款)行政运行(项)列支，导致经费较上年减少。</w:t>
      </w:r>
    </w:p>
    <w:p w14:paraId="72ACCEB7">
      <w:pPr>
        <w:spacing w:line="580" w:lineRule="exact"/>
        <w:ind w:firstLine="640"/>
        <w:jc w:val="both"/>
      </w:pPr>
      <w:r>
        <w:rPr>
          <w:rFonts w:ascii="仿宋_GB2312" w:hAnsi="仿宋_GB2312" w:eastAsia="仿宋_GB2312"/>
          <w:b w:val="0"/>
          <w:sz w:val="32"/>
        </w:rPr>
        <w:t>8.卫生健康支出(类)医疗保障管理事务(款)信息化建设(项):支出决算数为0.00万元，比上年决算减少10.00万元，下降100.00%,主要原因是：本年减少中央医疗服务与保障能力提升-医疗保障服务能力建设补助资金。</w:t>
      </w:r>
    </w:p>
    <w:p w14:paraId="3BD60919">
      <w:pPr>
        <w:spacing w:line="580" w:lineRule="exact"/>
        <w:ind w:firstLine="640"/>
        <w:jc w:val="both"/>
      </w:pPr>
      <w:r>
        <w:rPr>
          <w:rFonts w:ascii="仿宋_GB2312" w:hAnsi="仿宋_GB2312" w:eastAsia="仿宋_GB2312"/>
          <w:b w:val="0"/>
          <w:sz w:val="32"/>
        </w:rPr>
        <w:t>9.卫生健康支出(类)医疗保障管理事务(款)医疗保障经办事务(项):支出决算数为3.34万元，比上年决算增加0.55万元，增长19.71%,主要原因是：本年医疗保险全民参保及医疗服务工作经费资金增加。</w:t>
      </w:r>
    </w:p>
    <w:p w14:paraId="1991E203">
      <w:pPr>
        <w:spacing w:line="580" w:lineRule="exact"/>
        <w:ind w:firstLine="640"/>
        <w:jc w:val="both"/>
      </w:pPr>
      <w:r>
        <w:rPr>
          <w:rFonts w:ascii="仿宋_GB2312" w:hAnsi="仿宋_GB2312" w:eastAsia="仿宋_GB2312"/>
          <w:b w:val="0"/>
          <w:sz w:val="32"/>
        </w:rPr>
        <w:t>10.卫生健康支出(类)医疗保障管理事务(款)事业运行(项):支出决算数为136.94万元，比上年决算减少12.84万元，下降8.57%,主要原因是：本年在职人员调入调出，人员职级不同，工资基数不同，导致人员经费较上年减少。</w:t>
      </w:r>
    </w:p>
    <w:p w14:paraId="7D784F83">
      <w:pPr>
        <w:spacing w:line="580" w:lineRule="exact"/>
        <w:ind w:firstLine="640"/>
        <w:jc w:val="both"/>
      </w:pPr>
      <w:r>
        <w:rPr>
          <w:rFonts w:ascii="仿宋_GB2312" w:hAnsi="仿宋_GB2312" w:eastAsia="仿宋_GB2312"/>
          <w:b w:val="0"/>
          <w:sz w:val="32"/>
        </w:rPr>
        <w:t>11.住房保障支出(类)住房改革支出(款)住房公积金(项):支出决算数为22.44万元，比上年决算增加2.83万元，增长14.43%,主要原因是：本年在职人员工资基数调增，公积金缴费基数上涨，相应支出增加。</w:t>
      </w:r>
    </w:p>
    <w:p w14:paraId="77F8CF86">
      <w:pPr>
        <w:spacing w:line="580" w:lineRule="exact"/>
        <w:ind w:firstLine="640"/>
        <w:jc w:val="both"/>
      </w:pPr>
      <w:r>
        <w:rPr>
          <w:rFonts w:ascii="仿宋_GB2312" w:hAnsi="仿宋_GB2312" w:eastAsia="仿宋_GB2312"/>
          <w:b w:val="0"/>
          <w:sz w:val="32"/>
        </w:rPr>
        <w:t>12.其他支出(类)其他支出(款)其他支出(项):支出决算数为7.00万元，比上年决算增加7.00万元，增长100.00%,主要原因是：本年增加2024年为民办实事工作经费。</w:t>
      </w:r>
    </w:p>
    <w:p w14:paraId="2F2355B9">
      <w:pPr>
        <w:spacing w:line="640" w:lineRule="exact"/>
        <w:ind w:firstLine="640"/>
        <w:jc w:val="both"/>
        <w:outlineLvl w:val="2"/>
      </w:pPr>
      <w:r>
        <w:rPr>
          <w:rFonts w:ascii="黑体" w:hAnsi="黑体" w:eastAsia="黑体"/>
          <w:sz w:val="32"/>
        </w:rPr>
        <w:t>六、一般公共预算财政拨款基本支出决算情况说明</w:t>
      </w:r>
    </w:p>
    <w:p w14:paraId="41A5AA81">
      <w:pPr>
        <w:spacing w:line="580" w:lineRule="exact"/>
        <w:ind w:firstLine="640"/>
        <w:jc w:val="both"/>
      </w:pPr>
      <w:r>
        <w:rPr>
          <w:rFonts w:ascii="仿宋_GB2312" w:hAnsi="仿宋_GB2312" w:eastAsia="仿宋_GB2312"/>
          <w:b w:val="0"/>
          <w:sz w:val="32"/>
        </w:rPr>
        <w:t>2024年度一般公共预算财政拨款基本支出270.69万元，其中：</w:t>
      </w:r>
      <w:r>
        <w:rPr>
          <w:rFonts w:ascii="仿宋_GB2312" w:hAnsi="仿宋_GB2312" w:eastAsia="仿宋_GB2312"/>
          <w:b/>
          <w:sz w:val="32"/>
        </w:rPr>
        <w:t>人员经费265.99万元，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41488CFD">
      <w:pPr>
        <w:spacing w:line="580" w:lineRule="exact"/>
        <w:ind w:firstLine="640"/>
        <w:jc w:val="both"/>
      </w:pPr>
      <w:r>
        <w:rPr>
          <w:rFonts w:ascii="仿宋_GB2312" w:hAnsi="仿宋_GB2312" w:eastAsia="仿宋_GB2312"/>
          <w:b/>
          <w:sz w:val="32"/>
        </w:rPr>
        <w:t>公用经费4.70万元，</w:t>
      </w:r>
      <w:r>
        <w:rPr>
          <w:rFonts w:ascii="仿宋_GB2312" w:hAnsi="仿宋_GB2312" w:eastAsia="仿宋_GB2312"/>
          <w:b w:val="0"/>
          <w:sz w:val="32"/>
        </w:rPr>
        <w:t>包括：办公费、邮电费、差旅费、公务用车运行维护费。</w:t>
      </w:r>
    </w:p>
    <w:p w14:paraId="19579511">
      <w:pPr>
        <w:spacing w:line="640" w:lineRule="exact"/>
        <w:ind w:firstLine="640"/>
        <w:jc w:val="both"/>
        <w:outlineLvl w:val="2"/>
      </w:pPr>
      <w:r>
        <w:rPr>
          <w:rFonts w:ascii="黑体" w:hAnsi="黑体" w:eastAsia="黑体"/>
          <w:sz w:val="32"/>
        </w:rPr>
        <w:t>七、政府性基金预算财政拨款收入支出决算情况说明</w:t>
      </w:r>
    </w:p>
    <w:p w14:paraId="77B055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4269CB3">
      <w:pPr>
        <w:spacing w:line="640" w:lineRule="exact"/>
        <w:ind w:firstLine="640"/>
        <w:jc w:val="both"/>
        <w:outlineLvl w:val="2"/>
      </w:pPr>
      <w:r>
        <w:rPr>
          <w:rFonts w:ascii="黑体" w:hAnsi="黑体" w:eastAsia="黑体"/>
          <w:sz w:val="32"/>
        </w:rPr>
        <w:t>八、国有资本经营预算财政拨款收入支出决算情况说明</w:t>
      </w:r>
    </w:p>
    <w:p w14:paraId="3FFEAC9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A83546C">
      <w:pPr>
        <w:spacing w:line="640" w:lineRule="exact"/>
        <w:ind w:firstLine="640"/>
        <w:jc w:val="both"/>
        <w:outlineLvl w:val="2"/>
      </w:pPr>
      <w:r>
        <w:rPr>
          <w:rFonts w:ascii="黑体" w:hAnsi="黑体" w:eastAsia="黑体"/>
          <w:sz w:val="32"/>
        </w:rPr>
        <w:t>九、财政拨款“三公”经费支出决算情况说明</w:t>
      </w:r>
    </w:p>
    <w:p w14:paraId="191B6C1D">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本单位公务用车运行维护费与上年一致无变化。公务接待费支出0.00万元，占0.00%，比上年增加0.00万元，增长0.00%，主要原因是：2023年与2024年均未安排公务接待费支出。</w:t>
      </w:r>
    </w:p>
    <w:p w14:paraId="5AAA3EC1">
      <w:pPr>
        <w:spacing w:line="580" w:lineRule="exact"/>
        <w:ind w:firstLine="640"/>
        <w:jc w:val="both"/>
      </w:pPr>
      <w:r>
        <w:rPr>
          <w:rFonts w:ascii="仿宋_GB2312" w:hAnsi="仿宋_GB2312" w:eastAsia="仿宋_GB2312"/>
          <w:b/>
          <w:sz w:val="32"/>
        </w:rPr>
        <w:t>具体情况如下：</w:t>
      </w:r>
    </w:p>
    <w:p w14:paraId="71B55E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06D3519">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452EC47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C7010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654819E5">
      <w:pPr>
        <w:spacing w:line="640" w:lineRule="exact"/>
        <w:ind w:firstLine="640"/>
        <w:jc w:val="both"/>
        <w:outlineLvl w:val="2"/>
      </w:pPr>
      <w:r>
        <w:rPr>
          <w:rFonts w:ascii="黑体" w:hAnsi="黑体" w:eastAsia="黑体"/>
          <w:sz w:val="32"/>
        </w:rPr>
        <w:t>十、其他重要事项的情况说明</w:t>
      </w:r>
    </w:p>
    <w:p w14:paraId="12258EAF">
      <w:pPr>
        <w:spacing w:line="640" w:lineRule="exact"/>
        <w:ind w:firstLine="640"/>
        <w:jc w:val="both"/>
        <w:outlineLvl w:val="3"/>
      </w:pPr>
      <w:r>
        <w:rPr>
          <w:rFonts w:ascii="楷体_GB2312" w:hAnsi="楷体_GB2312" w:eastAsia="楷体_GB2312"/>
          <w:b/>
          <w:sz w:val="32"/>
        </w:rPr>
        <w:t>（一）机关运行经费及公用经费支出情况</w:t>
      </w:r>
    </w:p>
    <w:p w14:paraId="4CCAA35E">
      <w:pPr>
        <w:spacing w:line="580" w:lineRule="exact"/>
        <w:ind w:firstLine="640"/>
        <w:jc w:val="both"/>
      </w:pPr>
      <w:r>
        <w:rPr>
          <w:rFonts w:ascii="仿宋_GB2312" w:hAnsi="仿宋_GB2312" w:eastAsia="仿宋_GB2312"/>
          <w:b w:val="0"/>
          <w:sz w:val="32"/>
        </w:rPr>
        <w:t>2024年度塔什库尔干塔吉克自治县医疗保障局（行政单位和参照公务员法管理事业单位）机关运行经费支出4.70万元，比上年减少0.44万元，下降8.56%，主要原因是：严格控制公用经费，合理节约办公用品，减少不必要开支。</w:t>
      </w:r>
    </w:p>
    <w:p w14:paraId="369896F1">
      <w:pPr>
        <w:spacing w:line="640" w:lineRule="exact"/>
        <w:ind w:firstLine="640"/>
        <w:jc w:val="both"/>
        <w:outlineLvl w:val="3"/>
      </w:pPr>
      <w:r>
        <w:rPr>
          <w:rFonts w:ascii="楷体_GB2312" w:hAnsi="楷体_GB2312" w:eastAsia="楷体_GB2312"/>
          <w:b/>
          <w:sz w:val="32"/>
        </w:rPr>
        <w:t>（二）政府采购情况</w:t>
      </w:r>
    </w:p>
    <w:p w14:paraId="36457045">
      <w:pPr>
        <w:spacing w:line="580" w:lineRule="exact"/>
        <w:ind w:firstLine="640"/>
        <w:jc w:val="both"/>
      </w:pPr>
      <w:r>
        <w:rPr>
          <w:rFonts w:ascii="仿宋_GB2312" w:hAnsi="仿宋_GB2312" w:eastAsia="仿宋_GB2312"/>
          <w:b w:val="0"/>
          <w:sz w:val="32"/>
        </w:rPr>
        <w:t>2024年度政府采购支出总额2.35万元，其中：政府采购货物支出1.38万元、政府采购工程支出0.00万元、政府采购服务支出0.97万元。</w:t>
      </w:r>
    </w:p>
    <w:p w14:paraId="04A5B83F">
      <w:pPr>
        <w:spacing w:line="580" w:lineRule="exact"/>
        <w:ind w:firstLine="640"/>
        <w:jc w:val="both"/>
      </w:pPr>
      <w:r>
        <w:rPr>
          <w:rFonts w:ascii="仿宋_GB2312" w:hAnsi="仿宋_GB2312" w:eastAsia="仿宋_GB2312"/>
          <w:b w:val="0"/>
          <w:sz w:val="32"/>
        </w:rPr>
        <w:t>授予中小企业合同金额1.47万元，占政府采购支出总额的62.55%，其中：授予小微企业合同金额1.47万元，占政府采购支出总额的62.55%。</w:t>
      </w:r>
    </w:p>
    <w:p w14:paraId="7D80A29F">
      <w:pPr>
        <w:spacing w:line="640" w:lineRule="exact"/>
        <w:ind w:firstLine="640"/>
        <w:jc w:val="both"/>
        <w:outlineLvl w:val="3"/>
      </w:pPr>
      <w:r>
        <w:rPr>
          <w:rFonts w:ascii="楷体_GB2312" w:hAnsi="楷体_GB2312" w:eastAsia="楷体_GB2312"/>
          <w:b/>
          <w:sz w:val="32"/>
        </w:rPr>
        <w:t>（三）国有资产占用情况说明</w:t>
      </w:r>
    </w:p>
    <w:p w14:paraId="4565282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00E649A">
      <w:pPr>
        <w:spacing w:line="640" w:lineRule="exact"/>
        <w:ind w:firstLine="640"/>
        <w:jc w:val="both"/>
        <w:outlineLvl w:val="2"/>
      </w:pPr>
      <w:r>
        <w:rPr>
          <w:rFonts w:ascii="黑体" w:hAnsi="黑体" w:eastAsia="黑体"/>
          <w:sz w:val="32"/>
        </w:rPr>
        <w:t>十一、预算绩效的情况说明</w:t>
      </w:r>
    </w:p>
    <w:p w14:paraId="589A864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281.03万元，实际执行总额281.03万元；预算绩效评价项目2个，全年预算数10.34万元，全年执行数10.34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7614F0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9C9DDA">
        <w:tblPrEx>
          <w:tblCellMar>
            <w:top w:w="0" w:type="dxa"/>
            <w:left w:w="108" w:type="dxa"/>
            <w:bottom w:w="0" w:type="dxa"/>
            <w:right w:w="108" w:type="dxa"/>
          </w:tblCellMar>
        </w:tblPrEx>
        <w:tc>
          <w:tcPr>
            <w:tcW w:w="8847" w:type="dxa"/>
            <w:gridSpan w:val="9"/>
            <w:vAlign w:val="center"/>
          </w:tcPr>
          <w:p w14:paraId="5B5A5095">
            <w:pPr>
              <w:jc w:val="center"/>
            </w:pPr>
            <w:r>
              <w:rPr>
                <w:rFonts w:ascii="宋体" w:hAnsi="宋体" w:eastAsia="宋体"/>
                <w:sz w:val="24"/>
              </w:rPr>
              <w:t>单位整体支出绩效自评表</w:t>
            </w:r>
          </w:p>
        </w:tc>
      </w:tr>
      <w:tr w14:paraId="37EF4200">
        <w:tblPrEx>
          <w:tblCellMar>
            <w:top w:w="0" w:type="dxa"/>
            <w:left w:w="108" w:type="dxa"/>
            <w:bottom w:w="0" w:type="dxa"/>
            <w:right w:w="108" w:type="dxa"/>
          </w:tblCellMar>
        </w:tblPrEx>
        <w:tc>
          <w:tcPr>
            <w:tcW w:w="8847" w:type="dxa"/>
            <w:gridSpan w:val="9"/>
            <w:vAlign w:val="center"/>
          </w:tcPr>
          <w:p w14:paraId="3D894829">
            <w:pPr>
              <w:jc w:val="center"/>
            </w:pPr>
            <w:r>
              <w:rPr>
                <w:rFonts w:ascii="宋体" w:hAnsi="宋体" w:eastAsia="宋体"/>
                <w:sz w:val="24"/>
              </w:rPr>
              <w:t>（2024年度）</w:t>
            </w:r>
          </w:p>
        </w:tc>
      </w:tr>
      <w:tr w14:paraId="77BEC1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CFC4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922C95">
            <w:pPr>
              <w:jc w:val="center"/>
            </w:pPr>
            <w:r>
              <w:rPr>
                <w:rFonts w:ascii="宋体" w:hAnsi="宋体" w:eastAsia="宋体"/>
                <w:sz w:val="16"/>
              </w:rPr>
              <w:t>塔什库尔干塔吉克自治县医疗保障局</w:t>
            </w:r>
          </w:p>
        </w:tc>
      </w:tr>
      <w:tr w14:paraId="14736E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94181">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9275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88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C30D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4B87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E6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6DA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DF447">
            <w:pPr>
              <w:jc w:val="center"/>
            </w:pPr>
            <w:r>
              <w:rPr>
                <w:rFonts w:ascii="宋体" w:hAnsi="宋体" w:eastAsia="宋体"/>
                <w:sz w:val="16"/>
              </w:rPr>
              <w:t>得分</w:t>
            </w:r>
          </w:p>
        </w:tc>
      </w:tr>
      <w:tr w14:paraId="4B5D1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04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AC4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84C41">
            <w:pPr>
              <w:jc w:val="center"/>
            </w:pPr>
            <w:r>
              <w:rPr>
                <w:rFonts w:ascii="宋体" w:hAnsi="宋体" w:eastAsia="宋体"/>
                <w:sz w:val="16"/>
              </w:rPr>
              <w:t>269.50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44225">
            <w:pPr>
              <w:jc w:val="center"/>
            </w:pPr>
            <w:r>
              <w:rPr>
                <w:rFonts w:ascii="宋体" w:hAnsi="宋体" w:eastAsia="宋体"/>
                <w:sz w:val="16"/>
              </w:rPr>
              <w:t>281.03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8B71">
            <w:pPr>
              <w:jc w:val="center"/>
            </w:pPr>
            <w:r>
              <w:rPr>
                <w:rFonts w:ascii="宋体" w:hAnsi="宋体" w:eastAsia="宋体"/>
                <w:sz w:val="16"/>
              </w:rPr>
              <w:t>281.03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98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70B3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90BE">
            <w:pPr>
              <w:jc w:val="center"/>
            </w:pPr>
            <w:r>
              <w:rPr>
                <w:rFonts w:ascii="宋体" w:hAnsi="宋体" w:eastAsia="宋体"/>
                <w:sz w:val="16"/>
              </w:rPr>
              <w:t>10</w:t>
            </w:r>
          </w:p>
        </w:tc>
      </w:tr>
      <w:tr w14:paraId="44DAE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2B0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514E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65A52">
            <w:pPr>
              <w:jc w:val="center"/>
            </w:pPr>
            <w:r>
              <w:rPr>
                <w:rFonts w:ascii="宋体" w:hAnsi="宋体" w:eastAsia="宋体"/>
                <w:sz w:val="16"/>
              </w:rPr>
              <w:t>3.34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831F0">
            <w:pPr>
              <w:jc w:val="center"/>
            </w:pPr>
            <w:r>
              <w:rPr>
                <w:rFonts w:ascii="宋体" w:hAnsi="宋体" w:eastAsia="宋体"/>
                <w:sz w:val="16"/>
              </w:rPr>
              <w:t>23.52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8E15F">
            <w:pPr>
              <w:jc w:val="center"/>
            </w:pPr>
            <w:r>
              <w:rPr>
                <w:rFonts w:ascii="宋体" w:hAnsi="宋体" w:eastAsia="宋体"/>
                <w:sz w:val="16"/>
              </w:rPr>
              <w:t>23.52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17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945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1D48F">
            <w:pPr>
              <w:jc w:val="center"/>
            </w:pPr>
            <w:r>
              <w:rPr>
                <w:rFonts w:ascii="宋体" w:hAnsi="宋体" w:eastAsia="宋体"/>
                <w:sz w:val="16"/>
              </w:rPr>
              <w:t>—</w:t>
            </w:r>
          </w:p>
        </w:tc>
      </w:tr>
      <w:tr w14:paraId="07776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B3A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D33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42D4">
            <w:pPr>
              <w:jc w:val="center"/>
            </w:pPr>
            <w:r>
              <w:rPr>
                <w:rFonts w:ascii="宋体" w:hAnsi="宋体" w:eastAsia="宋体"/>
                <w:sz w:val="16"/>
              </w:rPr>
              <w:t>266.16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90EDA">
            <w:pPr>
              <w:jc w:val="center"/>
            </w:pPr>
            <w:r>
              <w:rPr>
                <w:rFonts w:ascii="宋体" w:hAnsi="宋体" w:eastAsia="宋体"/>
                <w:sz w:val="16"/>
              </w:rPr>
              <w:t>257.51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D187">
            <w:pPr>
              <w:jc w:val="center"/>
            </w:pPr>
            <w:r>
              <w:rPr>
                <w:rFonts w:ascii="宋体" w:hAnsi="宋体" w:eastAsia="宋体"/>
                <w:sz w:val="16"/>
              </w:rPr>
              <w:t>257.51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390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9E33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7F8B">
            <w:pPr>
              <w:jc w:val="center"/>
            </w:pPr>
            <w:r>
              <w:rPr>
                <w:rFonts w:ascii="宋体" w:hAnsi="宋体" w:eastAsia="宋体"/>
                <w:sz w:val="16"/>
              </w:rPr>
              <w:t>—</w:t>
            </w:r>
          </w:p>
        </w:tc>
      </w:tr>
      <w:tr w14:paraId="37ABB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07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6DC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F0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DCE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09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2A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94CD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943F">
            <w:pPr>
              <w:jc w:val="center"/>
            </w:pPr>
            <w:r>
              <w:rPr>
                <w:rFonts w:ascii="宋体" w:hAnsi="宋体" w:eastAsia="宋体"/>
                <w:sz w:val="16"/>
              </w:rPr>
              <w:t>—</w:t>
            </w:r>
          </w:p>
        </w:tc>
      </w:tr>
      <w:tr w14:paraId="29A28D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108E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17590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44B548">
            <w:pPr>
              <w:jc w:val="center"/>
              <w:rPr>
                <w:rFonts w:hint="eastAsia" w:eastAsia="宋体"/>
                <w:lang w:eastAsia="zh-CN"/>
              </w:rPr>
            </w:pPr>
            <w:r>
              <w:rPr>
                <w:rFonts w:hint="eastAsia" w:ascii="宋体" w:hAnsi="宋体"/>
                <w:sz w:val="16"/>
                <w:lang w:eastAsia="zh-CN"/>
              </w:rPr>
              <w:t>实际完成情况</w:t>
            </w:r>
          </w:p>
        </w:tc>
      </w:tr>
      <w:tr w14:paraId="6C09C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8F88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A7F22E">
            <w:pPr>
              <w:jc w:val="both"/>
            </w:pPr>
            <w:r>
              <w:rPr>
                <w:rFonts w:ascii="宋体" w:hAnsi="宋体" w:eastAsia="宋体"/>
                <w:sz w:val="16"/>
              </w:rPr>
              <w:t>城乡居民筹资个人缴纳标准370元/人/年，全县基本医疗保险参保率为95%，做到对医疗保险参保缴费情况全面排查，杜绝重复参保行为。有效提高两定机构医疗保险服务质量、规范医疗服务行为，保障参保群众权益，规范20家医疗机构协议管理。每季度及时上报医保基金运行季报数据及分析，提升医保基金使用效率。使国家医保惠民政策的知晓率有很大的提高，群众的参保自觉性进一步提高，对于实现全民参保有巨大的实施意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A6A1B">
            <w:pPr>
              <w:jc w:val="both"/>
            </w:pPr>
            <w:r>
              <w:rPr>
                <w:rFonts w:ascii="宋体" w:hAnsi="宋体" w:eastAsia="宋体"/>
                <w:sz w:val="16"/>
              </w:rPr>
              <w:t>我局共开展28项经办事项、26项咨询和帮代办服务事项，在经办大厅设立了帮办代办窗口并向社会公布服务咨询电话，帮助参保群众在APP上办理业务和为老年群体查询及代办各项医保业务，同时支持邮寄、快递的方式收集报销材料，办理结算业务。今年以来</w:t>
            </w:r>
            <w:r>
              <w:rPr>
                <w:rFonts w:hint="eastAsia" w:ascii="宋体" w:hAnsi="宋体"/>
                <w:sz w:val="16"/>
                <w:lang w:eastAsia="zh-CN"/>
              </w:rPr>
              <w:t>本单位</w:t>
            </w:r>
            <w:r>
              <w:rPr>
                <w:rFonts w:ascii="宋体" w:hAnsi="宋体" w:eastAsia="宋体"/>
                <w:sz w:val="16"/>
              </w:rPr>
              <w:t>帮办查询及业务办理292件，收取邮寄、快递材料8份。</w:t>
            </w:r>
          </w:p>
        </w:tc>
      </w:tr>
      <w:tr w14:paraId="63A0E5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2D7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82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BEF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083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07F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D14C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42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858B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340B">
            <w:pPr>
              <w:jc w:val="center"/>
            </w:pPr>
            <w:r>
              <w:rPr>
                <w:rFonts w:ascii="宋体" w:hAnsi="宋体" w:eastAsia="宋体"/>
                <w:sz w:val="16"/>
              </w:rPr>
              <w:t>得分</w:t>
            </w:r>
          </w:p>
        </w:tc>
      </w:tr>
      <w:tr w14:paraId="4B96D2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8D85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7CF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C521">
            <w:pPr>
              <w:jc w:val="center"/>
            </w:pPr>
            <w:r>
              <w:rPr>
                <w:rFonts w:ascii="宋体" w:hAnsi="宋体" w:eastAsia="宋体"/>
                <w:sz w:val="16"/>
              </w:rPr>
              <w:t>城乡居民筹资个人缴纳标准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58F7">
            <w:pPr>
              <w:jc w:val="center"/>
            </w:pPr>
            <w:r>
              <w:rPr>
                <w:rFonts w:ascii="宋体" w:hAnsi="宋体" w:eastAsia="宋体"/>
                <w:sz w:val="16"/>
              </w:rPr>
              <w:t>&gt;=370元/人/年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59DA">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80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3FF4">
            <w:pPr>
              <w:jc w:val="center"/>
            </w:pPr>
            <w:r>
              <w:rPr>
                <w:rFonts w:ascii="宋体" w:hAnsi="宋体" w:eastAsia="宋体"/>
                <w:sz w:val="16"/>
              </w:rPr>
              <w:t>370元/人/年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970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CD80">
            <w:pPr>
              <w:jc w:val="center"/>
            </w:pPr>
            <w:r>
              <w:rPr>
                <w:rFonts w:ascii="宋体" w:hAnsi="宋体" w:eastAsia="宋体"/>
                <w:sz w:val="16"/>
              </w:rPr>
              <w:t>20</w:t>
            </w:r>
          </w:p>
        </w:tc>
      </w:tr>
      <w:tr w14:paraId="38F17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470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6EA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919C0">
            <w:pPr>
              <w:jc w:val="center"/>
            </w:pPr>
            <w:r>
              <w:rPr>
                <w:rFonts w:ascii="宋体" w:hAnsi="宋体" w:eastAsia="宋体"/>
                <w:sz w:val="16"/>
              </w:rPr>
              <w:t>规范定点医疗机构协议管理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F6289">
            <w:pPr>
              <w:jc w:val="center"/>
            </w:pPr>
            <w:r>
              <w:rPr>
                <w:rFonts w:ascii="宋体" w:hAnsi="宋体" w:eastAsia="宋体"/>
                <w:sz w:val="16"/>
              </w:rPr>
              <w:t>&gt;=20家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7AF9B">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D0C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2E44">
            <w:pPr>
              <w:jc w:val="center"/>
            </w:pPr>
            <w:r>
              <w:rPr>
                <w:rFonts w:ascii="宋体" w:hAnsi="宋体" w:eastAsia="宋体"/>
                <w:sz w:val="16"/>
              </w:rPr>
              <w:t>20家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F8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4785">
            <w:pPr>
              <w:jc w:val="center"/>
            </w:pPr>
            <w:r>
              <w:rPr>
                <w:rFonts w:ascii="宋体" w:hAnsi="宋体" w:eastAsia="宋体"/>
                <w:sz w:val="16"/>
              </w:rPr>
              <w:t>20</w:t>
            </w:r>
          </w:p>
        </w:tc>
      </w:tr>
      <w:tr w14:paraId="06EE3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B1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CB0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932C">
            <w:pPr>
              <w:jc w:val="center"/>
            </w:pPr>
            <w:r>
              <w:rPr>
                <w:rFonts w:ascii="宋体" w:hAnsi="宋体" w:eastAsia="宋体"/>
                <w:sz w:val="16"/>
              </w:rPr>
              <w:t>开展基本医疗保险参保宣传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8BAA">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F9187">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8A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C098">
            <w:pPr>
              <w:jc w:val="center"/>
            </w:pPr>
            <w:r>
              <w:rPr>
                <w:rFonts w:ascii="宋体" w:hAnsi="宋体" w:eastAsia="宋体"/>
                <w:sz w:val="16"/>
              </w:rPr>
              <w: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0A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3706E">
            <w:pPr>
              <w:jc w:val="center"/>
            </w:pPr>
            <w:r>
              <w:rPr>
                <w:rFonts w:ascii="宋体" w:hAnsi="宋体" w:eastAsia="宋体"/>
                <w:sz w:val="16"/>
              </w:rPr>
              <w:t>20</w:t>
            </w:r>
          </w:p>
        </w:tc>
      </w:tr>
      <w:tr w14:paraId="31D8A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287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FD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B474">
            <w:pPr>
              <w:jc w:val="center"/>
            </w:pPr>
            <w:r>
              <w:rPr>
                <w:rFonts w:ascii="宋体" w:hAnsi="宋体" w:eastAsia="宋体"/>
                <w:sz w:val="16"/>
              </w:rPr>
              <w:t>全县参保率持续保持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986C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85A71">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3FD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6D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97F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76050">
            <w:pPr>
              <w:jc w:val="center"/>
            </w:pPr>
            <w:r>
              <w:rPr>
                <w:rFonts w:ascii="宋体" w:hAnsi="宋体" w:eastAsia="宋体"/>
                <w:sz w:val="16"/>
              </w:rPr>
              <w:t>20</w:t>
            </w:r>
          </w:p>
        </w:tc>
      </w:tr>
      <w:tr w14:paraId="170E1D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10B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D79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9D121">
            <w:pPr>
              <w:jc w:val="center"/>
            </w:pPr>
            <w:r>
              <w:rPr>
                <w:rFonts w:ascii="宋体" w:hAnsi="宋体" w:eastAsia="宋体"/>
                <w:sz w:val="16"/>
              </w:rPr>
              <w:t>医疗保险基金季报及数据分析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E8B1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03ADC">
            <w:pPr>
              <w:jc w:val="center"/>
            </w:pPr>
            <w:r>
              <w:rPr>
                <w:rFonts w:ascii="宋体" w:hAnsi="宋体" w:eastAsia="宋体"/>
                <w:sz w:val="16"/>
              </w:rPr>
              <w:t>医疗保障局2024年工作计划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19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9680">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FF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000E">
            <w:pPr>
              <w:jc w:val="center"/>
            </w:pPr>
            <w:r>
              <w:rPr>
                <w:rFonts w:ascii="宋体" w:hAnsi="宋体" w:eastAsia="宋体"/>
                <w:sz w:val="16"/>
              </w:rPr>
              <w:t>10</w:t>
            </w:r>
          </w:p>
        </w:tc>
      </w:tr>
    </w:tbl>
    <w:p w14:paraId="2611D8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08F5308">
        <w:tblPrEx>
          <w:tblCellMar>
            <w:top w:w="0" w:type="dxa"/>
            <w:left w:w="108" w:type="dxa"/>
            <w:bottom w:w="0" w:type="dxa"/>
            <w:right w:w="108" w:type="dxa"/>
          </w:tblCellMar>
        </w:tblPrEx>
        <w:tc>
          <w:tcPr>
            <w:tcW w:w="8848" w:type="dxa"/>
            <w:gridSpan w:val="14"/>
            <w:vAlign w:val="center"/>
          </w:tcPr>
          <w:p w14:paraId="19FCA1F7">
            <w:pPr>
              <w:jc w:val="center"/>
            </w:pPr>
            <w:r>
              <w:rPr>
                <w:rFonts w:ascii="宋体" w:hAnsi="宋体" w:eastAsia="宋体"/>
                <w:sz w:val="24"/>
              </w:rPr>
              <w:t>项目支出绩效自评表</w:t>
            </w:r>
          </w:p>
        </w:tc>
      </w:tr>
      <w:tr w14:paraId="053D6848">
        <w:tblPrEx>
          <w:tblCellMar>
            <w:top w:w="0" w:type="dxa"/>
            <w:left w:w="108" w:type="dxa"/>
            <w:bottom w:w="0" w:type="dxa"/>
            <w:right w:w="108" w:type="dxa"/>
          </w:tblCellMar>
        </w:tblPrEx>
        <w:tc>
          <w:tcPr>
            <w:tcW w:w="8848" w:type="dxa"/>
            <w:gridSpan w:val="14"/>
            <w:vAlign w:val="center"/>
          </w:tcPr>
          <w:p w14:paraId="177A78C5">
            <w:pPr>
              <w:jc w:val="center"/>
            </w:pPr>
            <w:r>
              <w:rPr>
                <w:rFonts w:ascii="宋体" w:hAnsi="宋体" w:eastAsia="宋体"/>
                <w:sz w:val="24"/>
              </w:rPr>
              <w:t>(2024年度)</w:t>
            </w:r>
          </w:p>
        </w:tc>
      </w:tr>
      <w:tr w14:paraId="6747A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FD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5A9F0">
            <w:pPr>
              <w:jc w:val="center"/>
            </w:pPr>
            <w:r>
              <w:rPr>
                <w:rFonts w:ascii="宋体" w:hAnsi="宋体" w:eastAsia="宋体"/>
                <w:sz w:val="16"/>
              </w:rPr>
              <w:t>2024年自治区财政全民参保及医疗服务补助项目</w:t>
            </w:r>
          </w:p>
        </w:tc>
      </w:tr>
      <w:tr w14:paraId="4F7E3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84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6A3CF">
            <w:pPr>
              <w:jc w:val="center"/>
            </w:pPr>
            <w:r>
              <w:rPr>
                <w:rFonts w:ascii="宋体" w:hAnsi="宋体" w:eastAsia="宋体"/>
                <w:sz w:val="16"/>
              </w:rPr>
              <w:t>塔什库尔干塔吉克自治县医疗保障局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1D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0CCE5">
            <w:pPr>
              <w:jc w:val="center"/>
            </w:pPr>
            <w:r>
              <w:rPr>
                <w:rFonts w:ascii="宋体" w:hAnsi="宋体" w:eastAsia="宋体"/>
                <w:sz w:val="16"/>
              </w:rPr>
              <w:t>塔什库尔干塔吉克自治县医疗保障局</w:t>
            </w:r>
          </w:p>
        </w:tc>
      </w:tr>
      <w:tr w14:paraId="483E96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9B2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A83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BB1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A07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C8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A43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74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C265">
            <w:pPr>
              <w:jc w:val="center"/>
            </w:pPr>
            <w:r>
              <w:rPr>
                <w:rFonts w:ascii="宋体" w:hAnsi="宋体" w:eastAsia="宋体"/>
                <w:sz w:val="16"/>
              </w:rPr>
              <w:t>得分</w:t>
            </w:r>
          </w:p>
        </w:tc>
      </w:tr>
      <w:tr w14:paraId="228147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9A3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F11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ED77">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EC7C2">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9DAF2">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A92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DFD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49E3">
            <w:pPr>
              <w:jc w:val="center"/>
            </w:pPr>
            <w:r>
              <w:rPr>
                <w:rFonts w:ascii="宋体" w:hAnsi="宋体" w:eastAsia="宋体"/>
                <w:sz w:val="16"/>
              </w:rPr>
              <w:t>10.00分</w:t>
            </w:r>
          </w:p>
        </w:tc>
      </w:tr>
      <w:tr w14:paraId="44178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13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B0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F3CB">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DA04D">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5EA8E">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F2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C8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7F72">
            <w:pPr>
              <w:jc w:val="center"/>
            </w:pPr>
            <w:r>
              <w:rPr>
                <w:rFonts w:ascii="宋体" w:hAnsi="宋体" w:eastAsia="宋体"/>
                <w:sz w:val="16"/>
              </w:rPr>
              <w:t>—</w:t>
            </w:r>
          </w:p>
        </w:tc>
      </w:tr>
      <w:tr w14:paraId="4AAC6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4F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75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FB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E30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0D4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2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19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7DA">
            <w:pPr>
              <w:jc w:val="center"/>
            </w:pPr>
            <w:r>
              <w:rPr>
                <w:rFonts w:ascii="宋体" w:hAnsi="宋体" w:eastAsia="宋体"/>
                <w:sz w:val="16"/>
              </w:rPr>
              <w:t>—</w:t>
            </w:r>
          </w:p>
        </w:tc>
      </w:tr>
      <w:tr w14:paraId="65FD69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CBAA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87C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F95ED">
            <w:pPr>
              <w:jc w:val="center"/>
            </w:pPr>
            <w:r>
              <w:rPr>
                <w:rFonts w:ascii="宋体" w:hAnsi="宋体" w:eastAsia="宋体"/>
                <w:sz w:val="16"/>
              </w:rPr>
              <w:t>实际完成情况</w:t>
            </w:r>
          </w:p>
        </w:tc>
      </w:tr>
      <w:tr w14:paraId="62F11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972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D5A7D">
            <w:pPr>
              <w:jc w:val="both"/>
            </w:pPr>
            <w:r>
              <w:rPr>
                <w:rFonts w:ascii="宋体" w:hAnsi="宋体" w:eastAsia="宋体"/>
                <w:sz w:val="16"/>
              </w:rPr>
              <w:t>项目对医保业务档案实现全面的数字化，保障基本医疗保险人数4万人，保障生育保险参保人数0.5万人，进行全民参保宣传次数2次，有效提高两定机构医疗保险服务质量、规范医疗服务行为、保障参保人员权益、提升基金使用效率、规范协议管理等工作。按时报送各项社会保险基金季报数据及分析 。缓解社会矛盾，减轻参保群众经济压力，使基本医疗保险参保群众满意度达到95%以上.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437F5">
            <w:pPr>
              <w:jc w:val="both"/>
            </w:pPr>
            <w:r>
              <w:rPr>
                <w:rFonts w:ascii="宋体" w:hAnsi="宋体" w:eastAsia="宋体"/>
                <w:sz w:val="16"/>
              </w:rPr>
              <w:t>该项目</w:t>
            </w:r>
            <w:r>
              <w:rPr>
                <w:rFonts w:hint="eastAsia" w:ascii="宋体" w:hAnsi="宋体"/>
                <w:sz w:val="16"/>
                <w:lang w:eastAsia="zh-CN"/>
              </w:rPr>
              <w:t>已</w:t>
            </w:r>
            <w:r>
              <w:rPr>
                <w:rFonts w:ascii="宋体" w:hAnsi="宋体" w:eastAsia="宋体"/>
                <w:sz w:val="16"/>
              </w:rPr>
              <w:t>支出3.34万元，已完成对医保业务档案实现全面的数字化，保障基本医疗保险人数4万人，保障生育保险参保人数0.5万人，提高了两定机构医疗保险服务质量，有效规范了协议管理、规范医疗服务行为、保障了参保人员权益。加大了医疗保险经办人员培训力度，提升了业务工作效率、为民服务质量。2024年基本医疗参保人数达到了4.24万人以上、参保率达到了100%，没有出现参保人员重复缴费、虚报参保等情况。通过加大宣传，群众对医保惠民政策的知晓率有了</w:t>
            </w:r>
            <w:r>
              <w:rPr>
                <w:rFonts w:hint="eastAsia" w:ascii="宋体" w:hAnsi="宋体"/>
                <w:sz w:val="16"/>
                <w:lang w:eastAsia="zh-CN"/>
              </w:rPr>
              <w:t>很大</w:t>
            </w:r>
            <w:r>
              <w:rPr>
                <w:rFonts w:ascii="宋体" w:hAnsi="宋体" w:eastAsia="宋体"/>
                <w:sz w:val="16"/>
              </w:rPr>
              <w:t>提高，进一步提高了群众的参保自觉性，使基本医疗保险参保群众满意度达到了95%。</w:t>
            </w:r>
          </w:p>
        </w:tc>
      </w:tr>
      <w:tr w14:paraId="242B9F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C8F9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C7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50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57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CD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74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BA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A75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36A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88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58F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072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8A4CC">
            <w:pPr>
              <w:jc w:val="center"/>
            </w:pPr>
            <w:r>
              <w:rPr>
                <w:rFonts w:ascii="宋体" w:hAnsi="宋体" w:eastAsia="宋体"/>
                <w:sz w:val="16"/>
              </w:rPr>
              <w:t>偏差原因分析及改进措施</w:t>
            </w:r>
          </w:p>
        </w:tc>
      </w:tr>
      <w:tr w14:paraId="09741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CF0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1C3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BCD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9C7D">
            <w:pPr>
              <w:jc w:val="center"/>
            </w:pPr>
            <w:r>
              <w:rPr>
                <w:rFonts w:ascii="宋体" w:hAnsi="宋体" w:eastAsia="宋体"/>
                <w:sz w:val="16"/>
              </w:rPr>
              <w:t>基本医疗保险参保人数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78CF">
            <w:pPr>
              <w:jc w:val="center"/>
            </w:pPr>
            <w:r>
              <w:rPr>
                <w:rFonts w:ascii="宋体" w:hAnsi="宋体" w:eastAsia="宋体"/>
                <w:sz w:val="16"/>
              </w:rPr>
              <w:t>&gt;=4万人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2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6C94">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39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4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8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19A0">
            <w:pPr>
              <w:jc w:val="center"/>
            </w:pPr>
            <w:r>
              <w:rPr>
                <w:rFonts w:ascii="宋体" w:hAnsi="宋体" w:eastAsia="宋体"/>
                <w:sz w:val="16"/>
              </w:rPr>
              <w:t>=4万人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873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33230">
            <w:pPr>
              <w:jc w:val="center"/>
            </w:pPr>
          </w:p>
        </w:tc>
      </w:tr>
      <w:tr w14:paraId="0984E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6C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EA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B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11932">
            <w:pPr>
              <w:jc w:val="center"/>
            </w:pPr>
            <w:r>
              <w:rPr>
                <w:rFonts w:ascii="宋体" w:hAnsi="宋体" w:eastAsia="宋体"/>
                <w:sz w:val="16"/>
              </w:rPr>
              <w:t>生育保险参保人数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8034">
            <w:pPr>
              <w:jc w:val="center"/>
            </w:pPr>
            <w:r>
              <w:rPr>
                <w:rFonts w:ascii="宋体" w:hAnsi="宋体" w:eastAsia="宋体"/>
                <w:sz w:val="16"/>
              </w:rPr>
              <w:t>&gt;=0.50万人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5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2EA3">
            <w:pPr>
              <w:jc w:val="center"/>
            </w:pPr>
            <w:r>
              <w:rPr>
                <w:rFonts w:ascii="宋体" w:hAnsi="宋体" w:eastAsia="宋体"/>
                <w:sz w:val="16"/>
              </w:rPr>
              <w:t>0.5万人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E2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3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A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6ABD">
            <w:pPr>
              <w:jc w:val="center"/>
            </w:pPr>
            <w:r>
              <w:rPr>
                <w:rFonts w:ascii="宋体" w:hAnsi="宋体" w:eastAsia="宋体"/>
                <w:sz w:val="16"/>
              </w:rPr>
              <w:t>=0.5万人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EA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BCEC">
            <w:pPr>
              <w:jc w:val="center"/>
            </w:pPr>
          </w:p>
        </w:tc>
      </w:tr>
      <w:tr w14:paraId="394B68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CD0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5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1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D8D0">
            <w:pPr>
              <w:jc w:val="center"/>
            </w:pPr>
            <w:r>
              <w:rPr>
                <w:rFonts w:ascii="宋体" w:hAnsi="宋体" w:eastAsia="宋体"/>
                <w:sz w:val="16"/>
              </w:rPr>
              <w:t>全民参保宣传次数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66F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3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19E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ED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A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A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007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05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DE781">
            <w:pPr>
              <w:jc w:val="center"/>
            </w:pPr>
          </w:p>
        </w:tc>
      </w:tr>
      <w:tr w14:paraId="2EFA05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4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8F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81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A1C1">
            <w:pPr>
              <w:jc w:val="center"/>
            </w:pPr>
            <w:r>
              <w:rPr>
                <w:rFonts w:ascii="宋体" w:hAnsi="宋体" w:eastAsia="宋体"/>
                <w:sz w:val="16"/>
              </w:rPr>
              <w:t>医疗保险参保率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F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F3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F2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D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F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01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C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86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D175">
            <w:pPr>
              <w:jc w:val="center"/>
            </w:pPr>
          </w:p>
        </w:tc>
      </w:tr>
      <w:tr w14:paraId="657AA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9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4F4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7CA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4736">
            <w:pPr>
              <w:jc w:val="center"/>
            </w:pPr>
            <w:r>
              <w:rPr>
                <w:rFonts w:ascii="宋体" w:hAnsi="宋体" w:eastAsia="宋体"/>
                <w:sz w:val="16"/>
              </w:rPr>
              <w:t>按时报送各项医疗保险基金季报数据及分析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ACC1">
            <w:pPr>
              <w:jc w:val="center"/>
            </w:pPr>
            <w:r>
              <w:rPr>
                <w:rFonts w:ascii="宋体" w:hAnsi="宋体" w:eastAsia="宋体"/>
                <w:sz w:val="16"/>
              </w:rPr>
              <w:t>每季度结束后的15日内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0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AA76">
            <w:pPr>
              <w:jc w:val="center"/>
            </w:pPr>
            <w:r>
              <w:rPr>
                <w:rFonts w:ascii="宋体" w:hAnsi="宋体" w:eastAsia="宋体"/>
                <w:sz w:val="16"/>
              </w:rPr>
              <w:t>每季度结束后的15日内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1C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51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8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7310">
            <w:pPr>
              <w:jc w:val="center"/>
            </w:pPr>
            <w:r>
              <w:rPr>
                <w:rFonts w:ascii="宋体" w:hAnsi="宋体" w:eastAsia="宋体"/>
                <w:sz w:val="16"/>
              </w:rPr>
              <w:t>每季度结束后的15日内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CF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4283E">
            <w:pPr>
              <w:jc w:val="center"/>
            </w:pPr>
          </w:p>
        </w:tc>
      </w:tr>
      <w:tr w14:paraId="619BE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74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043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85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151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5E6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6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D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88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A5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C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C7C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D0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62DD8">
            <w:pPr>
              <w:jc w:val="center"/>
            </w:pPr>
          </w:p>
        </w:tc>
      </w:tr>
      <w:tr w14:paraId="1C0A1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A3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408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788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BE86">
            <w:pPr>
              <w:jc w:val="center"/>
            </w:pPr>
            <w:r>
              <w:rPr>
                <w:rFonts w:ascii="宋体" w:hAnsi="宋体" w:eastAsia="宋体"/>
                <w:sz w:val="16"/>
              </w:rPr>
              <w:t>制作医疗保障宣传册（宣传单）费用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188F">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18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509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6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1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30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044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66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632EC">
            <w:pPr>
              <w:jc w:val="center"/>
            </w:pPr>
          </w:p>
        </w:tc>
      </w:tr>
      <w:tr w14:paraId="09C14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EA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12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F8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B037">
            <w:pPr>
              <w:jc w:val="center"/>
            </w:pPr>
            <w:r>
              <w:rPr>
                <w:rFonts w:ascii="宋体" w:hAnsi="宋体" w:eastAsia="宋体"/>
                <w:sz w:val="16"/>
              </w:rPr>
              <w:t>医疗保障信息化建设、经办服务大厅优化费用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716F">
            <w:pPr>
              <w:jc w:val="center"/>
            </w:pPr>
            <w:r>
              <w:rPr>
                <w:rFonts w:ascii="宋体" w:hAnsi="宋体" w:eastAsia="宋体"/>
                <w:sz w:val="16"/>
              </w:rPr>
              <w:t>&lt;=1.84万元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EF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804">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9B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0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A2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58B0">
            <w:pPr>
              <w:jc w:val="center"/>
            </w:pPr>
            <w:r>
              <w:rPr>
                <w:rFonts w:ascii="宋体" w:hAnsi="宋体" w:eastAsia="宋体"/>
                <w:sz w:val="16"/>
              </w:rPr>
              <w:t>=1.84万元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D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71EB7">
            <w:pPr>
              <w:jc w:val="center"/>
            </w:pPr>
          </w:p>
        </w:tc>
      </w:tr>
      <w:tr w14:paraId="06FED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C4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89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20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5140">
            <w:pPr>
              <w:jc w:val="center"/>
            </w:pPr>
            <w:r>
              <w:rPr>
                <w:rFonts w:ascii="宋体" w:hAnsi="宋体" w:eastAsia="宋体"/>
                <w:sz w:val="16"/>
              </w:rPr>
              <w:t>医保政策知晓率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2C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73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C8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DF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0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B69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07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4E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832D5">
            <w:pPr>
              <w:jc w:val="center"/>
            </w:pPr>
          </w:p>
        </w:tc>
      </w:tr>
      <w:tr w14:paraId="628B0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34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9D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BF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0DB0">
            <w:pPr>
              <w:jc w:val="center"/>
            </w:pPr>
            <w:r>
              <w:rPr>
                <w:rFonts w:ascii="宋体" w:hAnsi="宋体" w:eastAsia="宋体"/>
                <w:sz w:val="16"/>
              </w:rPr>
              <w:t>参保人员满意度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40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9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3DB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BF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9D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C60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EF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4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41D73">
            <w:pPr>
              <w:jc w:val="center"/>
            </w:pPr>
          </w:p>
        </w:tc>
      </w:tr>
      <w:tr w14:paraId="36556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9E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1F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E70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A559AA">
            <w:pPr>
              <w:jc w:val="center"/>
            </w:pPr>
            <w:r>
              <w:rPr>
                <w:rFonts w:ascii="宋体" w:hAnsi="宋体" w:eastAsia="宋体"/>
                <w:sz w:val="16"/>
              </w:rPr>
              <w:t>100分</w:t>
            </w:r>
          </w:p>
        </w:tc>
      </w:tr>
    </w:tbl>
    <w:p w14:paraId="68B00B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AA64CFB">
        <w:tblPrEx>
          <w:tblCellMar>
            <w:top w:w="0" w:type="dxa"/>
            <w:left w:w="108" w:type="dxa"/>
            <w:bottom w:w="0" w:type="dxa"/>
            <w:right w:w="108" w:type="dxa"/>
          </w:tblCellMar>
        </w:tblPrEx>
        <w:tc>
          <w:tcPr>
            <w:tcW w:w="8848" w:type="dxa"/>
            <w:gridSpan w:val="14"/>
            <w:vAlign w:val="center"/>
          </w:tcPr>
          <w:p w14:paraId="0D13D41F">
            <w:pPr>
              <w:jc w:val="center"/>
            </w:pPr>
            <w:r>
              <w:rPr>
                <w:rFonts w:ascii="宋体" w:hAnsi="宋体" w:eastAsia="宋体"/>
                <w:sz w:val="24"/>
              </w:rPr>
              <w:t>项目支出绩效自评表</w:t>
            </w:r>
          </w:p>
        </w:tc>
      </w:tr>
      <w:tr w14:paraId="1392E2AD">
        <w:tblPrEx>
          <w:tblCellMar>
            <w:top w:w="0" w:type="dxa"/>
            <w:left w:w="108" w:type="dxa"/>
            <w:bottom w:w="0" w:type="dxa"/>
            <w:right w:w="108" w:type="dxa"/>
          </w:tblCellMar>
        </w:tblPrEx>
        <w:tc>
          <w:tcPr>
            <w:tcW w:w="8848" w:type="dxa"/>
            <w:gridSpan w:val="14"/>
            <w:vAlign w:val="center"/>
          </w:tcPr>
          <w:p w14:paraId="779D755C">
            <w:pPr>
              <w:jc w:val="center"/>
            </w:pPr>
            <w:r>
              <w:rPr>
                <w:rFonts w:ascii="宋体" w:hAnsi="宋体" w:eastAsia="宋体"/>
                <w:sz w:val="24"/>
              </w:rPr>
              <w:t>(2024年度)</w:t>
            </w:r>
          </w:p>
        </w:tc>
      </w:tr>
      <w:tr w14:paraId="6F10C1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54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897950">
            <w:pPr>
              <w:jc w:val="center"/>
            </w:pPr>
            <w:r>
              <w:rPr>
                <w:rFonts w:hint="eastAsia" w:ascii="宋体" w:hAnsi="宋体"/>
                <w:sz w:val="16"/>
                <w:lang w:eastAsia="zh-CN"/>
              </w:rPr>
              <w:t>为民办实事</w:t>
            </w:r>
            <w:r>
              <w:rPr>
                <w:rFonts w:ascii="宋体" w:hAnsi="宋体" w:eastAsia="宋体"/>
                <w:sz w:val="16"/>
              </w:rPr>
              <w:t>工作队2024年为民办实事工作经费</w:t>
            </w:r>
          </w:p>
        </w:tc>
      </w:tr>
      <w:tr w14:paraId="48305E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76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758AFB">
            <w:pPr>
              <w:jc w:val="center"/>
            </w:pPr>
            <w:r>
              <w:rPr>
                <w:rFonts w:ascii="宋体" w:hAnsi="宋体" w:eastAsia="宋体"/>
                <w:sz w:val="16"/>
              </w:rPr>
              <w:t>塔什库尔干塔吉克自治县医疗保障局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C6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0DB0B">
            <w:pPr>
              <w:jc w:val="center"/>
            </w:pPr>
            <w:r>
              <w:rPr>
                <w:rFonts w:ascii="宋体" w:hAnsi="宋体" w:eastAsia="宋体"/>
                <w:sz w:val="16"/>
              </w:rPr>
              <w:t>塔什库尔干塔吉克自治县医疗保障局</w:t>
            </w:r>
          </w:p>
        </w:tc>
      </w:tr>
      <w:tr w14:paraId="481A67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2DBF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5A8F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E9D5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08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D8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6D4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11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5C3D">
            <w:pPr>
              <w:jc w:val="center"/>
            </w:pPr>
            <w:r>
              <w:rPr>
                <w:rFonts w:ascii="宋体" w:hAnsi="宋体" w:eastAsia="宋体"/>
                <w:sz w:val="16"/>
              </w:rPr>
              <w:t>得分</w:t>
            </w:r>
          </w:p>
        </w:tc>
      </w:tr>
      <w:tr w14:paraId="0DA684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E55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D9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E582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9B3E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18572">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BCB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363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6151">
            <w:pPr>
              <w:jc w:val="center"/>
            </w:pPr>
            <w:r>
              <w:rPr>
                <w:rFonts w:ascii="宋体" w:hAnsi="宋体" w:eastAsia="宋体"/>
                <w:sz w:val="16"/>
              </w:rPr>
              <w:t>10.00分</w:t>
            </w:r>
          </w:p>
        </w:tc>
      </w:tr>
      <w:tr w14:paraId="29ACA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4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39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A718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5DF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A3A2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58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12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F522">
            <w:pPr>
              <w:jc w:val="center"/>
            </w:pPr>
            <w:r>
              <w:rPr>
                <w:rFonts w:ascii="宋体" w:hAnsi="宋体" w:eastAsia="宋体"/>
                <w:sz w:val="16"/>
              </w:rPr>
              <w:t>—</w:t>
            </w:r>
          </w:p>
        </w:tc>
      </w:tr>
      <w:tr w14:paraId="3D9A7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BC3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F2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69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0C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FB4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54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DA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B464">
            <w:pPr>
              <w:jc w:val="center"/>
            </w:pPr>
            <w:r>
              <w:rPr>
                <w:rFonts w:ascii="宋体" w:hAnsi="宋体" w:eastAsia="宋体"/>
                <w:sz w:val="16"/>
              </w:rPr>
              <w:t>—</w:t>
            </w:r>
          </w:p>
        </w:tc>
      </w:tr>
      <w:tr w14:paraId="40615D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940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7F6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9098A">
            <w:pPr>
              <w:jc w:val="center"/>
            </w:pPr>
            <w:r>
              <w:rPr>
                <w:rFonts w:ascii="宋体" w:hAnsi="宋体" w:eastAsia="宋体"/>
                <w:sz w:val="16"/>
              </w:rPr>
              <w:t>实际完成情况</w:t>
            </w:r>
          </w:p>
        </w:tc>
      </w:tr>
      <w:tr w14:paraId="5A34C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7CA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DA71D">
            <w:pPr>
              <w:jc w:val="both"/>
            </w:pPr>
            <w:r>
              <w:rPr>
                <w:rFonts w:ascii="宋体" w:hAnsi="宋体" w:eastAsia="宋体"/>
                <w:sz w:val="16"/>
              </w:rPr>
              <w:t>用于访贫问苦，为群众送信息、送服务、送温暖;用于困难群众房屋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用于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65692D">
            <w:pPr>
              <w:jc w:val="both"/>
            </w:pPr>
            <w:r>
              <w:rPr>
                <w:rFonts w:ascii="宋体" w:hAnsi="宋体" w:eastAsia="宋体"/>
                <w:sz w:val="16"/>
              </w:rPr>
              <w:t>项目实际支出7万元，用于访贫问苦，为群众送信息、送服务、送温暖;用于困难群众房屋</w:t>
            </w:r>
            <w:r>
              <w:rPr>
                <w:rFonts w:hint="eastAsia" w:ascii="宋体" w:hAnsi="宋体"/>
                <w:sz w:val="16"/>
                <w:lang w:eastAsia="zh-CN"/>
              </w:rPr>
              <w:t>修缮</w:t>
            </w:r>
            <w:r>
              <w:rPr>
                <w:rFonts w:ascii="宋体" w:hAnsi="宋体" w:eastAsia="宋体"/>
                <w:sz w:val="16"/>
              </w:rPr>
              <w:t>，村道、桥涵、引水渠维修，小磨坊、小作坊修缮，支持小型种植养殖、家庭旅游、农产品加工业发展，组织群众参观学习，开展就业创业技能培训，更新村(社区)“两委”办公设施，党内激励关怀帮扶等;用于补充村级组织工作经费，积极组织开展各类活动。</w:t>
            </w:r>
          </w:p>
        </w:tc>
      </w:tr>
      <w:tr w14:paraId="50EAAC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A196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BC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DE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95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FE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1D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96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53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D0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D1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6B3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A9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67EF8">
            <w:pPr>
              <w:jc w:val="center"/>
            </w:pPr>
            <w:r>
              <w:rPr>
                <w:rFonts w:ascii="宋体" w:hAnsi="宋体" w:eastAsia="宋体"/>
                <w:sz w:val="16"/>
              </w:rPr>
              <w:t>偏差原因分析及改进措施</w:t>
            </w:r>
          </w:p>
        </w:tc>
      </w:tr>
      <w:tr w14:paraId="7D244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C46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DD39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4A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D860">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F6E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E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2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F0D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F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03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DE7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CD2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9A69D">
            <w:pPr>
              <w:jc w:val="center"/>
            </w:pPr>
          </w:p>
        </w:tc>
      </w:tr>
      <w:tr w14:paraId="398ED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7C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4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AA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3FF2">
            <w:pPr>
              <w:jc w:val="center"/>
            </w:pPr>
            <w:r>
              <w:rPr>
                <w:rFonts w:ascii="宋体" w:hAnsi="宋体" w:eastAsia="宋体"/>
                <w:sz w:val="16"/>
              </w:rPr>
              <w:t>保障资金拨付合规率（%）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3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1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0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1B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8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EE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9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7C8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95DF">
            <w:pPr>
              <w:jc w:val="center"/>
            </w:pPr>
          </w:p>
        </w:tc>
      </w:tr>
      <w:tr w14:paraId="54A7D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D6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424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45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2F611">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6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7A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B5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7C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CF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2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D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C3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7644">
            <w:pPr>
              <w:jc w:val="center"/>
            </w:pPr>
          </w:p>
        </w:tc>
      </w:tr>
      <w:tr w14:paraId="27B61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86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F4D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CB6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0002">
            <w:pPr>
              <w:jc w:val="center"/>
            </w:pPr>
            <w:r>
              <w:rPr>
                <w:rFonts w:ascii="宋体" w:hAnsi="宋体" w:eastAsia="宋体"/>
                <w:sz w:val="16"/>
              </w:rPr>
              <w:t>为民办实事工作经费（万元）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7FC3">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88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E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8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8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F0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C8E09">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BF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BAFA">
            <w:pPr>
              <w:jc w:val="center"/>
            </w:pPr>
          </w:p>
        </w:tc>
      </w:tr>
      <w:tr w14:paraId="1419E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83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F3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F2C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45F1">
            <w:pPr>
              <w:jc w:val="center"/>
            </w:pPr>
            <w:r>
              <w:rPr>
                <w:rFonts w:ascii="宋体" w:hAnsi="宋体" w:eastAsia="宋体"/>
                <w:sz w:val="16"/>
              </w:rPr>
              <w:t>保障困难群众房屋</w:t>
            </w:r>
            <w:r>
              <w:rPr>
                <w:rFonts w:hint="eastAsia" w:ascii="宋体" w:hAnsi="宋体"/>
                <w:sz w:val="16"/>
                <w:lang w:eastAsia="zh-CN"/>
              </w:rPr>
              <w:t>修缮</w:t>
            </w:r>
            <w:r>
              <w:rPr>
                <w:rFonts w:ascii="宋体" w:hAnsi="宋体" w:eastAsia="宋体"/>
                <w:sz w:val="16"/>
              </w:rPr>
              <w:t>，开展就业创业技能培训（万元）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0E12">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3C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8A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46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3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3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B51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A5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C6D42">
            <w:pPr>
              <w:jc w:val="center"/>
            </w:pPr>
          </w:p>
        </w:tc>
      </w:tr>
      <w:tr w14:paraId="4CEF7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49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D6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40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EA08">
            <w:pPr>
              <w:jc w:val="center"/>
            </w:pPr>
            <w:r>
              <w:rPr>
                <w:rFonts w:ascii="宋体" w:hAnsi="宋体" w:eastAsia="宋体"/>
                <w:sz w:val="16"/>
              </w:rPr>
              <w:t>保障补充村级组织工作经费，积极组织开展各类活动（万元）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E1B3">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D8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A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BC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3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23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F860">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C3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6372D">
            <w:pPr>
              <w:jc w:val="center"/>
            </w:pPr>
          </w:p>
        </w:tc>
      </w:tr>
      <w:tr w14:paraId="41A7E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45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E9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E1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F6412">
            <w:pPr>
              <w:jc w:val="center"/>
            </w:pPr>
            <w:r>
              <w:rPr>
                <w:rFonts w:ascii="宋体" w:hAnsi="宋体" w:eastAsia="宋体"/>
                <w:sz w:val="16"/>
              </w:rPr>
              <w:t>第一书记为民办实事工作经费（万元）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FF9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15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D8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90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B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F1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BB2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A3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81515">
            <w:pPr>
              <w:jc w:val="center"/>
            </w:pPr>
          </w:p>
        </w:tc>
      </w:tr>
      <w:tr w14:paraId="35B89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0CE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246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79E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1E3D">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4A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6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33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74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10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D1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748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A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4522">
            <w:pPr>
              <w:jc w:val="center"/>
            </w:pPr>
          </w:p>
        </w:tc>
      </w:tr>
      <w:tr w14:paraId="18360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F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A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33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BBA3">
            <w:pPr>
              <w:jc w:val="center"/>
            </w:pPr>
            <w:r>
              <w:rPr>
                <w:rFonts w:ascii="宋体" w:hAnsi="宋体" w:eastAsia="宋体"/>
                <w:sz w:val="16"/>
              </w:rPr>
              <w:t>保障工作队正常运转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AFC">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A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B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6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03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419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28F8">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6C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0C8C">
            <w:pPr>
              <w:jc w:val="center"/>
            </w:pPr>
          </w:p>
        </w:tc>
      </w:tr>
      <w:tr w14:paraId="4A1BD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CA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7A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EF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9E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24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2C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C4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CA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7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C0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95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883ED">
            <w:pPr>
              <w:jc w:val="center"/>
            </w:pPr>
            <w:r>
              <w:rPr>
                <w:rFonts w:ascii="宋体" w:hAnsi="宋体" w:eastAsia="宋体"/>
                <w:sz w:val="16"/>
              </w:rPr>
              <w:t>项目完成情况较好，实际受益群众满意度较高，所以指标出现正偏差</w:t>
            </w:r>
          </w:p>
        </w:tc>
      </w:tr>
      <w:tr w14:paraId="534A1D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72F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093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21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97775">
            <w:pPr>
              <w:jc w:val="center"/>
            </w:pPr>
            <w:r>
              <w:rPr>
                <w:rFonts w:ascii="宋体" w:hAnsi="宋体" w:eastAsia="宋体"/>
                <w:sz w:val="16"/>
              </w:rPr>
              <w:t>100分</w:t>
            </w:r>
          </w:p>
        </w:tc>
      </w:tr>
    </w:tbl>
    <w:p w14:paraId="7BA1BA69">
      <w:r>
        <w:br w:type="page"/>
      </w:r>
    </w:p>
    <w:p w14:paraId="52CCA4DB">
      <w:pPr>
        <w:spacing w:line="640" w:lineRule="exact"/>
        <w:ind w:firstLine="640"/>
        <w:jc w:val="both"/>
        <w:outlineLvl w:val="2"/>
      </w:pPr>
      <w:r>
        <w:rPr>
          <w:rFonts w:ascii="黑体" w:hAnsi="黑体" w:eastAsia="黑体"/>
          <w:sz w:val="32"/>
        </w:rPr>
        <w:t>十二、其他需说明的事项</w:t>
      </w:r>
    </w:p>
    <w:p w14:paraId="5E918DBC">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54AF38D3">
      <w:r>
        <w:br w:type="page"/>
      </w:r>
    </w:p>
    <w:p w14:paraId="41C570F5">
      <w:pPr>
        <w:spacing w:line="240" w:lineRule="auto"/>
        <w:jc w:val="center"/>
        <w:outlineLvl w:val="1"/>
      </w:pPr>
      <w:r>
        <w:rPr>
          <w:rFonts w:ascii="黑体" w:hAnsi="黑体" w:eastAsia="黑体"/>
          <w:sz w:val="32"/>
        </w:rPr>
        <w:t>第三部分 专业名词解释</w:t>
      </w:r>
    </w:p>
    <w:p w14:paraId="777B881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01C74C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75365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DD975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DC4764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A63A2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6AA51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D01D4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08E32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FD699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6902B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97658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F09B5E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588D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31D301">
      <w:r>
        <w:br w:type="page"/>
      </w:r>
    </w:p>
    <w:p w14:paraId="0D755304">
      <w:pPr>
        <w:spacing w:line="240" w:lineRule="auto"/>
        <w:jc w:val="center"/>
        <w:outlineLvl w:val="1"/>
      </w:pPr>
      <w:r>
        <w:rPr>
          <w:rFonts w:ascii="黑体" w:hAnsi="黑体" w:eastAsia="黑体"/>
          <w:sz w:val="32"/>
        </w:rPr>
        <w:t>第四部分 部门决算报表（见附表）</w:t>
      </w:r>
    </w:p>
    <w:p w14:paraId="3349E87F">
      <w:pPr>
        <w:spacing w:line="240" w:lineRule="auto"/>
        <w:ind w:firstLine="640"/>
        <w:jc w:val="both"/>
      </w:pPr>
      <w:r>
        <w:rPr>
          <w:rFonts w:ascii="仿宋_GB2312" w:hAnsi="仿宋_GB2312" w:eastAsia="仿宋_GB2312"/>
          <w:b w:val="0"/>
          <w:sz w:val="32"/>
        </w:rPr>
        <w:t>一、《收入支出决算总表》</w:t>
      </w:r>
    </w:p>
    <w:p w14:paraId="28562458">
      <w:pPr>
        <w:spacing w:line="240" w:lineRule="auto"/>
        <w:ind w:firstLine="640"/>
        <w:jc w:val="both"/>
      </w:pPr>
      <w:r>
        <w:rPr>
          <w:rFonts w:ascii="仿宋_GB2312" w:hAnsi="仿宋_GB2312" w:eastAsia="仿宋_GB2312"/>
          <w:b w:val="0"/>
          <w:sz w:val="32"/>
        </w:rPr>
        <w:t>二、《收入决算表》</w:t>
      </w:r>
    </w:p>
    <w:p w14:paraId="4BF91660">
      <w:pPr>
        <w:spacing w:line="240" w:lineRule="auto"/>
        <w:ind w:firstLine="640"/>
        <w:jc w:val="both"/>
      </w:pPr>
      <w:r>
        <w:rPr>
          <w:rFonts w:ascii="仿宋_GB2312" w:hAnsi="仿宋_GB2312" w:eastAsia="仿宋_GB2312"/>
          <w:b w:val="0"/>
          <w:sz w:val="32"/>
        </w:rPr>
        <w:t>三、《支出决算表》</w:t>
      </w:r>
    </w:p>
    <w:p w14:paraId="5EC1F6F0">
      <w:pPr>
        <w:spacing w:line="240" w:lineRule="auto"/>
        <w:ind w:firstLine="640"/>
        <w:jc w:val="both"/>
      </w:pPr>
      <w:r>
        <w:rPr>
          <w:rFonts w:ascii="仿宋_GB2312" w:hAnsi="仿宋_GB2312" w:eastAsia="仿宋_GB2312"/>
          <w:b w:val="0"/>
          <w:sz w:val="32"/>
        </w:rPr>
        <w:t>四、《财政拨款收入支出决算总表》</w:t>
      </w:r>
    </w:p>
    <w:p w14:paraId="73A74517">
      <w:pPr>
        <w:spacing w:line="240" w:lineRule="auto"/>
        <w:ind w:firstLine="640"/>
        <w:jc w:val="both"/>
      </w:pPr>
      <w:r>
        <w:rPr>
          <w:rFonts w:ascii="仿宋_GB2312" w:hAnsi="仿宋_GB2312" w:eastAsia="仿宋_GB2312"/>
          <w:b w:val="0"/>
          <w:sz w:val="32"/>
        </w:rPr>
        <w:t>五、《一般公共预算财政拨款支出决算表》</w:t>
      </w:r>
    </w:p>
    <w:p w14:paraId="76D48206">
      <w:pPr>
        <w:spacing w:line="240" w:lineRule="auto"/>
        <w:ind w:firstLine="640"/>
        <w:jc w:val="both"/>
      </w:pPr>
      <w:r>
        <w:rPr>
          <w:rFonts w:ascii="仿宋_GB2312" w:hAnsi="仿宋_GB2312" w:eastAsia="仿宋_GB2312"/>
          <w:b w:val="0"/>
          <w:sz w:val="32"/>
        </w:rPr>
        <w:t>六、《一般公共预算财政拨款基本支出决算表》</w:t>
      </w:r>
    </w:p>
    <w:p w14:paraId="4BDDE3FD">
      <w:pPr>
        <w:spacing w:line="240" w:lineRule="auto"/>
        <w:ind w:firstLine="640"/>
        <w:jc w:val="both"/>
      </w:pPr>
      <w:r>
        <w:rPr>
          <w:rFonts w:ascii="仿宋_GB2312" w:hAnsi="仿宋_GB2312" w:eastAsia="仿宋_GB2312"/>
          <w:b w:val="0"/>
          <w:sz w:val="32"/>
        </w:rPr>
        <w:t>七、《政府性基金预算财政拨款收入支出决算表》</w:t>
      </w:r>
    </w:p>
    <w:p w14:paraId="74AFFD9E">
      <w:pPr>
        <w:spacing w:line="240" w:lineRule="auto"/>
        <w:ind w:firstLine="640"/>
        <w:jc w:val="both"/>
      </w:pPr>
      <w:r>
        <w:rPr>
          <w:rFonts w:ascii="仿宋_GB2312" w:hAnsi="仿宋_GB2312" w:eastAsia="仿宋_GB2312"/>
          <w:b w:val="0"/>
          <w:sz w:val="32"/>
        </w:rPr>
        <w:t>八、《国有资本经营预算财政拨款收入支出决算表》</w:t>
      </w:r>
    </w:p>
    <w:p w14:paraId="16CE9FD7">
      <w:pPr>
        <w:spacing w:line="240" w:lineRule="auto"/>
        <w:ind w:firstLine="640"/>
        <w:jc w:val="both"/>
      </w:pPr>
      <w:r>
        <w:rPr>
          <w:rFonts w:ascii="仿宋_GB2312" w:hAnsi="仿宋_GB2312" w:eastAsia="仿宋_GB2312"/>
          <w:b w:val="0"/>
          <w:sz w:val="32"/>
        </w:rPr>
        <w:t>九、《财政拨款“三公”经费支出决算表》</w:t>
      </w:r>
    </w:p>
    <w:p w14:paraId="6E9747CD">
      <w:pPr>
        <w:spacing w:line="240" w:lineRule="auto"/>
        <w:ind w:firstLine="640"/>
        <w:jc w:val="both"/>
      </w:pPr>
    </w:p>
    <w:p w14:paraId="2C7E3262">
      <w:pPr>
        <w:spacing w:line="240" w:lineRule="auto"/>
        <w:ind w:firstLine="640"/>
        <w:jc w:val="both"/>
      </w:pPr>
    </w:p>
    <w:p w14:paraId="1B07BE35">
      <w:pPr>
        <w:spacing w:line="240" w:lineRule="auto"/>
        <w:ind w:firstLine="640"/>
        <w:jc w:val="both"/>
      </w:pPr>
    </w:p>
    <w:p w14:paraId="4D0330DD">
      <w:pPr>
        <w:spacing w:line="240" w:lineRule="auto"/>
        <w:ind w:firstLine="640"/>
        <w:jc w:val="both"/>
      </w:pPr>
    </w:p>
    <w:p w14:paraId="37B427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BE1BE5"/>
    <w:rsid w:val="0B8C3ECC"/>
    <w:rsid w:val="0C3613A3"/>
    <w:rsid w:val="0C7227A7"/>
    <w:rsid w:val="0DCA6EF7"/>
    <w:rsid w:val="0E4B1576"/>
    <w:rsid w:val="0EA04331"/>
    <w:rsid w:val="0F9811B3"/>
    <w:rsid w:val="1012557F"/>
    <w:rsid w:val="11E15093"/>
    <w:rsid w:val="120E0809"/>
    <w:rsid w:val="19071D6C"/>
    <w:rsid w:val="19B5554D"/>
    <w:rsid w:val="1A9F5AD7"/>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1E2E1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E72EDD"/>
    <w:rsid w:val="6CA7198F"/>
    <w:rsid w:val="6D8919A8"/>
    <w:rsid w:val="6E0F7A08"/>
    <w:rsid w:val="6E801ABC"/>
    <w:rsid w:val="71473612"/>
    <w:rsid w:val="718F7F65"/>
    <w:rsid w:val="72344A88"/>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3559</Words>
  <Characters>4013</Characters>
  <Lines>0</Lines>
  <Paragraphs>0</Paragraphs>
  <TotalTime>3</TotalTime>
  <ScaleCrop>false</ScaleCrop>
  <LinksUpToDate>false</LinksUpToDate>
  <CharactersWithSpaces>4021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