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6D003">
      <w:pPr>
        <w:spacing w:line="570" w:lineRule="exact"/>
        <w:jc w:val="center"/>
        <w:rPr>
          <w:rFonts w:ascii="华文中宋" w:hAnsi="华文中宋" w:eastAsia="华文中宋" w:cs="宋体"/>
          <w:b/>
          <w:kern w:val="0"/>
          <w:sz w:val="52"/>
          <w:szCs w:val="52"/>
        </w:rPr>
      </w:pPr>
    </w:p>
    <w:p w14:paraId="607A78A1">
      <w:pPr>
        <w:spacing w:line="570" w:lineRule="exact"/>
        <w:jc w:val="center"/>
        <w:rPr>
          <w:rFonts w:ascii="华文中宋" w:hAnsi="华文中宋" w:eastAsia="华文中宋" w:cs="宋体"/>
          <w:b/>
          <w:kern w:val="0"/>
          <w:sz w:val="52"/>
          <w:szCs w:val="52"/>
        </w:rPr>
      </w:pPr>
    </w:p>
    <w:p w14:paraId="6A291AAB">
      <w:pPr>
        <w:spacing w:line="570" w:lineRule="exact"/>
        <w:jc w:val="center"/>
        <w:rPr>
          <w:rFonts w:ascii="华文中宋" w:hAnsi="华文中宋" w:eastAsia="华文中宋" w:cs="宋体"/>
          <w:b/>
          <w:kern w:val="0"/>
          <w:sz w:val="52"/>
          <w:szCs w:val="52"/>
        </w:rPr>
      </w:pPr>
    </w:p>
    <w:p w14:paraId="7625E7CC">
      <w:pPr>
        <w:spacing w:line="570" w:lineRule="exact"/>
        <w:jc w:val="center"/>
        <w:rPr>
          <w:rFonts w:ascii="华文中宋" w:hAnsi="华文中宋" w:eastAsia="华文中宋" w:cs="宋体"/>
          <w:b/>
          <w:kern w:val="0"/>
          <w:sz w:val="52"/>
          <w:szCs w:val="52"/>
        </w:rPr>
      </w:pPr>
    </w:p>
    <w:p w14:paraId="1FCDE903">
      <w:pPr>
        <w:spacing w:line="570" w:lineRule="exact"/>
        <w:jc w:val="both"/>
        <w:rPr>
          <w:rFonts w:ascii="华文中宋" w:hAnsi="华文中宋" w:eastAsia="华文中宋" w:cs="宋体"/>
          <w:b/>
          <w:kern w:val="0"/>
          <w:sz w:val="52"/>
          <w:szCs w:val="52"/>
        </w:rPr>
      </w:pPr>
    </w:p>
    <w:p w14:paraId="239E3E49">
      <w:pPr>
        <w:spacing w:line="570" w:lineRule="exact"/>
        <w:jc w:val="center"/>
        <w:rPr>
          <w:rFonts w:ascii="华文中宋" w:hAnsi="华文中宋" w:eastAsia="华文中宋" w:cs="宋体"/>
          <w:b/>
          <w:kern w:val="0"/>
          <w:sz w:val="52"/>
          <w:szCs w:val="52"/>
        </w:rPr>
      </w:pPr>
    </w:p>
    <w:p w14:paraId="6F4E3A8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E3C0455">
      <w:pPr>
        <w:spacing w:line="570" w:lineRule="exact"/>
        <w:jc w:val="center"/>
        <w:rPr>
          <w:rFonts w:ascii="华文中宋" w:hAnsi="华文中宋" w:eastAsia="华文中宋" w:cs="宋体"/>
          <w:b/>
          <w:kern w:val="0"/>
          <w:sz w:val="52"/>
          <w:szCs w:val="52"/>
        </w:rPr>
      </w:pPr>
    </w:p>
    <w:p w14:paraId="2E29B58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E172867">
      <w:pPr>
        <w:spacing w:line="570" w:lineRule="exact"/>
        <w:jc w:val="center"/>
        <w:rPr>
          <w:rFonts w:hAnsi="宋体" w:eastAsia="仿宋_GB2312" w:cs="宋体"/>
          <w:kern w:val="0"/>
          <w:sz w:val="30"/>
          <w:szCs w:val="30"/>
        </w:rPr>
      </w:pPr>
    </w:p>
    <w:p w14:paraId="5E2930B9">
      <w:pPr>
        <w:spacing w:line="570" w:lineRule="exact"/>
        <w:jc w:val="center"/>
        <w:rPr>
          <w:rFonts w:hAnsi="宋体" w:eastAsia="仿宋_GB2312" w:cs="宋体"/>
          <w:kern w:val="0"/>
          <w:sz w:val="30"/>
          <w:szCs w:val="30"/>
        </w:rPr>
      </w:pPr>
    </w:p>
    <w:p w14:paraId="28E830CE">
      <w:pPr>
        <w:spacing w:line="570" w:lineRule="exact"/>
        <w:jc w:val="center"/>
        <w:rPr>
          <w:rFonts w:hAnsi="宋体" w:eastAsia="仿宋_GB2312" w:cs="宋体"/>
          <w:kern w:val="0"/>
          <w:sz w:val="30"/>
          <w:szCs w:val="30"/>
        </w:rPr>
      </w:pPr>
    </w:p>
    <w:p w14:paraId="71C6283F">
      <w:pPr>
        <w:spacing w:line="570" w:lineRule="exact"/>
        <w:jc w:val="center"/>
        <w:rPr>
          <w:rFonts w:hAnsi="宋体" w:eastAsia="仿宋_GB2312" w:cs="宋体"/>
          <w:kern w:val="0"/>
          <w:sz w:val="30"/>
          <w:szCs w:val="30"/>
        </w:rPr>
      </w:pPr>
    </w:p>
    <w:p w14:paraId="61B2D51A">
      <w:pPr>
        <w:spacing w:line="570" w:lineRule="exact"/>
        <w:jc w:val="center"/>
        <w:rPr>
          <w:rFonts w:hAnsi="宋体" w:eastAsia="仿宋_GB2312" w:cs="宋体"/>
          <w:kern w:val="0"/>
          <w:sz w:val="30"/>
          <w:szCs w:val="30"/>
        </w:rPr>
      </w:pPr>
    </w:p>
    <w:p w14:paraId="3AC638CB">
      <w:pPr>
        <w:spacing w:line="570" w:lineRule="exact"/>
        <w:jc w:val="center"/>
        <w:rPr>
          <w:rFonts w:hAnsi="宋体" w:eastAsia="仿宋_GB2312" w:cs="宋体"/>
          <w:kern w:val="0"/>
          <w:sz w:val="30"/>
          <w:szCs w:val="30"/>
        </w:rPr>
      </w:pPr>
    </w:p>
    <w:p w14:paraId="1EC14A5C">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2024年中央财政基本公共卫生服务补助资金项目（妇幼卫生）</w:t>
      </w:r>
    </w:p>
    <w:p w14:paraId="59B4038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塔什库尔干塔吉克自治县妇幼保健计划生育服务中心</w:t>
      </w:r>
    </w:p>
    <w:p w14:paraId="52B60B17">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塔什库尔干塔吉克自治县卫生健康委员会</w:t>
      </w:r>
    </w:p>
    <w:p w14:paraId="06E84C7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艾迪比革</w:t>
      </w:r>
    </w:p>
    <w:p w14:paraId="1D16BFCC">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14:paraId="5175C2C5">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29B42F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7DDEE12">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756A0C7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以及关于提前下达2024年中央财政基本公共卫生服务补助资金项目、喀地财社【2023】114号等相关政策文件与规定，旨在评价2024年中央财政基本公共卫生服务补助资金项目（妇幼卫生）实施前期、过程及效果，评价财政预算资金使用的效率及效益。通过该项目的实施，建成后可带动12个乡镇卫生院妇女儿童受益，同时对当地妇幼儿童健康的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12各乡镇、村（社区）、妇女、儿童健康的发展。用于用于下乡对居民进行宫颈癌初筛、儿童营养改善、新生儿听力筛查、新生儿遗传代谢疾及先天性心脏疾病筛查、增补叶酸预防神经管缺陷、国家孕前优生检查等。通过开展新生儿遗产代谢疾病及先天性疾病筛查，提高生存率，开展国家孕前优生检查，达到优生目的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塔什库尔干县妇幼保健计划生育服务中心为全额拨款事业单位，纳入2024年部门决算编制范围的有5个办公室：妇女保健科、儿童保健科、计划生育科、孕产保健科、主任副主任办公室。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编制人数11人，其中：行政人员编制0人、工勤2人、参公0人、事业编制9人。实有在职人数11人，其中：行政在职0人、工勤2人、参公0人、事业在职9人。离退休人员25人，其中：行政退休人员0人、事业退休25人。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根据《关于提前下达2024年基本公共卫生服务补助资金预算的通知》（喀地财预〔2023〕114号）安排下达资金17万元共下达中央直达资金17万元，最终确定项目资金总数为17万元。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截至2024年12月31日，实际支出17万元，预算执行率100%。</w:t>
      </w:r>
    </w:p>
    <w:p w14:paraId="7A3A082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4DD698D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入资金17万元，主要用于下乡对居民进行宫颈癌初筛、儿童营养改善、新生儿听力筛查、新生儿遗传代谢疾及先天性心脏疾病筛查、增补叶酸预防神经管缺陷、国家孕前优生检查等。做到早发现早治疗，确保城乡居民身体健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的前期准备工作：塔什库尔干塔吉克自治县妇幼保健计划生育服务中心作为项目的实施单位，第一时间与相关主管部门单位沟通，制定项目实施方案，项目绩效目标表等，根据县人大工作年初目标，明确分工职责，并设定绩效监控实施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具体实施工作：（1）动态调整县级财力保障水平。根据相关政策和因素变化，动态调整县级财力保障范围和标准。（2）强化管理，推动建立现代财政制度。（3）加强资金监管。根据县级基本财力保障范围和保障标准，测算各单位保障需求和缺口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14:paraId="7825CFB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C0CE91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4F1D751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bookmarkStart w:id="0" w:name="_GoBack"/>
      <w:bookmarkEnd w:id="0"/>
      <w:r>
        <w:rPr>
          <w:rStyle w:val="18"/>
          <w:rFonts w:hint="eastAsia" w:ascii="仿宋" w:hAnsi="仿宋" w:eastAsia="仿宋" w:cs="仿宋"/>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1B514D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5B7D85C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2024年中央财政基本公共卫生服务补助资金项目（妇幼卫生）项目综合评分表</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 xml:space="preserve">                  二级指标</w:t>
      </w:r>
      <w:r>
        <w:rPr>
          <w:rStyle w:val="18"/>
          <w:rFonts w:hint="eastAsia" w:ascii="仿宋" w:hAnsi="仿宋" w:eastAsia="仿宋" w:cs="仿宋"/>
          <w:b w:val="0"/>
          <w:bCs w:val="0"/>
          <w:spacing w:val="-4"/>
          <w:sz w:val="32"/>
          <w:szCs w:val="32"/>
        </w:rPr>
        <w:tab/>
        <w:t xml:space="preserve">                      三级指标</w:t>
      </w:r>
      <w:r>
        <w:rPr>
          <w:rStyle w:val="18"/>
          <w:rFonts w:hint="eastAsia" w:ascii="仿宋" w:hAnsi="仿宋" w:eastAsia="仿宋" w:cs="仿宋"/>
          <w:b w:val="0"/>
          <w:bCs w:val="0"/>
          <w:spacing w:val="-4"/>
          <w:sz w:val="32"/>
          <w:szCs w:val="32"/>
        </w:rPr>
        <w:tab/>
        <w:t xml:space="preserve">                          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决策（15分）</w:t>
      </w:r>
      <w:r>
        <w:rPr>
          <w:rStyle w:val="18"/>
          <w:rFonts w:hint="eastAsia" w:ascii="仿宋" w:hAnsi="仿宋" w:eastAsia="仿宋" w:cs="仿宋"/>
          <w:b w:val="0"/>
          <w:bCs w:val="0"/>
          <w:spacing w:val="-4"/>
          <w:sz w:val="32"/>
          <w:szCs w:val="32"/>
        </w:rPr>
        <w:tab/>
        <w:t xml:space="preserve">                  项目立项（5分）</w:t>
      </w:r>
      <w:r>
        <w:rPr>
          <w:rStyle w:val="18"/>
          <w:rFonts w:hint="eastAsia" w:ascii="仿宋" w:hAnsi="仿宋" w:eastAsia="仿宋" w:cs="仿宋"/>
          <w:b w:val="0"/>
          <w:bCs w:val="0"/>
          <w:spacing w:val="-4"/>
          <w:sz w:val="32"/>
          <w:szCs w:val="32"/>
        </w:rPr>
        <w:tab/>
        <w:t xml:space="preserve">              立项依据充分性（3分）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立项程序（2分）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绩效目标（5分）</w:t>
      </w:r>
      <w:r>
        <w:rPr>
          <w:rStyle w:val="18"/>
          <w:rFonts w:hint="eastAsia" w:ascii="仿宋" w:hAnsi="仿宋" w:eastAsia="仿宋" w:cs="仿宋"/>
          <w:b w:val="0"/>
          <w:bCs w:val="0"/>
          <w:spacing w:val="-4"/>
          <w:sz w:val="32"/>
          <w:szCs w:val="32"/>
        </w:rPr>
        <w:tab/>
        <w:t xml:space="preserve">              绩效目标合理性（3分）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绩效指标明确性（2分）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资金投入（5分）</w:t>
      </w:r>
      <w:r>
        <w:rPr>
          <w:rStyle w:val="18"/>
          <w:rFonts w:hint="eastAsia" w:ascii="仿宋" w:hAnsi="仿宋" w:eastAsia="仿宋" w:cs="仿宋"/>
          <w:b w:val="0"/>
          <w:bCs w:val="0"/>
          <w:spacing w:val="-4"/>
          <w:sz w:val="32"/>
          <w:szCs w:val="32"/>
        </w:rPr>
        <w:tab/>
        <w:t xml:space="preserve">              预算编制（3分）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资金分配合理性（2分）</w:t>
      </w:r>
      <w:r>
        <w:rPr>
          <w:rStyle w:val="18"/>
          <w:rFonts w:hint="eastAsia" w:ascii="仿宋" w:hAnsi="仿宋" w:eastAsia="仿宋" w:cs="仿宋"/>
          <w:b w:val="0"/>
          <w:bCs w:val="0"/>
          <w:spacing w:val="-4"/>
          <w:sz w:val="32"/>
          <w:szCs w:val="32"/>
        </w:rPr>
        <w:tab/>
        <w:t xml:space="preserve">            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过程（20分）</w:t>
      </w:r>
      <w:r>
        <w:rPr>
          <w:rStyle w:val="18"/>
          <w:rFonts w:hint="eastAsia" w:ascii="仿宋" w:hAnsi="仿宋" w:eastAsia="仿宋" w:cs="仿宋"/>
          <w:b w:val="0"/>
          <w:bCs w:val="0"/>
          <w:spacing w:val="-4"/>
          <w:sz w:val="32"/>
          <w:szCs w:val="32"/>
        </w:rPr>
        <w:tab/>
        <w:t xml:space="preserve">                  资金管理（10分）</w:t>
      </w:r>
      <w:r>
        <w:rPr>
          <w:rStyle w:val="18"/>
          <w:rFonts w:hint="eastAsia" w:ascii="仿宋" w:hAnsi="仿宋" w:eastAsia="仿宋" w:cs="仿宋"/>
          <w:b w:val="0"/>
          <w:bCs w:val="0"/>
          <w:spacing w:val="-4"/>
          <w:sz w:val="32"/>
          <w:szCs w:val="32"/>
        </w:rPr>
        <w:tab/>
        <w:t xml:space="preserve">              资金到位率（3分）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预算执行率（3分）</w:t>
      </w:r>
      <w:r>
        <w:rPr>
          <w:rStyle w:val="18"/>
          <w:rFonts w:hint="eastAsia" w:ascii="仿宋" w:hAnsi="仿宋" w:eastAsia="仿宋" w:cs="仿宋"/>
          <w:b w:val="0"/>
          <w:bCs w:val="0"/>
          <w:spacing w:val="-4"/>
          <w:sz w:val="32"/>
          <w:szCs w:val="32"/>
        </w:rPr>
        <w:tab/>
        <w:t xml:space="preserve">                    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资金使用合规性（4分）</w:t>
      </w:r>
      <w:r>
        <w:rPr>
          <w:rStyle w:val="18"/>
          <w:rFonts w:hint="eastAsia" w:ascii="仿宋" w:hAnsi="仿宋" w:eastAsia="仿宋" w:cs="仿宋"/>
          <w:b w:val="0"/>
          <w:bCs w:val="0"/>
          <w:spacing w:val="-4"/>
          <w:sz w:val="32"/>
          <w:szCs w:val="32"/>
        </w:rPr>
        <w:tab/>
        <w:t xml:space="preserve">            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组织实施（10分）</w:t>
      </w:r>
      <w:r>
        <w:rPr>
          <w:rStyle w:val="18"/>
          <w:rFonts w:hint="eastAsia" w:ascii="仿宋" w:hAnsi="仿宋" w:eastAsia="仿宋" w:cs="仿宋"/>
          <w:b w:val="0"/>
          <w:bCs w:val="0"/>
          <w:spacing w:val="-4"/>
          <w:sz w:val="32"/>
          <w:szCs w:val="32"/>
        </w:rPr>
        <w:tab/>
        <w:t xml:space="preserve">              管理制度健全性（5分）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制度执行（5分）</w:t>
      </w:r>
      <w:r>
        <w:rPr>
          <w:rStyle w:val="18"/>
          <w:rFonts w:hint="eastAsia" w:ascii="仿宋" w:hAnsi="仿宋" w:eastAsia="仿宋" w:cs="仿宋"/>
          <w:b w:val="0"/>
          <w:bCs w:val="0"/>
          <w:spacing w:val="-4"/>
          <w:sz w:val="32"/>
          <w:szCs w:val="32"/>
        </w:rPr>
        <w:tab/>
        <w:t xml:space="preserve">                    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产出（45分）</w:t>
      </w:r>
      <w:r>
        <w:rPr>
          <w:rStyle w:val="18"/>
          <w:rFonts w:hint="eastAsia" w:ascii="仿宋" w:hAnsi="仿宋" w:eastAsia="仿宋" w:cs="仿宋"/>
          <w:b w:val="0"/>
          <w:bCs w:val="0"/>
          <w:spacing w:val="-4"/>
          <w:sz w:val="32"/>
          <w:szCs w:val="32"/>
        </w:rPr>
        <w:tab/>
        <w:t xml:space="preserve">                  产出数量（10分）</w:t>
      </w:r>
      <w:r>
        <w:rPr>
          <w:rStyle w:val="18"/>
          <w:rFonts w:hint="eastAsia" w:ascii="仿宋" w:hAnsi="仿宋" w:eastAsia="仿宋" w:cs="仿宋"/>
          <w:b w:val="0"/>
          <w:bCs w:val="0"/>
          <w:spacing w:val="-4"/>
          <w:sz w:val="32"/>
          <w:szCs w:val="32"/>
        </w:rPr>
        <w:tab/>
        <w:t xml:space="preserve">              实际完成率（10分）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产出质量（10分）</w:t>
      </w:r>
      <w:r>
        <w:rPr>
          <w:rStyle w:val="18"/>
          <w:rFonts w:hint="eastAsia" w:ascii="仿宋" w:hAnsi="仿宋" w:eastAsia="仿宋" w:cs="仿宋"/>
          <w:b w:val="0"/>
          <w:bCs w:val="0"/>
          <w:spacing w:val="-4"/>
          <w:sz w:val="32"/>
          <w:szCs w:val="32"/>
        </w:rPr>
        <w:tab/>
        <w:t xml:space="preserve">              质量达标率（10分）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产出时效（10分）</w:t>
      </w:r>
      <w:r>
        <w:rPr>
          <w:rStyle w:val="18"/>
          <w:rFonts w:hint="eastAsia" w:ascii="仿宋" w:hAnsi="仿宋" w:eastAsia="仿宋" w:cs="仿宋"/>
          <w:b w:val="0"/>
          <w:bCs w:val="0"/>
          <w:spacing w:val="-4"/>
          <w:sz w:val="32"/>
          <w:szCs w:val="32"/>
        </w:rPr>
        <w:tab/>
        <w:t xml:space="preserve">              完成及时性（10分）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xml:space="preserve">                          产出成本（15分）</w:t>
      </w:r>
      <w:r>
        <w:rPr>
          <w:rStyle w:val="18"/>
          <w:rFonts w:hint="eastAsia" w:ascii="仿宋" w:hAnsi="仿宋" w:eastAsia="仿宋" w:cs="仿宋"/>
          <w:b w:val="0"/>
          <w:bCs w:val="0"/>
          <w:spacing w:val="-4"/>
          <w:sz w:val="32"/>
          <w:szCs w:val="32"/>
        </w:rPr>
        <w:tab/>
        <w:t xml:space="preserve">              成本节约率（15分）</w:t>
      </w:r>
      <w:r>
        <w:rPr>
          <w:rStyle w:val="18"/>
          <w:rFonts w:hint="eastAsia" w:ascii="仿宋" w:hAnsi="仿宋" w:eastAsia="仿宋" w:cs="仿宋"/>
          <w:b w:val="0"/>
          <w:bCs w:val="0"/>
          <w:spacing w:val="-4"/>
          <w:sz w:val="32"/>
          <w:szCs w:val="32"/>
        </w:rPr>
        <w:tab/>
        <w:t xml:space="preserve">            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效益（20分）</w:t>
      </w:r>
      <w:r>
        <w:rPr>
          <w:rStyle w:val="18"/>
          <w:rFonts w:hint="eastAsia" w:ascii="仿宋" w:hAnsi="仿宋" w:eastAsia="仿宋" w:cs="仿宋"/>
          <w:b w:val="0"/>
          <w:bCs w:val="0"/>
          <w:spacing w:val="-4"/>
          <w:sz w:val="32"/>
          <w:szCs w:val="32"/>
        </w:rPr>
        <w:tab/>
        <w:t xml:space="preserve">                  项目效益（20分）</w:t>
      </w:r>
      <w:r>
        <w:rPr>
          <w:rStyle w:val="18"/>
          <w:rFonts w:hint="eastAsia" w:ascii="仿宋" w:hAnsi="仿宋" w:eastAsia="仿宋" w:cs="仿宋"/>
          <w:b w:val="0"/>
          <w:bCs w:val="0"/>
          <w:spacing w:val="-4"/>
          <w:sz w:val="32"/>
          <w:szCs w:val="32"/>
        </w:rPr>
        <w:tab/>
        <w:t xml:space="preserve">              实施效益（10分）</w:t>
      </w:r>
      <w:r>
        <w:rPr>
          <w:rStyle w:val="18"/>
          <w:rFonts w:hint="eastAsia" w:ascii="仿宋" w:hAnsi="仿宋" w:eastAsia="仿宋" w:cs="仿宋"/>
          <w:b w:val="0"/>
          <w:bCs w:val="0"/>
          <w:spacing w:val="-4"/>
          <w:sz w:val="32"/>
          <w:szCs w:val="32"/>
        </w:rPr>
        <w:tab/>
        <w:t xml:space="preserve">                    10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满意度（10分）</w:t>
      </w:r>
      <w:r>
        <w:rPr>
          <w:rStyle w:val="18"/>
          <w:rFonts w:hint="eastAsia" w:ascii="仿宋" w:hAnsi="仿宋" w:eastAsia="仿宋" w:cs="仿宋"/>
          <w:b w:val="0"/>
          <w:bCs w:val="0"/>
          <w:spacing w:val="-4"/>
          <w:sz w:val="32"/>
          <w:szCs w:val="32"/>
        </w:rPr>
        <w:tab/>
        <w:t xml:space="preserve">                    10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权重分值100分</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xml:space="preserve">                                    总得分          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p>
    <w:p w14:paraId="5324824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8AF680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王贵平任评价组组长，绩效评价工作职责为负责全盘工作。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亚生江任评价组副组长，绩效评价工作职责为对项目实施情况进行实地调查。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萨丽玛、姑扎丽努尔、努尔江汗、阿地力任评价组成员，绩效评价工作职责为负责资料审核等工作。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2782645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23F4D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通过实施2024年中央财政基本公共卫生服务补助资金项目（妇幼卫生）有效保障城乡居民身体健康。项目实施主要通过项目决策、项目过程、项目产出以及项目效益等方面进行评价，其中：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2024年中央财政基本公共卫生服务补助资金项目（妇幼卫生），喀地财社【2023】114号立项，项目实施符合2024年中央财政基本公共卫生服务补助资金项目（妇幼卫生），喀地财社【2023】114号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项目过程：2024年中央财政基本公共卫生服务补助资金项目（妇幼卫生）预算安排 17万元，实际支出17万元，预算执行率100%。项目资金使用合规，项目财务管理制度健全，财务监控到位，所有资金支付均按照国库集中支付制度严格执行，现有项目管理制度执行情况良好。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截止评价日，已支付基本公共卫生服务补助资金费用17万元，用于儿童营养改善、新生儿听力筛查、新生儿遗传代谢疾及先天性心脏疾病筛查、增补叶酸预防神经管缺陷、农村妇女两癌筛查、国家孕前优生检查；妇幼卫生筛查覆盖率达100%；资金按时支付率达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保障城乡居民身体健康完成该指标，提高城乡居民身体健康，通过实施此项目产生社会效益，已完成覆盖全县12个乡镇、村（社区），提高城乡居民妇幼卫生健康意识、自我保护意识有了显著的提上、身体健康有了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基本公共卫生服务补助资金项目（妇幼卫生）进行客观评价，最终评分结果：评价总分100分，绩效等级为“优”。</w:t>
      </w:r>
    </w:p>
    <w:p w14:paraId="1B876F08">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810AB1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7F5BE6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①项目立项是根据《2024年中央财政基本公共卫生服务补助资金项目，喀地财社【2023】114号》文件。②经检查我单位财政管理一体化信息系统，本项目不存在重复。结合塔什库尔干塔吉克自治县妇幼保健计划生育服务中心单位职责，并组织实施该项目。围绕塔什库尔干塔吉克自治县妇幼保健计划生育服务中心年度工作重点和工作计划制定项目预算。③项目立项是根据《2024年中央财政基本公共卫生服务补助资金项目，喀地财社【2023】114号》文件。本项目立项符合行业发展规划和政策要求。④项目立项是根据《塔什库尔干塔吉克自治县妇幼保健计划生育服务中心三定方案》职责分责，故项目立项与部门职责范围相符，属于部门履职所需。⑤项目属于公共财政支持范围，符合中央、地方事权支出责任划分原则。⑥经检查我单位财政管理一体化信息系统，本项目不存在重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①项目根据决策依据编制工作计划和经费预算，经过与主管单位分管领导进行沟通、筛选确定经费预算计划，上党委会研究确定最终预算方案，严格按照规定的程序申请设立。②项目的审批文件及材料有《塔什库尔干塔吉克自治县妇幼保健计划生育服务中心2024年中央财政基本公共卫生服务补助资金项目实施方案》符合相关要求。③事前已经过必要的可行性研究、专家论证、风险评估、绩效评估、集体决策，文件及材料有《塔什库尔干县卫生健康委员会财经会》、《塔什库尔干塔吉克自治县妇幼保健计划生育服务中心事前绩效评估》。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17万元，主要用于下乡对居民进行宫颈癌初筛、儿童营养改善、新生儿听力筛查、新生儿遗传代谢疾及先天性心脏疾病筛查、增补叶酸预防神经管缺陷、国家孕前优生检查等。做到早发现早治疗，确保城乡居民身体健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截至目前，该项目已执行资金17万元，已用于下乡对居民进行宫颈癌初筛、儿童营养改善、新生儿听力筛查、新生儿遗传代谢疾及先天性心脏疾病筛查、增补叶酸预防神经管缺陷、国家孕前优生检查等。做到早发现早治疗，有效确保城乡居民身体健康。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妇幼卫生筛查，主要包括宫颈癌初筛、儿童营养改善、新生儿听力筛查、新生儿遗传代谢疾及先天性心脏疾病筛查、增补叶酸预防神经管缺陷、国家孕前优生检查，有效保障城乡居民身体健康，预期产出效益和效果符合正常的业绩水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④该项目批复的预算金额为17万元，《项目支出绩效目标表》中预算金额为17万元，预算确定的项目资金与预算确定的项目投资额相匹配。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⑤本单位制定了《2024年中央财政基本公共卫生服务补助资金项目（妇幼卫生）实施方案》，明确了总体思路及目标、并对任务进行了详细分解，对目标进行了细化。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 经检查我单位年初设置的《项目支出绩效目标表》，得出如下结论：本项目已将年度绩效目标进行细化为绩效指标体系，共设置一级指标4个，二级指标6个，三级指标11个，定量指标10个，定性指标1个，指标量化率为90.9%，量化率达70%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该《项目绩效目标申报表》中，数量指标指标值为妇幼卫生筛查项目数大于等于6项，三级指标的年度指标值与年度绩效目标中任务数一致，已设置时效指标“资金按时支付率等于100%”。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①本项目预算编制通过前期调研论证，同类似项目对比分析，发现预算编制科学合理；②预算申请内容为用于用于下乡对居民进行宫颈癌初筛、儿童营养改善、新生儿听力筛查、新生儿遗传代谢疾及先天性心脏疾病筛查、增补叶酸预防神经管缺陷、国家孕前优生检查等支出17万元，项目实际内容为总投资17万元，主要用于用于下乡对居民进行宫颈癌初筛、儿童营养改善、新生儿听力筛查、新生儿遗传代谢疾及先天性心脏疾病筛查、增补叶酸预防神经管缺陷、国家孕前优生检查等支出，预算申请与《2024年中央财政基本公共卫生服务补助资金项目（妇幼卫生）实施方案》中涉及的项目内容匹配；③本项目预算申请资金17万元，我单位在预算申请中严格按照项目实施内容及测算标准进行核算，其中：儿童营养改善项目成本1万元，新生儿听力筛查项目成本1万元，新生儿遗传代谢疾及先天性心脏疾病筛查项目成本3万元，增补叶酸预防神经管缺陷资金项目成本4万元，农村妇女两癌筛查项目成本3万元，国家孕前优生检查项目成本5万元。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2024年中央财政基本公共卫生服务补助资金项目（妇幼卫生）实施方案》为依据进行资金分配，预算资金分配依据充分。根据《喀地财社【2023】114号》，本项目实际到位资金17万元，其中中央直达资金为17万元，资金分配额度合理，与我单位实际需求相适应。资金分配与实际相适应，根据评分标准，该指标不扣分，得2分。</w:t>
      </w:r>
    </w:p>
    <w:p w14:paraId="11D662D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AB81DE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17万元，其中：财政安排资金17万元，实际到位资金17万元，资金到位率17；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（2）预算执行率：本项目实际支出资金17万元，预算执行率=（17/17）×100%=100%；通过分析可知，该项目预算编制较为详细，项目资金支出总体能够按照预算执行，根据评分标准，该指标不扣分，得3分。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塔吉克自治县妇幼保健计划生育服务中心资金管理办法》《塔什库尔干塔吉克自治县妇幼保健计划生育服务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塔什库尔干塔吉克自治县妇幼保健计划生育服务中心资金管理办法》《塔什库尔干塔吉克自治县妇幼保健计划生育服务中心收支业务管理制度》《塔什库尔干塔吉克自治县妇幼保健计划生育服务中心政府采购业务管理制度》《塔什库尔干塔吉克自治县妇幼保健计划生育服务中心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塔什库尔干塔吉克自治县妇幼保健计划生育服务中心资金管理办法》《塔什库尔干塔吉克自治县妇幼保健计划生育服务中心收支业务管理制度》等相关法律法规及管理规定，项目具备完整规范的立项程序；经查证项目实施过程资料，项目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②经现场查证，验收评审表、财务支付凭证等资料齐全并及时进行了归档。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③该项目存在调整，调整手续齐全。根据评分标准，该指标不扣分，得5分。</w:t>
      </w:r>
    </w:p>
    <w:p w14:paraId="53EBB1C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FFC361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妇幼卫生筛查项目数指标，预期指标值为大于等于6项，实际完成值为等于6项，指标完成率为100%，与预期目标一致，根据评分标准，该指标不扣分，得10分。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妇幼卫生筛查覆盖率指标，预期指标值为等于100%，实际完成值为等于100%，指标完成率为100%，与预期目标一致，根据评分标准，该指标不扣分，得10分。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资金按时支付率指标，预期指标值为等于100%，实际完成值为等于100%，指标完成率为100%，与预期目标一致，根据评分标准，该指标不扣分，得10分。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儿童营养改善项目成本指标，预期指标值为小于等于1万元，实际完成值为等于1万元，指标完成率为100%，项目经费都能控制绩效目标范围内，根据评分标准，该指标不扣分，得2分。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新生儿听力筛查项目成本指标，预期指标值为小于等于1万元，实际完成值为等于1万元，指标完成率为100%，项目经费都能控制绩效目标范围内，根据评分标准，该指标不扣分，得2分。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新生儿遗传代谢疾及先天性心脏疾病筛查项目成本指标，预期指标值为小于等于3万元，实际完成值为等于3万元，指标完成率为100%，项目经费都能控制绩效目标范围内，根据评分标准，该指标不扣分，得3分。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增补叶酸预防神经管缺陷资金项目成本指标，预期指标值为小于等于4万元，实际完成值为等于4万元，指标完成率为100%，项目经费都能控制绩效目标范围内，根据评分标准，该指标不扣分，得3分。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农村妇女两癌筛查项目成本指标，预期指标值为小于等于3万元，实际完成值为等于3万元，指标完成率为100%，项目经费都能控制绩效目标范围内，根据评分标准，该指标不扣分，得2分。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国家孕前优生检查项目成本指标，预期指标值为小于等于5万元，实际完成值为等于5万元，指标完成率为100%，项目经费都能控制绩效目标范围内，根据评分标准，该指标不扣分，得3分。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2CD36BE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E5BFF47">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保障城乡居民身体健康指标，该指标预期指标值为提升，实际完成值为提升，指标完成率为100%，与预期指标一致，根据评分标准，该指标不扣分，得10分。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p>
    <w:p w14:paraId="1490A0A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392098C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对于“满意度指标：受检对象满意度，该指标预期指标值为大于等于95%，实际完成值为等于100%，指标完成率为105%，高与预期目标，根据评分标准，该指标不扣分,得10分。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偏差原因分析：项目实施情况较好，受检对象满意度高于预期，导致出现正偏差，改进措施：基于当前良好表现，重新审视绩效目标，在以后绩效目标设置时设置更具挑战性的目标，以推动业务持续发展。</w:t>
      </w:r>
    </w:p>
    <w:p w14:paraId="0CF1CE4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0B07CE7">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2024年中央财政基本公共卫生服务补助资金项目（妇幼卫生）预算17万元，到位17万元，实际支出17万元，预算执行率为100%，项目绩效指标总体完成率为100.5%。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偏差原因分析：项目实施情况较好，受检对象满意度高于预期，导致出现正偏差，改进措施：基于当前良好表现，重新审视绩效目标，在以后绩效目标设置时设置更具挑战性的目标，以推动业务持续发展。</w:t>
      </w:r>
    </w:p>
    <w:p w14:paraId="5AF1F988">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420D0E5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一是在项目实施过程中，存在沟通不及时的情况，导致小组成员工作分配不当。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二是缺少带着问题去评价的意识。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三是现场评价的工作量少，后续效益评价具体措施和方法较少。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四是对各项指标和指标值要进一步优化、完善，主要在细化、量化上改进。</w:t>
      </w:r>
    </w:p>
    <w:p w14:paraId="5060F4B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700DB9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14:paraId="5CA9FAD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3988D6E7">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55F4B0">
        <w:pPr>
          <w:pStyle w:val="12"/>
          <w:jc w:val="center"/>
        </w:pPr>
        <w:r>
          <w:fldChar w:fldCharType="begin"/>
        </w:r>
        <w:r>
          <w:instrText xml:space="preserve">PAGE   \* MERGEFORMAT</w:instrText>
        </w:r>
        <w:r>
          <w:fldChar w:fldCharType="separate"/>
        </w:r>
        <w:r>
          <w:rPr>
            <w:lang w:val="zh-CN"/>
          </w:rPr>
          <w:t>1</w:t>
        </w:r>
        <w:r>
          <w:fldChar w:fldCharType="end"/>
        </w:r>
      </w:p>
    </w:sdtContent>
  </w:sdt>
  <w:p w14:paraId="3E449DA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CD0282"/>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9451</Words>
  <Characters>9808</Characters>
  <Lines>5</Lines>
  <Paragraphs>1</Paragraphs>
  <TotalTime>0</TotalTime>
  <ScaleCrop>false</ScaleCrop>
  <LinksUpToDate>false</LinksUpToDate>
  <CharactersWithSpaces>11090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周丽君</cp:lastModifiedBy>
  <cp:lastPrinted>2018-12-31T10:56:00Z</cp:lastPrinted>
  <dcterms:modified xsi:type="dcterms:W3CDTF">2025-09-04T07:50:59Z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