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塔什库尔干塔吉克自治县卫生健康委员会2024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CEC034">
      <w:r>
        <w:br w:type="page"/>
      </w:r>
    </w:p>
    <w:p w14:paraId="7DEA0136">
      <w:pPr>
        <w:spacing w:line="640" w:lineRule="exact"/>
        <w:jc w:val="center"/>
        <w:outlineLvl w:val="1"/>
      </w:pPr>
      <w:r>
        <w:rPr>
          <w:rFonts w:ascii="黑体" w:hAnsi="黑体" w:eastAsia="黑体"/>
          <w:sz w:val="32"/>
        </w:rPr>
        <w:t>第一部分 单位概况</w:t>
      </w:r>
    </w:p>
    <w:p w14:paraId="4D29FC9E">
      <w:pPr>
        <w:spacing w:line="640" w:lineRule="exact"/>
        <w:ind w:firstLine="640"/>
        <w:jc w:val="both"/>
        <w:outlineLvl w:val="2"/>
      </w:pPr>
      <w:r>
        <w:rPr>
          <w:rFonts w:ascii="黑体" w:hAnsi="黑体" w:eastAsia="黑体"/>
          <w:sz w:val="32"/>
        </w:rPr>
        <w:t>一、主要职能</w:t>
      </w:r>
    </w:p>
    <w:p w14:paraId="7FCABD86">
      <w:pPr>
        <w:spacing w:line="580" w:lineRule="exact"/>
        <w:ind w:firstLine="640"/>
        <w:jc w:val="both"/>
      </w:pPr>
      <w:r>
        <w:rPr>
          <w:rFonts w:ascii="仿宋_GB2312" w:hAnsi="仿宋_GB2312" w:eastAsia="仿宋_GB2312"/>
          <w:sz w:val="32"/>
        </w:rPr>
        <w:t>（一）贯彻执行国家卫生健康发展的法律法规、政策规划和标准规范，统筹规划全县卫生健康资源配置，组织全县卫生健康规划的编制和实施。组织实施推进卫生健康基本公共服务均等化、普惠化、便捷化和公共资源向基层延伸等政策措施。</w:t>
      </w:r>
    </w:p>
    <w:p w14:paraId="2595F46F">
      <w:pPr>
        <w:spacing w:line="580" w:lineRule="exact"/>
        <w:ind w:firstLine="640"/>
        <w:jc w:val="both"/>
      </w:pPr>
      <w:r>
        <w:rPr>
          <w:rFonts w:ascii="仿宋_GB2312" w:hAnsi="仿宋_GB2312" w:eastAsia="仿宋_GB2312"/>
          <w:sz w:val="32"/>
        </w:rPr>
        <w:t>（二）协调推进深化医药卫生体制改革，研究提出并落实深化医药卫生体制改革重大方针、政策、措施及建议。组织深化公立医院综合改革，推进管办分离，健全现代医院管理制度，制定并组织实施推动卫生健康公共服务提供主体多元化、提供方式多样化的政策措施，提出医疗服务和药品价格政策的建议。</w:t>
      </w:r>
    </w:p>
    <w:p w14:paraId="7905D9A2">
      <w:pPr>
        <w:spacing w:line="580" w:lineRule="exact"/>
        <w:ind w:firstLine="640"/>
        <w:jc w:val="both"/>
      </w:pPr>
      <w:r>
        <w:rPr>
          <w:rFonts w:ascii="仿宋_GB2312" w:hAnsi="仿宋_GB2312" w:eastAsia="仿宋_GB2312"/>
          <w:sz w:val="32"/>
        </w:rPr>
        <w:t>（三）负责疾病预防控制工作。贯彻实施疾病预防控制规划与策略，组织实施免疫规划及政策措施，制定并组织实施严重危害人民健康的公共卫生问题的干预措施，协调有关部门对重大疾病实施防控与干预。执行国家检疫传染病和监测传染病目录。负责卫生应急工作，组织指导突发公共卫生事件的预防控制和各类突发公共事件的医疗卫生救援。</w:t>
      </w:r>
    </w:p>
    <w:p w14:paraId="76806027">
      <w:pPr>
        <w:spacing w:line="580" w:lineRule="exact"/>
        <w:ind w:firstLine="640"/>
        <w:jc w:val="both"/>
      </w:pPr>
      <w:r>
        <w:rPr>
          <w:rFonts w:ascii="仿宋_GB2312" w:hAnsi="仿宋_GB2312" w:eastAsia="仿宋_GB2312"/>
          <w:sz w:val="32"/>
        </w:rPr>
        <w:t>（四）组织负责协调落实应对人口老龄化政策措施，负责推进老年健康服务体系建设和医养结合工作。</w:t>
      </w:r>
    </w:p>
    <w:p w14:paraId="20A494C8">
      <w:pPr>
        <w:spacing w:line="580" w:lineRule="exact"/>
        <w:ind w:firstLine="640"/>
        <w:jc w:val="both"/>
      </w:pPr>
      <w:r>
        <w:rPr>
          <w:rFonts w:ascii="仿宋_GB2312" w:hAnsi="仿宋_GB2312" w:eastAsia="仿宋_GB2312"/>
          <w:sz w:val="32"/>
        </w:rPr>
        <w:t>（五）贯彻执行国家基本药物制度和国家药物政策，组织实施国家药品法典、国家基本药物目录和基本药物采购、配送和使用的政策措施。</w:t>
      </w:r>
    </w:p>
    <w:p w14:paraId="3FCBD339">
      <w:pPr>
        <w:spacing w:line="580" w:lineRule="exact"/>
        <w:ind w:firstLine="640"/>
        <w:jc w:val="both"/>
      </w:pPr>
      <w:r>
        <w:rPr>
          <w:rFonts w:ascii="仿宋_GB2312" w:hAnsi="仿宋_GB2312" w:eastAsia="仿宋_GB2312"/>
          <w:sz w:val="32"/>
        </w:rPr>
        <w:t>（六）规范卫生行政执法工作。按照职责分工负责职业卫生、放射卫生、环境卫生和学校卫生的监督管理，负责公共场所卫生和饮用水卫生的安全监督管理，负责传染病防治监督。负责生育调节、人口统计、计生技术服务等监督管理;组织实施食品安全风险监测、评估工作。负责职业卫生技术服务机构资质认可的职责。</w:t>
      </w:r>
    </w:p>
    <w:p w14:paraId="30694938">
      <w:pPr>
        <w:spacing w:line="580" w:lineRule="exact"/>
        <w:ind w:firstLine="640"/>
        <w:jc w:val="both"/>
      </w:pPr>
      <w:r>
        <w:rPr>
          <w:rFonts w:ascii="仿宋_GB2312" w:hAnsi="仿宋_GB2312" w:eastAsia="仿宋_GB2312"/>
          <w:sz w:val="32"/>
        </w:rPr>
        <w:t>（七）负责组织拟订并实施基层卫生健康服务、妇幼卫生发展规划和政策措施;负责全县妇幼保健综合管理和监督;指导全县基层卫生健康、妇幼卫生服务体系建设，推进基本公共卫生和计生服务均等化，完善基层运行</w:t>
      </w:r>
      <w:r>
        <w:rPr>
          <w:rFonts w:hint="eastAsia" w:ascii="仿宋_GB2312" w:hAnsi="仿宋_GB2312" w:eastAsia="仿宋_GB2312"/>
          <w:sz w:val="32"/>
          <w:lang w:eastAsia="zh-CN"/>
        </w:rPr>
        <w:t>机制</w:t>
      </w:r>
      <w:r>
        <w:rPr>
          <w:rFonts w:ascii="仿宋_GB2312" w:hAnsi="仿宋_GB2312" w:eastAsia="仿宋_GB2312"/>
          <w:sz w:val="32"/>
        </w:rPr>
        <w:t>和乡村医生管理制度。</w:t>
      </w:r>
    </w:p>
    <w:p w14:paraId="0EA118D8">
      <w:pPr>
        <w:spacing w:line="580" w:lineRule="exact"/>
        <w:ind w:firstLine="640"/>
        <w:jc w:val="both"/>
      </w:pPr>
      <w:r>
        <w:rPr>
          <w:rFonts w:ascii="仿宋_GB2312" w:hAnsi="仿宋_GB2312" w:eastAsia="仿宋_GB2312"/>
          <w:sz w:val="32"/>
        </w:rPr>
        <w:t>（八）负责医疗、计生机构医疗服务、医疗技术、医疗质量、医疗安全以及采供血机构的行业监督管理。组织实施医疗卫生职业道德规范，会同有关部门贯彻执行国家卫生专业技术人员准入、资格标准，组织实施卫生专业技术人员执业规则和服务规范，建立医疗服务评价和监督管理体系。</w:t>
      </w:r>
    </w:p>
    <w:p w14:paraId="1B224876">
      <w:pPr>
        <w:spacing w:line="580" w:lineRule="exact"/>
        <w:ind w:firstLine="640"/>
        <w:jc w:val="both"/>
      </w:pPr>
      <w:r>
        <w:rPr>
          <w:rFonts w:ascii="仿宋_GB2312" w:hAnsi="仿宋_GB2312" w:eastAsia="仿宋_GB2312"/>
          <w:sz w:val="32"/>
        </w:rPr>
        <w:t>（九）组织拟订全县卫生健康科技发展规划，组织实施卫生健康相关科研项目，组织实施继续医学教育。</w:t>
      </w:r>
    </w:p>
    <w:p w14:paraId="3E53D44D">
      <w:pPr>
        <w:spacing w:line="580" w:lineRule="exact"/>
        <w:ind w:firstLine="640"/>
        <w:jc w:val="both"/>
      </w:pPr>
      <w:r>
        <w:rPr>
          <w:rFonts w:ascii="仿宋_GB2312" w:hAnsi="仿宋_GB2312" w:eastAsia="仿宋_GB2312"/>
          <w:sz w:val="32"/>
        </w:rPr>
        <w:t>（十）负责组织推进公立医院改革，建立以公益性为导向的绩效考核和评价运行机制。</w:t>
      </w:r>
    </w:p>
    <w:p w14:paraId="19916171">
      <w:pPr>
        <w:spacing w:line="580" w:lineRule="exact"/>
        <w:ind w:firstLine="640"/>
        <w:jc w:val="both"/>
      </w:pPr>
      <w:r>
        <w:rPr>
          <w:rFonts w:ascii="仿宋_GB2312" w:hAnsi="仿宋_GB2312" w:eastAsia="仿宋_GB2312"/>
          <w:sz w:val="32"/>
        </w:rPr>
        <w:t>（十一）贯彻执行国家基本药物制度和国家药物政策，组织实施药品法典、国家基本药物目录和基本药物采购、配送和使用的政策措施。</w:t>
      </w:r>
    </w:p>
    <w:p w14:paraId="4740A53B">
      <w:pPr>
        <w:spacing w:line="580" w:lineRule="exact"/>
        <w:ind w:firstLine="640"/>
        <w:jc w:val="both"/>
      </w:pPr>
      <w:r>
        <w:rPr>
          <w:rFonts w:ascii="仿宋_GB2312" w:hAnsi="仿宋_GB2312" w:eastAsia="仿宋_GB2312"/>
          <w:sz w:val="32"/>
        </w:rPr>
        <w:t>（十二）承担县老龄工作委员会的日常工作。指导县计生协会的业务工作。</w:t>
      </w:r>
    </w:p>
    <w:p w14:paraId="25D2E222">
      <w:pPr>
        <w:spacing w:line="580" w:lineRule="exact"/>
        <w:ind w:firstLine="640"/>
        <w:jc w:val="both"/>
      </w:pPr>
      <w:r>
        <w:rPr>
          <w:rFonts w:ascii="仿宋_GB2312" w:hAnsi="仿宋_GB2312" w:eastAsia="仿宋_GB2312"/>
          <w:sz w:val="32"/>
        </w:rPr>
        <w:t>（十三）职能转变。卫生健康委员会应当牢固树立大卫生、大健康理念，推动实施健康新疆、健康喀什、健康塔县战略，以改革创新为动力，以促健康、转模式、强基层、重保障为着力点，把以治病为中心转变到以人民健康为中心，为全县各族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公共服务均等化、普惠化、便捷化。四是协调推进深化医药卫生体制改革，加大公立医院改革力度，推进管办分离，推动卫生健康公共服务提供主体多元化、方式多样化的政策措施。</w:t>
      </w:r>
    </w:p>
    <w:p w14:paraId="299E6C27">
      <w:pPr>
        <w:spacing w:line="580" w:lineRule="exact"/>
        <w:ind w:firstLine="640"/>
        <w:jc w:val="both"/>
      </w:pPr>
      <w:r>
        <w:rPr>
          <w:rFonts w:ascii="仿宋_GB2312" w:hAnsi="仿宋_GB2312" w:eastAsia="仿宋_GB2312"/>
          <w:sz w:val="32"/>
        </w:rPr>
        <w:t>（十四）组织建立计生利益导向、计生特殊困难家庭扶助和促进计生家庭发展等机制。负责协调推进有关部门和群众团体履行计生工作相关职责，建立与经济社会发展政策的衔接机制，提出稳定低生育水平政策措施的建议。</w:t>
      </w:r>
    </w:p>
    <w:p w14:paraId="00DE7F77">
      <w:pPr>
        <w:spacing w:line="640" w:lineRule="exact"/>
        <w:ind w:firstLine="640"/>
        <w:jc w:val="both"/>
        <w:outlineLvl w:val="2"/>
      </w:pPr>
      <w:r>
        <w:rPr>
          <w:rFonts w:ascii="黑体" w:hAnsi="黑体" w:eastAsia="黑体"/>
          <w:sz w:val="32"/>
        </w:rPr>
        <w:t>二、机构设置及人员情况</w:t>
      </w:r>
    </w:p>
    <w:p w14:paraId="62396EB7">
      <w:pPr>
        <w:spacing w:line="580" w:lineRule="exact"/>
        <w:ind w:firstLine="640"/>
        <w:jc w:val="both"/>
      </w:pPr>
      <w:r>
        <w:rPr>
          <w:rFonts w:ascii="仿宋_GB2312" w:hAnsi="仿宋_GB2312" w:eastAsia="仿宋_GB2312"/>
          <w:sz w:val="32"/>
        </w:rPr>
        <w:t>塔什库尔干塔吉克自治县卫生健康委员会2024年度，实有人数89人，其中：在职人员48人，减少3人；离休人员0人，增加0人；退休人员41人,增加3人。</w:t>
      </w:r>
    </w:p>
    <w:p w14:paraId="016F9EC7">
      <w:pPr>
        <w:spacing w:line="580" w:lineRule="exact"/>
        <w:ind w:firstLine="640"/>
        <w:jc w:val="both"/>
      </w:pPr>
      <w:r>
        <w:rPr>
          <w:rFonts w:ascii="仿宋_GB2312" w:hAnsi="仿宋_GB2312" w:eastAsia="仿宋_GB2312"/>
          <w:sz w:val="32"/>
        </w:rPr>
        <w:t>单位无下属预算单位，下设5个科室，分别是：行政办公室、人口检测与家庭发展办公室、医政药政办公室、老年人和妇幼健康办公室、财务办公室。</w:t>
      </w:r>
    </w:p>
    <w:p w14:paraId="66661F76">
      <w:r>
        <w:br w:type="page"/>
      </w:r>
    </w:p>
    <w:p w14:paraId="65E3DEA6">
      <w:pPr>
        <w:spacing w:line="240" w:lineRule="auto"/>
        <w:jc w:val="center"/>
        <w:outlineLvl w:val="1"/>
      </w:pPr>
      <w:r>
        <w:rPr>
          <w:rFonts w:ascii="黑体" w:hAnsi="黑体" w:eastAsia="黑体"/>
          <w:sz w:val="32"/>
        </w:rPr>
        <w:t>第二部分 部门决算情况说明</w:t>
      </w:r>
    </w:p>
    <w:p w14:paraId="007A7CA6">
      <w:pPr>
        <w:spacing w:line="640" w:lineRule="exact"/>
        <w:ind w:firstLine="640"/>
        <w:jc w:val="both"/>
        <w:outlineLvl w:val="2"/>
      </w:pPr>
      <w:r>
        <w:rPr>
          <w:rFonts w:ascii="黑体" w:hAnsi="黑体" w:eastAsia="黑体"/>
          <w:sz w:val="32"/>
        </w:rPr>
        <w:t>一、收入支出决算总体情况说明</w:t>
      </w:r>
    </w:p>
    <w:p w14:paraId="4C4C4782">
      <w:pPr>
        <w:spacing w:line="580" w:lineRule="exact"/>
        <w:ind w:firstLine="640"/>
        <w:jc w:val="both"/>
      </w:pPr>
      <w:r>
        <w:rPr>
          <w:rFonts w:ascii="仿宋_GB2312" w:hAnsi="仿宋_GB2312" w:eastAsia="仿宋_GB2312"/>
          <w:b/>
          <w:sz w:val="32"/>
        </w:rPr>
        <w:t>2024年度收入总计2,309.99万元，</w:t>
      </w:r>
      <w:r>
        <w:rPr>
          <w:rFonts w:ascii="仿宋_GB2312" w:hAnsi="仿宋_GB2312" w:eastAsia="仿宋_GB2312"/>
          <w:b w:val="0"/>
          <w:sz w:val="32"/>
        </w:rPr>
        <w:t>其中：本年收入合计2,309.99万元，使用非财政拨款结余（含专用结余）0.00万元，年初结转和结余0.00万元。</w:t>
      </w:r>
    </w:p>
    <w:p w14:paraId="5A42ABED">
      <w:pPr>
        <w:spacing w:line="580" w:lineRule="exact"/>
        <w:ind w:firstLine="640"/>
        <w:jc w:val="both"/>
      </w:pPr>
      <w:r>
        <w:rPr>
          <w:rFonts w:ascii="仿宋_GB2312" w:hAnsi="仿宋_GB2312" w:eastAsia="仿宋_GB2312"/>
          <w:b/>
          <w:sz w:val="32"/>
        </w:rPr>
        <w:t>2024年度支出总计2,309.99万元，</w:t>
      </w:r>
      <w:r>
        <w:rPr>
          <w:rFonts w:ascii="仿宋_GB2312" w:hAnsi="仿宋_GB2312" w:eastAsia="仿宋_GB2312"/>
          <w:b w:val="0"/>
          <w:sz w:val="32"/>
        </w:rPr>
        <w:t>其中：本年支出合计2,309.99万元，结余分配0.00万元，年末结转和结余0.00万元。</w:t>
      </w:r>
    </w:p>
    <w:p w14:paraId="16D7B8BB">
      <w:pPr>
        <w:spacing w:line="580" w:lineRule="exact"/>
        <w:ind w:firstLine="640"/>
        <w:jc w:val="both"/>
      </w:pPr>
      <w:r>
        <w:rPr>
          <w:rFonts w:ascii="仿宋_GB2312" w:hAnsi="仿宋_GB2312" w:eastAsia="仿宋_GB2312"/>
          <w:b w:val="0"/>
          <w:sz w:val="32"/>
        </w:rPr>
        <w:t>收入支出总体与上年相比，减少1,337.05万元，下降36.66%，主要原因是：1.本年在职人员减少，导致相关人员经费较上年减少；2.本年减少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口岸防疫检测中心改造提升建设项目。</w:t>
      </w:r>
    </w:p>
    <w:p w14:paraId="49F57D55">
      <w:pPr>
        <w:spacing w:line="640" w:lineRule="exact"/>
        <w:ind w:firstLine="640"/>
        <w:jc w:val="both"/>
        <w:outlineLvl w:val="2"/>
      </w:pPr>
      <w:r>
        <w:rPr>
          <w:rFonts w:ascii="黑体" w:hAnsi="黑体" w:eastAsia="黑体"/>
          <w:sz w:val="32"/>
        </w:rPr>
        <w:t>二、收入决算情况说明</w:t>
      </w:r>
    </w:p>
    <w:p w14:paraId="143C132F">
      <w:pPr>
        <w:spacing w:line="580" w:lineRule="exact"/>
        <w:ind w:firstLine="640"/>
        <w:jc w:val="both"/>
      </w:pPr>
      <w:r>
        <w:rPr>
          <w:rFonts w:ascii="仿宋_GB2312" w:hAnsi="仿宋_GB2312" w:eastAsia="仿宋_GB2312"/>
          <w:b/>
          <w:sz w:val="32"/>
        </w:rPr>
        <w:t>本年收入2,309.99万元，</w:t>
      </w:r>
      <w:r>
        <w:rPr>
          <w:rFonts w:ascii="仿宋_GB2312" w:hAnsi="仿宋_GB2312" w:eastAsia="仿宋_GB2312"/>
          <w:b w:val="0"/>
          <w:sz w:val="32"/>
        </w:rPr>
        <w:t>其中：财政拨款收入2,277.99万元，占98.61%；上级补助收入0.00万元，占0.00%；事业收入0.00万元，占0.00%；经营收入0.00万元，占0.00%；附属单位上缴收入0.00万元，占0.00%；其他收入32.00万元，占1.39%。</w:t>
      </w:r>
    </w:p>
    <w:p w14:paraId="3444E8BD">
      <w:pPr>
        <w:spacing w:line="640" w:lineRule="exact"/>
        <w:ind w:firstLine="640"/>
        <w:jc w:val="both"/>
        <w:outlineLvl w:val="2"/>
      </w:pPr>
      <w:r>
        <w:rPr>
          <w:rFonts w:ascii="黑体" w:hAnsi="黑体" w:eastAsia="黑体"/>
          <w:sz w:val="32"/>
        </w:rPr>
        <w:t>三、支出决算情况说明</w:t>
      </w:r>
    </w:p>
    <w:p w14:paraId="7E971FC9">
      <w:pPr>
        <w:spacing w:line="580" w:lineRule="exact"/>
        <w:ind w:firstLine="640"/>
        <w:jc w:val="both"/>
      </w:pPr>
      <w:r>
        <w:rPr>
          <w:rFonts w:ascii="仿宋_GB2312" w:hAnsi="仿宋_GB2312" w:eastAsia="仿宋_GB2312"/>
          <w:b/>
          <w:sz w:val="32"/>
        </w:rPr>
        <w:t>本年支出2,309.99万元，</w:t>
      </w:r>
      <w:r>
        <w:rPr>
          <w:rFonts w:ascii="仿宋_GB2312" w:hAnsi="仿宋_GB2312" w:eastAsia="仿宋_GB2312"/>
          <w:b w:val="0"/>
          <w:sz w:val="32"/>
        </w:rPr>
        <w:t>其中：基本支出1,198.63万元，占51.89%；项目支出1,111.36万元，占48.11%；上缴上级支出0.00万元，占0.00%；经营支出0.00万元，占0.00%；对附属单位补助支出0.00万元，占0.00%。</w:t>
      </w:r>
    </w:p>
    <w:p w14:paraId="117250DE">
      <w:pPr>
        <w:spacing w:line="640" w:lineRule="exact"/>
        <w:ind w:firstLine="640"/>
        <w:jc w:val="both"/>
        <w:outlineLvl w:val="2"/>
      </w:pPr>
      <w:r>
        <w:rPr>
          <w:rFonts w:ascii="黑体" w:hAnsi="黑体" w:eastAsia="黑体"/>
          <w:sz w:val="32"/>
        </w:rPr>
        <w:t>四、财政拨款收入支出决算总体情况说明</w:t>
      </w:r>
    </w:p>
    <w:p w14:paraId="3C6E6327">
      <w:pPr>
        <w:spacing w:line="580" w:lineRule="exact"/>
        <w:ind w:firstLine="640"/>
        <w:jc w:val="both"/>
      </w:pPr>
      <w:r>
        <w:rPr>
          <w:rFonts w:ascii="仿宋_GB2312" w:hAnsi="仿宋_GB2312" w:eastAsia="仿宋_GB2312"/>
          <w:b/>
          <w:sz w:val="32"/>
        </w:rPr>
        <w:t>2024年度财政拨款收入总计2,277.99万元，</w:t>
      </w:r>
      <w:r>
        <w:rPr>
          <w:rFonts w:ascii="仿宋_GB2312" w:hAnsi="仿宋_GB2312" w:eastAsia="仿宋_GB2312"/>
          <w:b w:val="0"/>
          <w:sz w:val="32"/>
        </w:rPr>
        <w:t>其中：年初财政拨款结转和结余0.00万元，本年财政拨款收入2,277.99万元。</w:t>
      </w:r>
      <w:r>
        <w:rPr>
          <w:rFonts w:ascii="仿宋_GB2312" w:hAnsi="仿宋_GB2312" w:eastAsia="仿宋_GB2312"/>
          <w:b/>
          <w:sz w:val="32"/>
        </w:rPr>
        <w:t>财政拨款支出总计2,277.99万元，</w:t>
      </w:r>
      <w:r>
        <w:rPr>
          <w:rFonts w:ascii="仿宋_GB2312" w:hAnsi="仿宋_GB2312" w:eastAsia="仿宋_GB2312"/>
          <w:b w:val="0"/>
          <w:sz w:val="32"/>
        </w:rPr>
        <w:t>其中：年末财政拨款结转和结余0.00万元，本年财政拨款支出2,277.99万元。</w:t>
      </w:r>
    </w:p>
    <w:p w14:paraId="1E2158C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减少1,369.05万元，下降37.54%，主要原因是：1.本年在职人员减少，导致相关人员经费较上年减少；2.本年减少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口岸防疫检测中心改造提升建设项目。</w:t>
      </w:r>
      <w:r>
        <w:rPr>
          <w:rFonts w:ascii="仿宋_GB2312" w:hAnsi="仿宋_GB2312" w:eastAsia="仿宋_GB2312"/>
          <w:b/>
          <w:sz w:val="32"/>
        </w:rPr>
        <w:t>与年初预算相比，</w:t>
      </w:r>
      <w:r>
        <w:rPr>
          <w:rFonts w:ascii="仿宋_GB2312" w:hAnsi="仿宋_GB2312" w:eastAsia="仿宋_GB2312"/>
          <w:b w:val="0"/>
          <w:sz w:val="32"/>
        </w:rPr>
        <w:t>年初预算数1,413.95万元，决算数2,277.99万元，预决算差异率61.11%，主要原因是：年中追加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方舱隔离点、方舱医院建设项目工程款，医疗废物处理项目工程款等项目、导致预决算存在差异。</w:t>
      </w:r>
    </w:p>
    <w:p w14:paraId="0AF83AC8">
      <w:pPr>
        <w:spacing w:line="640" w:lineRule="exact"/>
        <w:ind w:firstLine="640"/>
        <w:jc w:val="both"/>
        <w:outlineLvl w:val="2"/>
      </w:pPr>
      <w:r>
        <w:rPr>
          <w:rFonts w:ascii="黑体" w:hAnsi="黑体" w:eastAsia="黑体"/>
          <w:sz w:val="32"/>
        </w:rPr>
        <w:t>五、一般公共预算财政拨款支出决算情况说明</w:t>
      </w:r>
    </w:p>
    <w:p w14:paraId="59CB5A94">
      <w:pPr>
        <w:spacing w:line="640" w:lineRule="exact"/>
        <w:ind w:firstLine="640"/>
        <w:jc w:val="both"/>
        <w:outlineLvl w:val="3"/>
      </w:pPr>
      <w:r>
        <w:rPr>
          <w:rFonts w:ascii="楷体_GB2312" w:hAnsi="楷体_GB2312" w:eastAsia="楷体_GB2312"/>
          <w:b/>
          <w:sz w:val="32"/>
        </w:rPr>
        <w:t>（一）一般公共预算财政拨款支出决算总体情况</w:t>
      </w:r>
    </w:p>
    <w:p w14:paraId="13CD07D0">
      <w:pPr>
        <w:spacing w:line="580" w:lineRule="exact"/>
        <w:ind w:firstLine="640"/>
        <w:jc w:val="both"/>
      </w:pPr>
      <w:r>
        <w:rPr>
          <w:rFonts w:ascii="仿宋_GB2312" w:hAnsi="仿宋_GB2312" w:eastAsia="仿宋_GB2312"/>
          <w:b/>
          <w:sz w:val="32"/>
        </w:rPr>
        <w:t>2024年度一般公共预算财政拨款支出2,277.99万元，</w:t>
      </w:r>
      <w:r>
        <w:rPr>
          <w:rFonts w:ascii="仿宋_GB2312" w:hAnsi="仿宋_GB2312" w:eastAsia="仿宋_GB2312"/>
          <w:b w:val="0"/>
          <w:sz w:val="32"/>
        </w:rPr>
        <w:t>占本年支出合计的98.61%。</w:t>
      </w:r>
      <w:r>
        <w:rPr>
          <w:rFonts w:ascii="仿宋_GB2312" w:hAnsi="仿宋_GB2312" w:eastAsia="仿宋_GB2312"/>
          <w:b/>
          <w:sz w:val="32"/>
        </w:rPr>
        <w:t>与上年相比，</w:t>
      </w:r>
      <w:r>
        <w:rPr>
          <w:rFonts w:ascii="仿宋_GB2312" w:hAnsi="仿宋_GB2312" w:eastAsia="仿宋_GB2312"/>
          <w:b w:val="0"/>
          <w:sz w:val="32"/>
        </w:rPr>
        <w:t>减少1,367.75万元，下降37.52%，主要原因是：1.本年在职人员减少，导致相关人员经费较上年减少；2.本年减少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口岸防疫检测中心改造提升建设项目。</w:t>
      </w:r>
      <w:r>
        <w:rPr>
          <w:rFonts w:ascii="仿宋_GB2312" w:hAnsi="仿宋_GB2312" w:eastAsia="仿宋_GB2312"/>
          <w:b/>
          <w:sz w:val="32"/>
        </w:rPr>
        <w:t>与年初预算相比,</w:t>
      </w:r>
      <w:r>
        <w:rPr>
          <w:rFonts w:ascii="仿宋_GB2312" w:hAnsi="仿宋_GB2312" w:eastAsia="仿宋_GB2312"/>
          <w:b w:val="0"/>
          <w:sz w:val="32"/>
        </w:rPr>
        <w:t>年初预算数1,413.95万元，决算数2,277.99万元，预决算差异率61.11%，主要原因是：年中追加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方舱隔离点、方舱医院建设项目工程款，医疗废物处理项目工程款等项目，导致预决算差异。</w:t>
      </w:r>
    </w:p>
    <w:p w14:paraId="5C1319F8">
      <w:pPr>
        <w:spacing w:line="640" w:lineRule="exact"/>
        <w:ind w:firstLine="640"/>
        <w:jc w:val="both"/>
        <w:outlineLvl w:val="3"/>
      </w:pPr>
      <w:r>
        <w:rPr>
          <w:rFonts w:ascii="楷体_GB2312" w:hAnsi="楷体_GB2312" w:eastAsia="楷体_GB2312"/>
          <w:b/>
          <w:sz w:val="32"/>
        </w:rPr>
        <w:t>（二）一般公共预算财政拨款支出决算结构情况</w:t>
      </w:r>
    </w:p>
    <w:p w14:paraId="1E041598">
      <w:pPr>
        <w:spacing w:line="580" w:lineRule="exact"/>
        <w:ind w:firstLine="640"/>
        <w:jc w:val="both"/>
      </w:pPr>
      <w:r>
        <w:rPr>
          <w:rFonts w:ascii="仿宋_GB2312" w:hAnsi="仿宋_GB2312" w:eastAsia="仿宋_GB2312"/>
          <w:b w:val="0"/>
          <w:sz w:val="32"/>
        </w:rPr>
        <w:t>1.社会保障和就业支出(类)121.17万元,占5.32%。</w:t>
      </w:r>
    </w:p>
    <w:p w14:paraId="15138655">
      <w:pPr>
        <w:spacing w:line="580" w:lineRule="exact"/>
        <w:ind w:firstLine="640"/>
        <w:jc w:val="both"/>
      </w:pPr>
      <w:r>
        <w:rPr>
          <w:rFonts w:ascii="仿宋_GB2312" w:hAnsi="仿宋_GB2312" w:eastAsia="仿宋_GB2312"/>
          <w:b w:val="0"/>
          <w:sz w:val="32"/>
        </w:rPr>
        <w:t>2.卫生健康支出(类)2,151.84万元,占94.46%。</w:t>
      </w:r>
    </w:p>
    <w:p w14:paraId="3F3C2B4E">
      <w:pPr>
        <w:spacing w:line="580" w:lineRule="exact"/>
        <w:ind w:firstLine="640"/>
        <w:jc w:val="both"/>
      </w:pPr>
      <w:r>
        <w:rPr>
          <w:rFonts w:ascii="仿宋_GB2312" w:hAnsi="仿宋_GB2312" w:eastAsia="仿宋_GB2312"/>
          <w:b w:val="0"/>
          <w:sz w:val="32"/>
        </w:rPr>
        <w:t>3.其他支出(类)4.98万元,占0.22%。</w:t>
      </w:r>
    </w:p>
    <w:p w14:paraId="0867B1D4">
      <w:pPr>
        <w:spacing w:line="640" w:lineRule="exact"/>
        <w:ind w:firstLine="640"/>
        <w:jc w:val="both"/>
        <w:outlineLvl w:val="3"/>
      </w:pPr>
      <w:r>
        <w:rPr>
          <w:rFonts w:ascii="楷体_GB2312" w:hAnsi="楷体_GB2312" w:eastAsia="楷体_GB2312"/>
          <w:b/>
          <w:sz w:val="32"/>
        </w:rPr>
        <w:t>（三）一般公共预算财政拨款支出决算具体情况</w:t>
      </w:r>
    </w:p>
    <w:p w14:paraId="0D840FC1">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0.00万元，比上年决算减少1.95万元，下降100.00%,主要原因是：本年功能科目调整，行政单位离退休上年度单独列支，本年调整至主科目列支，导致经费较上年减少。</w:t>
      </w:r>
    </w:p>
    <w:p w14:paraId="4C6A0370">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0.00万元，比上年决算减少6.13万元，下降100.00%,主要原因是：本年功能科目调整，事业单位离退休上年度单独列支，本年调整至主科目列支，导致经费较上年减少。</w:t>
      </w:r>
    </w:p>
    <w:p w14:paraId="7B0EF90E">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108.77万元，比上年决算增加5.03万元，增长4.85%,主要原因是：本年在职人员工资基数调增，养老缴费基数上涨，相应支出增加。</w:t>
      </w:r>
    </w:p>
    <w:p w14:paraId="72D07EF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12.40万元，比上年决算减少5.48万元，下降30.65%,主要原因是：本年辞职人员较上年减少，导致职业年金缴费支出减少。</w:t>
      </w:r>
    </w:p>
    <w:p w14:paraId="727E77BD">
      <w:pPr>
        <w:spacing w:line="580" w:lineRule="exact"/>
        <w:ind w:firstLine="640"/>
        <w:jc w:val="both"/>
      </w:pPr>
      <w:r>
        <w:rPr>
          <w:rFonts w:ascii="仿宋_GB2312" w:hAnsi="仿宋_GB2312" w:eastAsia="仿宋_GB2312"/>
          <w:b w:val="0"/>
          <w:sz w:val="32"/>
        </w:rPr>
        <w:t>5.社会保障和就业支出(类)社会福利(款)殡葬(项):支出决算数为0.00万元，比上年决算减少24.83万元，下降100.00%,主要原因是：本年无死亡人员，减少丧葬费、一次性抚恤金支出。</w:t>
      </w:r>
    </w:p>
    <w:p w14:paraId="08285534">
      <w:pPr>
        <w:spacing w:line="580" w:lineRule="exact"/>
        <w:ind w:firstLine="640"/>
        <w:jc w:val="both"/>
      </w:pPr>
      <w:r>
        <w:rPr>
          <w:rFonts w:ascii="仿宋_GB2312" w:hAnsi="仿宋_GB2312" w:eastAsia="仿宋_GB2312"/>
          <w:b w:val="0"/>
          <w:sz w:val="32"/>
        </w:rPr>
        <w:t>6.卫生健康支出(类)卫生健康管理事务(款)行政运行(项):支出决算数为441.89万元，比上年决算减少28.56万元，下降6.07%,主要原因是：本年行政在职人员减少，相应人员经费较上年减少。</w:t>
      </w:r>
    </w:p>
    <w:p w14:paraId="624CB810">
      <w:pPr>
        <w:spacing w:line="580" w:lineRule="exact"/>
        <w:ind w:firstLine="640"/>
        <w:jc w:val="both"/>
      </w:pPr>
      <w:r>
        <w:rPr>
          <w:rFonts w:ascii="仿宋_GB2312" w:hAnsi="仿宋_GB2312" w:eastAsia="仿宋_GB2312"/>
          <w:b w:val="0"/>
          <w:sz w:val="32"/>
        </w:rPr>
        <w:t>7.卫生健康支出(类)卫生健康管理事务(款)其他卫生健康管理事务支出(项):支出决算数为3.61万元，比上年决算减少1,547.51万元，下降99.77%,主要原因是：本年减少疾控中心建设项目、一够三化等基建项目资金。</w:t>
      </w:r>
    </w:p>
    <w:p w14:paraId="41EB15E0">
      <w:pPr>
        <w:spacing w:line="580" w:lineRule="exact"/>
        <w:ind w:firstLine="640"/>
        <w:jc w:val="both"/>
      </w:pPr>
      <w:r>
        <w:rPr>
          <w:rFonts w:ascii="仿宋_GB2312" w:hAnsi="仿宋_GB2312" w:eastAsia="仿宋_GB2312"/>
          <w:b w:val="0"/>
          <w:sz w:val="32"/>
        </w:rPr>
        <w:t>8.卫生健康支出(类)基层医疗卫生机构(款)乡镇卫生院(项):支出决算数为631.70万元，比上年决算减少61.00万元，下降8.81%,主要原因是：本年减少乡镇卫生院人员工资。</w:t>
      </w:r>
    </w:p>
    <w:p w14:paraId="34EE1F4B">
      <w:pPr>
        <w:spacing w:line="580" w:lineRule="exact"/>
        <w:ind w:firstLine="640"/>
        <w:jc w:val="both"/>
      </w:pPr>
      <w:r>
        <w:rPr>
          <w:rFonts w:ascii="仿宋_GB2312" w:hAnsi="仿宋_GB2312" w:eastAsia="仿宋_GB2312"/>
          <w:b w:val="0"/>
          <w:sz w:val="32"/>
        </w:rPr>
        <w:t>9.卫生健康支出(类)基层医疗卫生机构(款)其他基层医疗卫生机构支出(项):支出决算数为5.70万元，比上年决算减少41.68万元，下降87.97%,主要原因是：本年减少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库克西力克乡卫生室内装修项目工程款。</w:t>
      </w:r>
    </w:p>
    <w:p w14:paraId="7CCF08A3">
      <w:pPr>
        <w:spacing w:line="580" w:lineRule="exact"/>
        <w:ind w:firstLine="640"/>
        <w:jc w:val="both"/>
      </w:pPr>
      <w:r>
        <w:rPr>
          <w:rFonts w:ascii="仿宋_GB2312" w:hAnsi="仿宋_GB2312" w:eastAsia="仿宋_GB2312"/>
          <w:b w:val="0"/>
          <w:sz w:val="32"/>
        </w:rPr>
        <w:t>10.卫生健康支出(类)公共卫生(款)基本公共卫生服务(项):支出决算数为7.52万元，比上年决算减少0.08万元，下降1.05%,主要原因是：本年基本公共卫生服务项目资金较上年减少。</w:t>
      </w:r>
    </w:p>
    <w:p w14:paraId="190A4378">
      <w:pPr>
        <w:spacing w:line="580" w:lineRule="exact"/>
        <w:ind w:firstLine="640"/>
        <w:jc w:val="both"/>
      </w:pPr>
      <w:r>
        <w:rPr>
          <w:rFonts w:ascii="仿宋_GB2312" w:hAnsi="仿宋_GB2312" w:eastAsia="仿宋_GB2312"/>
          <w:b w:val="0"/>
          <w:sz w:val="32"/>
        </w:rPr>
        <w:t>11.卫生健康支出(类)公共卫生(款)突发公共卫生事件应急处理(项):支出决算数为0.00万元，比上年决算减少145.47万元，下降100.00%,主要原因是：减少自治区医务人员临时性工作补助项目、YQ防控财力补助项目、医务人员临时性工作补助项目。</w:t>
      </w:r>
    </w:p>
    <w:p w14:paraId="0C04E666">
      <w:pPr>
        <w:spacing w:line="580" w:lineRule="exact"/>
        <w:ind w:firstLine="640"/>
        <w:jc w:val="both"/>
      </w:pPr>
      <w:r>
        <w:rPr>
          <w:rFonts w:ascii="仿宋_GB2312" w:hAnsi="仿宋_GB2312" w:eastAsia="仿宋_GB2312"/>
          <w:b w:val="0"/>
          <w:sz w:val="32"/>
        </w:rPr>
        <w:t>12.卫生健康支出(类)</w:t>
      </w:r>
      <w:r>
        <w:rPr>
          <w:rFonts w:hint="eastAsia" w:ascii="仿宋_GB2312" w:hAnsi="仿宋_GB2312" w:eastAsia="仿宋_GB2312"/>
          <w:b w:val="0"/>
          <w:sz w:val="32"/>
          <w:lang w:eastAsia="zh-CN"/>
        </w:rPr>
        <w:t>JHSY</w:t>
      </w:r>
      <w:r>
        <w:rPr>
          <w:rFonts w:ascii="仿宋_GB2312" w:hAnsi="仿宋_GB2312" w:eastAsia="仿宋_GB2312"/>
          <w:b w:val="0"/>
          <w:sz w:val="32"/>
        </w:rPr>
        <w:t>事务(款)</w:t>
      </w:r>
      <w:r>
        <w:rPr>
          <w:rFonts w:hint="eastAsia" w:ascii="仿宋_GB2312" w:hAnsi="仿宋_GB2312" w:eastAsia="仿宋_GB2312"/>
          <w:b w:val="0"/>
          <w:sz w:val="32"/>
          <w:lang w:eastAsia="zh-CN"/>
        </w:rPr>
        <w:t>JHSY</w:t>
      </w:r>
      <w:r>
        <w:rPr>
          <w:rFonts w:ascii="仿宋_GB2312" w:hAnsi="仿宋_GB2312" w:eastAsia="仿宋_GB2312"/>
          <w:b w:val="0"/>
          <w:sz w:val="32"/>
        </w:rPr>
        <w:t>服务(项):支出决算数为415.45万元，比上年决算减少81.08万元，下降16.33%,主要原因是：享受JHSY类补贴人数较上年减少，经费减少。</w:t>
      </w:r>
    </w:p>
    <w:p w14:paraId="76A84CDC">
      <w:pPr>
        <w:spacing w:line="580" w:lineRule="exact"/>
        <w:ind w:firstLine="640"/>
        <w:jc w:val="both"/>
      </w:pPr>
      <w:r>
        <w:rPr>
          <w:rFonts w:ascii="仿宋_GB2312" w:hAnsi="仿宋_GB2312" w:eastAsia="仿宋_GB2312"/>
          <w:b w:val="0"/>
          <w:sz w:val="32"/>
        </w:rPr>
        <w:t>13.卫生健康支出(类)行政事业单位医疗(款)公务员医疗补助(项):支出决算数为3.87万元，比上年决算减少2.77万元，下降41.72%,主要原因是：本年减少行政人员，公务员医疗补助较上年减少。</w:t>
      </w:r>
    </w:p>
    <w:p w14:paraId="2899685F">
      <w:pPr>
        <w:spacing w:line="580" w:lineRule="exact"/>
        <w:ind w:firstLine="640"/>
        <w:jc w:val="both"/>
      </w:pPr>
      <w:r>
        <w:rPr>
          <w:rFonts w:ascii="仿宋_GB2312" w:hAnsi="仿宋_GB2312" w:eastAsia="仿宋_GB2312"/>
          <w:b w:val="0"/>
          <w:sz w:val="32"/>
        </w:rPr>
        <w:t>14.卫生健康支出(类)其他卫生健康支出(款)其他卫生健康支出(项):支出决算数为642.11万元，比上年决算增加568.78万元，增长775.64%,主要原因是：本年增加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方舱隔离点、方舱医院建设项目工程款、</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疾病预防控制中心建设项目等。</w:t>
      </w:r>
    </w:p>
    <w:p w14:paraId="1BD41285">
      <w:pPr>
        <w:spacing w:line="580" w:lineRule="exact"/>
        <w:ind w:firstLine="640"/>
        <w:jc w:val="both"/>
      </w:pPr>
      <w:r>
        <w:rPr>
          <w:rFonts w:ascii="仿宋_GB2312" w:hAnsi="仿宋_GB2312" w:eastAsia="仿宋_GB2312"/>
          <w:b w:val="0"/>
          <w:sz w:val="32"/>
        </w:rPr>
        <w:t>15.其他支出(类)其他支出(款)其他支出(项):支出决算数为4.98万元，比上年决算增加4.98万元，增长100.00%,主要原因是：本年增加2024年为民办实事工作经费。</w:t>
      </w:r>
    </w:p>
    <w:p w14:paraId="51E199B9">
      <w:pPr>
        <w:spacing w:line="640" w:lineRule="exact"/>
        <w:ind w:firstLine="640"/>
        <w:jc w:val="both"/>
        <w:outlineLvl w:val="2"/>
      </w:pPr>
      <w:r>
        <w:rPr>
          <w:rFonts w:ascii="黑体" w:hAnsi="黑体" w:eastAsia="黑体"/>
          <w:sz w:val="32"/>
        </w:rPr>
        <w:t>六、一般公共预算财政拨款基本支出决算情况说明</w:t>
      </w:r>
    </w:p>
    <w:p w14:paraId="38B7D3C1">
      <w:pPr>
        <w:spacing w:line="580" w:lineRule="exact"/>
        <w:ind w:firstLine="640"/>
        <w:jc w:val="both"/>
      </w:pPr>
      <w:r>
        <w:rPr>
          <w:rFonts w:ascii="仿宋_GB2312" w:hAnsi="仿宋_GB2312" w:eastAsia="仿宋_GB2312"/>
          <w:b w:val="0"/>
          <w:sz w:val="32"/>
        </w:rPr>
        <w:t>2024年度一般公共预算财政拨款基本支出1,198.63万元，其中：</w:t>
      </w:r>
      <w:r>
        <w:rPr>
          <w:rFonts w:ascii="仿宋_GB2312" w:hAnsi="仿宋_GB2312" w:eastAsia="仿宋_GB2312"/>
          <w:b/>
          <w:sz w:val="32"/>
        </w:rPr>
        <w:t>人员经费1,165.50万元，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7C4B385B">
      <w:pPr>
        <w:spacing w:line="580" w:lineRule="exact"/>
        <w:ind w:firstLine="640"/>
        <w:jc w:val="both"/>
      </w:pPr>
      <w:r>
        <w:rPr>
          <w:rFonts w:ascii="仿宋_GB2312" w:hAnsi="仿宋_GB2312" w:eastAsia="仿宋_GB2312"/>
          <w:b/>
          <w:sz w:val="32"/>
        </w:rPr>
        <w:t>公用经费33.13万元，</w:t>
      </w:r>
      <w:r>
        <w:rPr>
          <w:rFonts w:ascii="仿宋_GB2312" w:hAnsi="仿宋_GB2312" w:eastAsia="仿宋_GB2312"/>
          <w:b w:val="0"/>
          <w:sz w:val="32"/>
        </w:rPr>
        <w:t>包括：办公费、邮电费、取暖费、差旅费、维修（护）费、公务用车运行维护费、办公设备购置。</w:t>
      </w:r>
    </w:p>
    <w:p w14:paraId="102A7593">
      <w:pPr>
        <w:spacing w:line="640" w:lineRule="exact"/>
        <w:ind w:firstLine="640"/>
        <w:jc w:val="both"/>
        <w:outlineLvl w:val="2"/>
      </w:pPr>
      <w:r>
        <w:rPr>
          <w:rFonts w:ascii="黑体" w:hAnsi="黑体" w:eastAsia="黑体"/>
          <w:sz w:val="32"/>
        </w:rPr>
        <w:t>七、政府性基金预算财政拨款收入支出决算情况说明</w:t>
      </w:r>
    </w:p>
    <w:p w14:paraId="7B1DF6D4">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1349C66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减少1.30万元，下降100.00%，主要原因是：本年减少南疆四地州农村妇女LA检查项目。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w:t>
      </w:r>
      <w:r>
        <w:rPr>
          <w:rFonts w:hint="eastAsia" w:ascii="仿宋_GB2312" w:hAnsi="仿宋_GB2312" w:eastAsia="仿宋_GB2312"/>
          <w:b w:val="0"/>
          <w:sz w:val="32"/>
          <w:lang w:val="en-US" w:eastAsia="zh-CN"/>
        </w:rPr>
        <w:t>预算</w:t>
      </w:r>
      <w:r>
        <w:rPr>
          <w:rFonts w:ascii="仿宋_GB2312" w:hAnsi="仿宋_GB2312" w:eastAsia="仿宋_GB2312"/>
          <w:b w:val="0"/>
          <w:sz w:val="32"/>
        </w:rPr>
        <w:t>。</w:t>
      </w:r>
    </w:p>
    <w:p w14:paraId="75F745C4">
      <w:pPr>
        <w:spacing w:line="580" w:lineRule="exact"/>
        <w:ind w:firstLine="640"/>
        <w:jc w:val="both"/>
      </w:pPr>
      <w:r>
        <w:rPr>
          <w:rFonts w:ascii="仿宋_GB2312" w:hAnsi="仿宋_GB2312" w:eastAsia="仿宋_GB2312"/>
          <w:b w:val="0"/>
          <w:sz w:val="32"/>
        </w:rPr>
        <w:t>政府性基金预算财政拨款支出0.00万元。</w:t>
      </w:r>
    </w:p>
    <w:p w14:paraId="1F5D994C">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1.其他支出(类)彩票公益金安排的支出(款)用于城乡医疗救助的彩票公益金支出(项):支出决算数为0.00万元，比上年决算减少1.30万元，下降100.00%,主要原因是：本年减少南疆四地州农村妇女LA检查项目。</w:t>
      </w:r>
    </w:p>
    <w:p w14:paraId="7DAFF73D">
      <w:pPr>
        <w:spacing w:line="640" w:lineRule="exact"/>
        <w:ind w:firstLine="640"/>
        <w:jc w:val="both"/>
        <w:outlineLvl w:val="2"/>
      </w:pPr>
      <w:r>
        <w:rPr>
          <w:rFonts w:ascii="黑体" w:hAnsi="黑体" w:eastAsia="黑体"/>
          <w:sz w:val="32"/>
        </w:rPr>
        <w:t>八、国有资本经营预算财政拨款收入支出决算情况说明</w:t>
      </w:r>
    </w:p>
    <w:p w14:paraId="36EB4D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A6DBF29">
      <w:pPr>
        <w:spacing w:line="640" w:lineRule="exact"/>
        <w:ind w:firstLine="640"/>
        <w:jc w:val="both"/>
        <w:outlineLvl w:val="2"/>
      </w:pPr>
      <w:r>
        <w:rPr>
          <w:rFonts w:ascii="黑体" w:hAnsi="黑体" w:eastAsia="黑体"/>
          <w:sz w:val="32"/>
        </w:rPr>
        <w:t>九、财政拨款“三公”经费支出决算情况说明</w:t>
      </w:r>
    </w:p>
    <w:p w14:paraId="79B79D24">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5.60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0F1242A4">
      <w:pPr>
        <w:spacing w:line="580" w:lineRule="exact"/>
        <w:ind w:firstLine="640"/>
        <w:jc w:val="both"/>
      </w:pPr>
      <w:r>
        <w:rPr>
          <w:rFonts w:ascii="仿宋_GB2312" w:hAnsi="仿宋_GB2312" w:eastAsia="仿宋_GB2312"/>
          <w:b/>
          <w:sz w:val="32"/>
        </w:rPr>
        <w:t>具体情况如下：</w:t>
      </w:r>
    </w:p>
    <w:p w14:paraId="19CCDEA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3E3FDE4">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公务用车加油费、维修维护费、车辆保险费、过路费等。公务用车购置数0辆，公务用车保有量9辆。国有资产占用情况中固定资产车辆9辆，与公务用车保有量差异原因是：本单位固定资产车辆与公务用车保有量一致无差异。</w:t>
      </w:r>
    </w:p>
    <w:p w14:paraId="16968D6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28D523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5.60万元，决算数5.60万元，预决算差异率0.00%，主要原因是：严格按照预算执行，预决算无差异。公务接待费全年预算数0.00万元，决算数0.00万元，预决算差异率0.00%，主要原因是：本单位无公务接待费。</w:t>
      </w:r>
    </w:p>
    <w:p w14:paraId="1519BD64">
      <w:pPr>
        <w:spacing w:line="640" w:lineRule="exact"/>
        <w:ind w:firstLine="640"/>
        <w:jc w:val="both"/>
        <w:outlineLvl w:val="2"/>
      </w:pPr>
      <w:r>
        <w:rPr>
          <w:rFonts w:ascii="黑体" w:hAnsi="黑体" w:eastAsia="黑体"/>
          <w:sz w:val="32"/>
        </w:rPr>
        <w:t>十、其他重要事项的情况说明</w:t>
      </w:r>
    </w:p>
    <w:p w14:paraId="5EA209C1">
      <w:pPr>
        <w:spacing w:line="640" w:lineRule="exact"/>
        <w:ind w:firstLine="640"/>
        <w:jc w:val="both"/>
        <w:outlineLvl w:val="3"/>
      </w:pPr>
      <w:r>
        <w:rPr>
          <w:rFonts w:ascii="楷体_GB2312" w:hAnsi="楷体_GB2312" w:eastAsia="楷体_GB2312"/>
          <w:b/>
          <w:sz w:val="32"/>
        </w:rPr>
        <w:t>（一）机关运行经费及公用经费支出情况</w:t>
      </w:r>
    </w:p>
    <w:p w14:paraId="0D848F72">
      <w:pPr>
        <w:spacing w:line="580" w:lineRule="exact"/>
        <w:ind w:firstLine="640"/>
        <w:jc w:val="both"/>
      </w:pPr>
      <w:r>
        <w:rPr>
          <w:rFonts w:ascii="仿宋_GB2312" w:hAnsi="仿宋_GB2312" w:eastAsia="仿宋_GB2312"/>
          <w:b w:val="0"/>
          <w:sz w:val="32"/>
        </w:rPr>
        <w:t>2024年度塔什库尔干塔吉克自治县卫生健康委员会（行政单位和参照公务员法管理事业单位）机关运行经费支出33.13万元，比上年减少1.26万元，下降3.66%，主要原因是：本年行政人员减少，办公费减少，导致机关运行经费支出较上年减少。</w:t>
      </w:r>
    </w:p>
    <w:p w14:paraId="27726150">
      <w:pPr>
        <w:spacing w:line="640" w:lineRule="exact"/>
        <w:ind w:firstLine="640"/>
        <w:jc w:val="both"/>
        <w:outlineLvl w:val="3"/>
      </w:pPr>
      <w:r>
        <w:rPr>
          <w:rFonts w:ascii="楷体_GB2312" w:hAnsi="楷体_GB2312" w:eastAsia="楷体_GB2312"/>
          <w:b/>
          <w:sz w:val="32"/>
        </w:rPr>
        <w:t>（二）政府采购情况</w:t>
      </w:r>
    </w:p>
    <w:p w14:paraId="53B1E52E">
      <w:pPr>
        <w:spacing w:line="580" w:lineRule="exact"/>
        <w:ind w:firstLine="640"/>
        <w:jc w:val="both"/>
      </w:pPr>
      <w:r>
        <w:rPr>
          <w:rFonts w:ascii="仿宋_GB2312" w:hAnsi="仿宋_GB2312" w:eastAsia="仿宋_GB2312"/>
          <w:b w:val="0"/>
          <w:sz w:val="32"/>
        </w:rPr>
        <w:t>2024年度政府采购支出总额0.81万元，其中：政府采购货物支出0.04万元、政府采购工程支出0.00万元、政府采购服务支出0.76万元。</w:t>
      </w:r>
    </w:p>
    <w:p w14:paraId="53CDAC29">
      <w:pPr>
        <w:spacing w:line="580" w:lineRule="exact"/>
        <w:ind w:firstLine="640"/>
        <w:jc w:val="both"/>
      </w:pPr>
      <w:r>
        <w:rPr>
          <w:rFonts w:ascii="仿宋_GB2312" w:hAnsi="仿宋_GB2312" w:eastAsia="仿宋_GB2312"/>
          <w:b w:val="0"/>
          <w:sz w:val="32"/>
        </w:rPr>
        <w:t>授予中小企业合同金额0.76万元，占政府采购支出总额的93.83%，其中：授予小微企业合同金额0.76万元，占政府采购支出总额的93.83%。</w:t>
      </w:r>
    </w:p>
    <w:p w14:paraId="6E590990">
      <w:pPr>
        <w:spacing w:line="640" w:lineRule="exact"/>
        <w:ind w:firstLine="640"/>
        <w:jc w:val="both"/>
        <w:outlineLvl w:val="3"/>
      </w:pPr>
      <w:r>
        <w:rPr>
          <w:rFonts w:ascii="楷体_GB2312" w:hAnsi="楷体_GB2312" w:eastAsia="楷体_GB2312"/>
          <w:b/>
          <w:sz w:val="32"/>
        </w:rPr>
        <w:t>（三）国有资产占用情况说明</w:t>
      </w:r>
    </w:p>
    <w:p w14:paraId="7A931B85">
      <w:pPr>
        <w:spacing w:line="580" w:lineRule="exact"/>
        <w:ind w:firstLine="640"/>
        <w:jc w:val="both"/>
      </w:pPr>
      <w:r>
        <w:rPr>
          <w:rFonts w:ascii="仿宋_GB2312" w:hAnsi="仿宋_GB2312" w:eastAsia="仿宋_GB2312"/>
          <w:b w:val="0"/>
          <w:sz w:val="32"/>
        </w:rPr>
        <w:t>截至2024年12月31日，房屋1,979.46平方米，价值1,473.02万元。车辆9辆，价值136.93万元，其中：副部（省）级及以上领导用车0辆、主要负责人用车0辆、机要通信用车0辆、应急保障用车1辆、执法执勤用车0辆、特种专业技术用车1辆、离退休干部服务用车0辆、其他用车7辆，其他用车主要是：一般公务用车。单价100万元（含）以上设备（不含车辆）0台（套）。</w:t>
      </w:r>
    </w:p>
    <w:p w14:paraId="0EDB7353">
      <w:pPr>
        <w:spacing w:line="640" w:lineRule="exact"/>
        <w:ind w:firstLine="640"/>
        <w:jc w:val="both"/>
        <w:outlineLvl w:val="2"/>
      </w:pPr>
      <w:r>
        <w:rPr>
          <w:rFonts w:ascii="黑体" w:hAnsi="黑体" w:eastAsia="黑体"/>
          <w:sz w:val="32"/>
        </w:rPr>
        <w:t>十一、预算绩效的情况说明</w:t>
      </w:r>
    </w:p>
    <w:p w14:paraId="7375B5FC">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3D4FD13E">
      <w:r>
        <w:br w:type="page"/>
      </w:r>
    </w:p>
    <w:p w14:paraId="44873809">
      <w:pPr>
        <w:spacing w:line="640" w:lineRule="exact"/>
        <w:ind w:firstLine="640"/>
        <w:jc w:val="both"/>
        <w:outlineLvl w:val="2"/>
      </w:pPr>
      <w:r>
        <w:rPr>
          <w:rFonts w:ascii="黑体" w:hAnsi="黑体" w:eastAsia="黑体"/>
          <w:sz w:val="32"/>
        </w:rPr>
        <w:t>十二、其他需说明的事项</w:t>
      </w:r>
    </w:p>
    <w:p w14:paraId="00296B40">
      <w:pPr>
        <w:spacing w:line="580" w:lineRule="exact"/>
        <w:ind w:firstLine="640"/>
        <w:jc w:val="both"/>
      </w:pPr>
      <w:r>
        <w:rPr>
          <w:rFonts w:ascii="仿宋_GB2312" w:hAnsi="仿宋_GB2312" w:eastAsia="仿宋_GB2312"/>
          <w:b w:val="0"/>
          <w:sz w:val="32"/>
        </w:rPr>
        <w:t>本年度本单位整体绩效自评表由塔什库尔干塔吉克自治县卫生健康委员会(汇总)编报并公开。</w:t>
      </w:r>
    </w:p>
    <w:p w14:paraId="6BB2095A">
      <w:r>
        <w:br w:type="page"/>
      </w:r>
    </w:p>
    <w:p w14:paraId="6A5C409C">
      <w:pPr>
        <w:spacing w:line="240" w:lineRule="auto"/>
        <w:jc w:val="center"/>
        <w:outlineLvl w:val="1"/>
      </w:pPr>
      <w:r>
        <w:rPr>
          <w:rFonts w:ascii="黑体" w:hAnsi="黑体" w:eastAsia="黑体"/>
          <w:sz w:val="32"/>
        </w:rPr>
        <w:t>第三部分 专业名词解释</w:t>
      </w:r>
    </w:p>
    <w:p w14:paraId="750C111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C956AC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501E90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A64CF8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F08CB6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63569C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597582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2FB3D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BB284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AA36B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68A7E1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7991A5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F6B303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DA17D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D2A2684">
      <w:r>
        <w:br w:type="page"/>
      </w:r>
    </w:p>
    <w:p w14:paraId="4AFA00CD">
      <w:pPr>
        <w:spacing w:line="240" w:lineRule="auto"/>
        <w:jc w:val="center"/>
        <w:outlineLvl w:val="1"/>
      </w:pPr>
      <w:r>
        <w:rPr>
          <w:rFonts w:ascii="黑体" w:hAnsi="黑体" w:eastAsia="黑体"/>
          <w:sz w:val="32"/>
        </w:rPr>
        <w:t>第四部分 部门决算报表（见附表）</w:t>
      </w:r>
    </w:p>
    <w:p w14:paraId="3E90997C">
      <w:pPr>
        <w:spacing w:line="240" w:lineRule="auto"/>
        <w:ind w:firstLine="640"/>
        <w:jc w:val="both"/>
      </w:pPr>
      <w:r>
        <w:rPr>
          <w:rFonts w:ascii="仿宋_GB2312" w:hAnsi="仿宋_GB2312" w:eastAsia="仿宋_GB2312"/>
          <w:b w:val="0"/>
          <w:sz w:val="32"/>
        </w:rPr>
        <w:t>一、《收入支出决算总表》</w:t>
      </w:r>
    </w:p>
    <w:p w14:paraId="1B6600A9">
      <w:pPr>
        <w:spacing w:line="240" w:lineRule="auto"/>
        <w:ind w:firstLine="640"/>
        <w:jc w:val="both"/>
      </w:pPr>
      <w:r>
        <w:rPr>
          <w:rFonts w:ascii="仿宋_GB2312" w:hAnsi="仿宋_GB2312" w:eastAsia="仿宋_GB2312"/>
          <w:b w:val="0"/>
          <w:sz w:val="32"/>
        </w:rPr>
        <w:t>二、《收入决算表》</w:t>
      </w:r>
    </w:p>
    <w:p w14:paraId="04769C91">
      <w:pPr>
        <w:spacing w:line="240" w:lineRule="auto"/>
        <w:ind w:firstLine="640"/>
        <w:jc w:val="both"/>
      </w:pPr>
      <w:r>
        <w:rPr>
          <w:rFonts w:ascii="仿宋_GB2312" w:hAnsi="仿宋_GB2312" w:eastAsia="仿宋_GB2312"/>
          <w:b w:val="0"/>
          <w:sz w:val="32"/>
        </w:rPr>
        <w:t>三、《支出决算表》</w:t>
      </w:r>
    </w:p>
    <w:p w14:paraId="132CD732">
      <w:pPr>
        <w:spacing w:line="240" w:lineRule="auto"/>
        <w:ind w:firstLine="640"/>
        <w:jc w:val="both"/>
      </w:pPr>
      <w:r>
        <w:rPr>
          <w:rFonts w:ascii="仿宋_GB2312" w:hAnsi="仿宋_GB2312" w:eastAsia="仿宋_GB2312"/>
          <w:b w:val="0"/>
          <w:sz w:val="32"/>
        </w:rPr>
        <w:t>四、《财政拨款收入支出决算总表》</w:t>
      </w:r>
    </w:p>
    <w:p w14:paraId="551E59FD">
      <w:pPr>
        <w:spacing w:line="240" w:lineRule="auto"/>
        <w:ind w:firstLine="640"/>
        <w:jc w:val="both"/>
      </w:pPr>
      <w:r>
        <w:rPr>
          <w:rFonts w:ascii="仿宋_GB2312" w:hAnsi="仿宋_GB2312" w:eastAsia="仿宋_GB2312"/>
          <w:b w:val="0"/>
          <w:sz w:val="32"/>
        </w:rPr>
        <w:t>五、《一般公共预算财政拨款支出决算表》</w:t>
      </w:r>
    </w:p>
    <w:p w14:paraId="7C58AC92">
      <w:pPr>
        <w:spacing w:line="240" w:lineRule="auto"/>
        <w:ind w:firstLine="640"/>
        <w:jc w:val="both"/>
      </w:pPr>
      <w:r>
        <w:rPr>
          <w:rFonts w:ascii="仿宋_GB2312" w:hAnsi="仿宋_GB2312" w:eastAsia="仿宋_GB2312"/>
          <w:b w:val="0"/>
          <w:sz w:val="32"/>
        </w:rPr>
        <w:t>六、《一般公共预算财政拨款基本支出决算表》</w:t>
      </w:r>
    </w:p>
    <w:p w14:paraId="774499C4">
      <w:pPr>
        <w:spacing w:line="240" w:lineRule="auto"/>
        <w:ind w:firstLine="640"/>
        <w:jc w:val="both"/>
      </w:pPr>
      <w:r>
        <w:rPr>
          <w:rFonts w:ascii="仿宋_GB2312" w:hAnsi="仿宋_GB2312" w:eastAsia="仿宋_GB2312"/>
          <w:b w:val="0"/>
          <w:sz w:val="32"/>
        </w:rPr>
        <w:t>七、《政府性基金预算财政拨款收入支出决算表》</w:t>
      </w:r>
    </w:p>
    <w:p w14:paraId="01EBF390">
      <w:pPr>
        <w:spacing w:line="240" w:lineRule="auto"/>
        <w:ind w:firstLine="640"/>
        <w:jc w:val="both"/>
      </w:pPr>
      <w:r>
        <w:rPr>
          <w:rFonts w:ascii="仿宋_GB2312" w:hAnsi="仿宋_GB2312" w:eastAsia="仿宋_GB2312"/>
          <w:b w:val="0"/>
          <w:sz w:val="32"/>
        </w:rPr>
        <w:t>八、《国有资本经营预算财政拨款收入支出决算表》</w:t>
      </w:r>
    </w:p>
    <w:p w14:paraId="29AF7437">
      <w:pPr>
        <w:spacing w:line="240" w:lineRule="auto"/>
        <w:ind w:firstLine="640"/>
        <w:jc w:val="both"/>
      </w:pPr>
      <w:r>
        <w:rPr>
          <w:rFonts w:ascii="仿宋_GB2312" w:hAnsi="仿宋_GB2312" w:eastAsia="仿宋_GB2312"/>
          <w:b w:val="0"/>
          <w:sz w:val="32"/>
        </w:rPr>
        <w:t>九、《财政拨款“三公”经费支出决算表》</w:t>
      </w:r>
    </w:p>
    <w:p w14:paraId="2FC68B87">
      <w:pPr>
        <w:spacing w:line="240" w:lineRule="auto"/>
        <w:ind w:firstLine="640"/>
        <w:jc w:val="both"/>
      </w:pPr>
    </w:p>
    <w:p w14:paraId="1AD6DCD7">
      <w:pPr>
        <w:spacing w:line="240" w:lineRule="auto"/>
        <w:ind w:firstLine="640"/>
        <w:jc w:val="both"/>
      </w:pPr>
    </w:p>
    <w:p w14:paraId="4F49F571">
      <w:pPr>
        <w:spacing w:line="240" w:lineRule="auto"/>
        <w:ind w:firstLine="640"/>
        <w:jc w:val="both"/>
      </w:pPr>
    </w:p>
    <w:p w14:paraId="59B46ED2">
      <w:pPr>
        <w:spacing w:line="240" w:lineRule="auto"/>
        <w:ind w:firstLine="640"/>
        <w:jc w:val="both"/>
      </w:pPr>
    </w:p>
    <w:p w14:paraId="5EF354F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2642EE"/>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646911"/>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3576C9"/>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3101</Words>
  <Characters>3395</Characters>
  <Lines>0</Lines>
  <Paragraphs>0</Paragraphs>
  <TotalTime>3</TotalTime>
  <ScaleCrop>false</ScaleCrop>
  <LinksUpToDate>false</LinksUpToDate>
  <CharactersWithSpaces>3403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