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塔什库尔干塔吉克自治县妇幼保健计划生育服务中心2024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75A59D2">
      <w:r>
        <w:br w:type="page"/>
      </w:r>
    </w:p>
    <w:p w14:paraId="216CE8A0">
      <w:pPr>
        <w:spacing w:line="640" w:lineRule="exact"/>
        <w:jc w:val="center"/>
        <w:outlineLvl w:val="1"/>
      </w:pPr>
      <w:r>
        <w:rPr>
          <w:rFonts w:ascii="黑体" w:hAnsi="黑体" w:eastAsia="黑体"/>
          <w:sz w:val="32"/>
        </w:rPr>
        <w:t>第一部分 单位概况</w:t>
      </w:r>
    </w:p>
    <w:p w14:paraId="7995A5D0">
      <w:pPr>
        <w:spacing w:line="640" w:lineRule="exact"/>
        <w:ind w:firstLine="640"/>
        <w:jc w:val="both"/>
        <w:outlineLvl w:val="2"/>
      </w:pPr>
      <w:r>
        <w:rPr>
          <w:rFonts w:ascii="黑体" w:hAnsi="黑体" w:eastAsia="黑体"/>
          <w:sz w:val="32"/>
        </w:rPr>
        <w:t>一、主要职能</w:t>
      </w:r>
    </w:p>
    <w:p w14:paraId="44E09850">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掌握本辖区妇女儿童健康状况及影响因素，制定本辖区妇幼卫生工作的相关政策、技术规范及各项规章制度。</w:t>
      </w:r>
    </w:p>
    <w:p w14:paraId="7CA5FB70">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开展《中华人民共和国母婴保健法》及其实施办法和母婴保健有关的法律法规、规范、管理办法等的宣传、贯彻和落实。</w:t>
      </w:r>
    </w:p>
    <w:p w14:paraId="0736FDEC">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对辖区内母婴保健相关医学证件的领取、发放和使用、管理等进行督导检查。</w:t>
      </w:r>
    </w:p>
    <w:p w14:paraId="3A418883">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负责本辖区孕产妇死亡、婴儿及5岁以下儿童死亡出生缺陷监测，做好妇幼卫生服务及技术管理等信息的收集、管理、统计、分析、分析、质量控制和汇总上报。</w:t>
      </w:r>
    </w:p>
    <w:p w14:paraId="4E425EC3">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开展妇女保健服务，包括青春期保健、婚前和孕前保健、孕产期保健、更年期保健、老年期保健、重点加强心理卫生咨询，营养指导，生殖道感染，性传播疾病等妇女常见病防治。</w:t>
      </w:r>
    </w:p>
    <w:p w14:paraId="7F9E8A29">
      <w:pPr>
        <w:spacing w:line="640" w:lineRule="exact"/>
        <w:ind w:firstLine="640"/>
        <w:jc w:val="both"/>
        <w:outlineLvl w:val="2"/>
      </w:pPr>
      <w:r>
        <w:rPr>
          <w:rFonts w:ascii="黑体" w:hAnsi="黑体" w:eastAsia="黑体"/>
          <w:sz w:val="32"/>
        </w:rPr>
        <w:t>二、机构设置及人员情况</w:t>
      </w:r>
    </w:p>
    <w:p w14:paraId="13483A25">
      <w:pPr>
        <w:spacing w:line="580" w:lineRule="exact"/>
        <w:ind w:firstLine="640"/>
        <w:jc w:val="both"/>
      </w:pPr>
      <w:r>
        <w:rPr>
          <w:rFonts w:ascii="仿宋_GB2312" w:hAnsi="仿宋_GB2312" w:eastAsia="仿宋_GB2312"/>
          <w:sz w:val="32"/>
        </w:rPr>
        <w:t>塔什库尔干塔吉克自治县妇幼保健</w:t>
      </w:r>
      <w:r>
        <w:rPr>
          <w:rFonts w:hint="eastAsia" w:ascii="仿宋_GB2312" w:hAnsi="仿宋_GB2312" w:eastAsia="仿宋_GB2312"/>
          <w:sz w:val="32"/>
          <w:lang w:val="en-US" w:eastAsia="zh-CN"/>
        </w:rPr>
        <w:t>计划生育</w:t>
      </w:r>
      <w:r>
        <w:rPr>
          <w:rFonts w:ascii="仿宋_GB2312" w:hAnsi="仿宋_GB2312" w:eastAsia="仿宋_GB2312"/>
          <w:sz w:val="32"/>
        </w:rPr>
        <w:t>服务中心2024年度，实有人数15人，其中：在职人员11人，增加2人；离休人员0人，增加0人；退休人员4人,增加0人。</w:t>
      </w:r>
    </w:p>
    <w:p w14:paraId="68D95157">
      <w:pPr>
        <w:spacing w:line="580" w:lineRule="exact"/>
        <w:ind w:firstLine="640"/>
        <w:jc w:val="both"/>
      </w:pPr>
      <w:r>
        <w:rPr>
          <w:rFonts w:ascii="仿宋_GB2312" w:hAnsi="仿宋_GB2312" w:eastAsia="仿宋_GB2312"/>
          <w:sz w:val="32"/>
        </w:rPr>
        <w:t>单位无下属预算单位，下设11个科室，分别是：行政办公室、妇女保健科、儿童保健科、婚前体检办公室、儿科、孕期保健科、妇科门诊、儿童洗浴中心、检验科、超声科、国免优育办公室。</w:t>
      </w:r>
    </w:p>
    <w:p w14:paraId="209DE670">
      <w:pPr>
        <w:spacing w:line="240" w:lineRule="auto"/>
        <w:jc w:val="center"/>
        <w:outlineLvl w:val="1"/>
      </w:pPr>
      <w:r>
        <w:rPr>
          <w:rFonts w:ascii="黑体" w:hAnsi="黑体" w:eastAsia="黑体"/>
          <w:sz w:val="32"/>
        </w:rPr>
        <w:t>第二部分 部门决算情况说明</w:t>
      </w:r>
    </w:p>
    <w:p w14:paraId="7BF780AB">
      <w:pPr>
        <w:spacing w:line="640" w:lineRule="exact"/>
        <w:ind w:firstLine="640"/>
        <w:jc w:val="both"/>
        <w:outlineLvl w:val="2"/>
      </w:pPr>
      <w:r>
        <w:rPr>
          <w:rFonts w:ascii="黑体" w:hAnsi="黑体" w:eastAsia="黑体"/>
          <w:sz w:val="32"/>
        </w:rPr>
        <w:t>一、收入支出决算总体情况说明</w:t>
      </w:r>
    </w:p>
    <w:p w14:paraId="40851250">
      <w:pPr>
        <w:spacing w:line="580" w:lineRule="exact"/>
        <w:ind w:firstLine="640"/>
        <w:jc w:val="both"/>
      </w:pPr>
      <w:r>
        <w:rPr>
          <w:rFonts w:ascii="仿宋_GB2312" w:hAnsi="仿宋_GB2312" w:eastAsia="仿宋_GB2312"/>
          <w:b/>
          <w:sz w:val="32"/>
        </w:rPr>
        <w:t>2024年度收入总计248.48万元，</w:t>
      </w:r>
      <w:r>
        <w:rPr>
          <w:rFonts w:ascii="仿宋_GB2312" w:hAnsi="仿宋_GB2312" w:eastAsia="仿宋_GB2312"/>
          <w:b w:val="0"/>
          <w:sz w:val="32"/>
        </w:rPr>
        <w:t>其中：本年收入合计248.48万元，使用非财政拨款结余（含专用结余）0.00万元，年初结转和结余0.00万元。</w:t>
      </w:r>
    </w:p>
    <w:p w14:paraId="5F6C266A">
      <w:pPr>
        <w:spacing w:line="580" w:lineRule="exact"/>
        <w:ind w:firstLine="640"/>
        <w:jc w:val="both"/>
      </w:pPr>
      <w:r>
        <w:rPr>
          <w:rFonts w:ascii="仿宋_GB2312" w:hAnsi="仿宋_GB2312" w:eastAsia="仿宋_GB2312"/>
          <w:b/>
          <w:sz w:val="32"/>
        </w:rPr>
        <w:t>2024年度支出总计248.48万元，</w:t>
      </w:r>
      <w:r>
        <w:rPr>
          <w:rFonts w:ascii="仿宋_GB2312" w:hAnsi="仿宋_GB2312" w:eastAsia="仿宋_GB2312"/>
          <w:b w:val="0"/>
          <w:sz w:val="32"/>
        </w:rPr>
        <w:t>其中：本年支出合计248.48万元，结余分配0.00万元，年末结转和结余0.00万元。</w:t>
      </w:r>
    </w:p>
    <w:p w14:paraId="1C33B680">
      <w:pPr>
        <w:spacing w:line="580" w:lineRule="exact"/>
        <w:ind w:firstLine="640"/>
        <w:jc w:val="both"/>
      </w:pPr>
      <w:r>
        <w:rPr>
          <w:rFonts w:ascii="仿宋_GB2312" w:hAnsi="仿宋_GB2312" w:eastAsia="仿宋_GB2312"/>
          <w:b w:val="0"/>
          <w:sz w:val="32"/>
        </w:rPr>
        <w:t>收入支出总体与上年相比，增加102.19万元，增长69.85%，主要原因是：1.本年在职人员增加，在职人员工资调增、社保、公积金基数调增，人员经费增加。2.本年增加2024年重大传染病防控经费项目、2023年中央基本公共卫生服务补助项目（第二批）、2024年中央基本公共卫生服务补助资金项目。</w:t>
      </w:r>
    </w:p>
    <w:p w14:paraId="5903786E">
      <w:pPr>
        <w:spacing w:line="640" w:lineRule="exact"/>
        <w:ind w:firstLine="640"/>
        <w:jc w:val="both"/>
        <w:outlineLvl w:val="2"/>
      </w:pPr>
      <w:r>
        <w:rPr>
          <w:rFonts w:ascii="黑体" w:hAnsi="黑体" w:eastAsia="黑体"/>
          <w:sz w:val="32"/>
        </w:rPr>
        <w:t>二、收入决算情况说明</w:t>
      </w:r>
    </w:p>
    <w:p w14:paraId="35A3F7AA">
      <w:pPr>
        <w:spacing w:line="580" w:lineRule="exact"/>
        <w:ind w:firstLine="640"/>
        <w:jc w:val="both"/>
      </w:pPr>
      <w:r>
        <w:rPr>
          <w:rFonts w:ascii="仿宋_GB2312" w:hAnsi="仿宋_GB2312" w:eastAsia="仿宋_GB2312"/>
          <w:b/>
          <w:sz w:val="32"/>
        </w:rPr>
        <w:t>本年收入248.48万元，</w:t>
      </w:r>
      <w:r>
        <w:rPr>
          <w:rFonts w:ascii="仿宋_GB2312" w:hAnsi="仿宋_GB2312" w:eastAsia="仿宋_GB2312"/>
          <w:b w:val="0"/>
          <w:sz w:val="32"/>
        </w:rPr>
        <w:t>其中：财政拨款收入248.48万元，占100.00%；上级补助收入0.00万元，占0.00%；事业收入0.00万元，占0.00%；经营收入0.00万元，占0.00%；附属单位上缴收入0.00万元，占0.00%；其他收入0.00万元，占0.00%。</w:t>
      </w:r>
    </w:p>
    <w:p w14:paraId="569C5BE0">
      <w:pPr>
        <w:spacing w:line="640" w:lineRule="exact"/>
        <w:ind w:firstLine="640"/>
        <w:jc w:val="both"/>
        <w:outlineLvl w:val="2"/>
      </w:pPr>
      <w:r>
        <w:rPr>
          <w:rFonts w:ascii="黑体" w:hAnsi="黑体" w:eastAsia="黑体"/>
          <w:sz w:val="32"/>
        </w:rPr>
        <w:t>三、支出决算情况说明</w:t>
      </w:r>
    </w:p>
    <w:p w14:paraId="75E0A128">
      <w:pPr>
        <w:spacing w:line="580" w:lineRule="exact"/>
        <w:ind w:firstLine="640"/>
        <w:jc w:val="both"/>
      </w:pPr>
      <w:r>
        <w:rPr>
          <w:rFonts w:ascii="仿宋_GB2312" w:hAnsi="仿宋_GB2312" w:eastAsia="仿宋_GB2312"/>
          <w:b/>
          <w:sz w:val="32"/>
        </w:rPr>
        <w:t>本年支出248.48万元，</w:t>
      </w:r>
      <w:r>
        <w:rPr>
          <w:rFonts w:ascii="仿宋_GB2312" w:hAnsi="仿宋_GB2312" w:eastAsia="仿宋_GB2312"/>
          <w:b w:val="0"/>
          <w:sz w:val="32"/>
        </w:rPr>
        <w:t>其中：基本支出219.17万元，占88.20%；项目支出29.31万元，占11.80%；上缴上级支出0.00万元，占0.00%；经营支出0.00万元，占0.00%；对附属单位补助支出0.00万元，占0.00%。</w:t>
      </w:r>
    </w:p>
    <w:p w14:paraId="1B3DC172">
      <w:pPr>
        <w:spacing w:line="640" w:lineRule="exact"/>
        <w:ind w:firstLine="640"/>
        <w:jc w:val="both"/>
        <w:outlineLvl w:val="2"/>
      </w:pPr>
      <w:r>
        <w:rPr>
          <w:rFonts w:ascii="黑体" w:hAnsi="黑体" w:eastAsia="黑体"/>
          <w:sz w:val="32"/>
        </w:rPr>
        <w:t>四、财政拨款收入支出决算总体情况说明</w:t>
      </w:r>
    </w:p>
    <w:p w14:paraId="0BC97D15">
      <w:pPr>
        <w:spacing w:line="580" w:lineRule="exact"/>
        <w:ind w:firstLine="640"/>
        <w:jc w:val="both"/>
      </w:pPr>
      <w:r>
        <w:rPr>
          <w:rFonts w:ascii="仿宋_GB2312" w:hAnsi="仿宋_GB2312" w:eastAsia="仿宋_GB2312"/>
          <w:b/>
          <w:sz w:val="32"/>
        </w:rPr>
        <w:t>2024年度财政拨款收入总计248.48万元，</w:t>
      </w:r>
      <w:r>
        <w:rPr>
          <w:rFonts w:ascii="仿宋_GB2312" w:hAnsi="仿宋_GB2312" w:eastAsia="仿宋_GB2312"/>
          <w:b w:val="0"/>
          <w:sz w:val="32"/>
        </w:rPr>
        <w:t>其中：年初财政拨款结转和结余0.00万元，本年财政拨款收入248.48万元。</w:t>
      </w:r>
      <w:r>
        <w:rPr>
          <w:rFonts w:ascii="仿宋_GB2312" w:hAnsi="仿宋_GB2312" w:eastAsia="仿宋_GB2312"/>
          <w:b/>
          <w:sz w:val="32"/>
        </w:rPr>
        <w:t>财政拨款支出总计248.48万元，</w:t>
      </w:r>
      <w:r>
        <w:rPr>
          <w:rFonts w:ascii="仿宋_GB2312" w:hAnsi="仿宋_GB2312" w:eastAsia="仿宋_GB2312"/>
          <w:b w:val="0"/>
          <w:sz w:val="32"/>
        </w:rPr>
        <w:t>其中：年末财政拨款结转和结余0.00万元，本年财政拨款支出248.48万元。</w:t>
      </w:r>
    </w:p>
    <w:p w14:paraId="56F7D40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102.19万元，增长69.85%，主要原因是：1.本年在职人员增加，在职人员工资调增、社保、公积金基数调增，人员经费增加。2.本年增加2024年重大传染病防控经费项目、2023年中央基本公共卫生服务补助项目（第二批）、2024年中央基本公共卫生服务补助资金项目。</w:t>
      </w:r>
      <w:r>
        <w:rPr>
          <w:rFonts w:ascii="仿宋_GB2312" w:hAnsi="仿宋_GB2312" w:eastAsia="仿宋_GB2312"/>
          <w:b/>
          <w:sz w:val="32"/>
        </w:rPr>
        <w:t>与年初预算相比，</w:t>
      </w:r>
      <w:r>
        <w:rPr>
          <w:rFonts w:ascii="仿宋_GB2312" w:hAnsi="仿宋_GB2312" w:eastAsia="仿宋_GB2312"/>
          <w:b w:val="0"/>
          <w:sz w:val="32"/>
        </w:rPr>
        <w:t>年初预算数247.31万元，决算数248.48万元，预决算差异率0.47%，主要原因是：年中追加人员工资、社保、公积金基数调增部分资金，导致预决算存在差异。</w:t>
      </w:r>
    </w:p>
    <w:p w14:paraId="3DDEDF40">
      <w:pPr>
        <w:spacing w:line="640" w:lineRule="exact"/>
        <w:ind w:firstLine="640"/>
        <w:jc w:val="both"/>
        <w:outlineLvl w:val="2"/>
      </w:pPr>
      <w:r>
        <w:rPr>
          <w:rFonts w:ascii="黑体" w:hAnsi="黑体" w:eastAsia="黑体"/>
          <w:sz w:val="32"/>
        </w:rPr>
        <w:t>五、一般公共预算财政拨款支出决算情况说明</w:t>
      </w:r>
    </w:p>
    <w:p w14:paraId="0D334817">
      <w:pPr>
        <w:spacing w:line="640" w:lineRule="exact"/>
        <w:ind w:firstLine="640"/>
        <w:jc w:val="both"/>
        <w:outlineLvl w:val="3"/>
      </w:pPr>
      <w:r>
        <w:rPr>
          <w:rFonts w:ascii="楷体_GB2312" w:hAnsi="楷体_GB2312" w:eastAsia="楷体_GB2312"/>
          <w:b/>
          <w:sz w:val="32"/>
        </w:rPr>
        <w:t>（一）一般公共预算财政拨款支出决算总体情况</w:t>
      </w:r>
    </w:p>
    <w:p w14:paraId="603E3607">
      <w:pPr>
        <w:spacing w:line="580" w:lineRule="exact"/>
        <w:ind w:firstLine="640"/>
        <w:jc w:val="both"/>
      </w:pPr>
      <w:r>
        <w:rPr>
          <w:rFonts w:ascii="仿宋_GB2312" w:hAnsi="仿宋_GB2312" w:eastAsia="仿宋_GB2312"/>
          <w:b/>
          <w:sz w:val="32"/>
        </w:rPr>
        <w:t>2024年度一般公共预算财政拨款支出247.48万元，</w:t>
      </w:r>
      <w:r>
        <w:rPr>
          <w:rFonts w:ascii="仿宋_GB2312" w:hAnsi="仿宋_GB2312" w:eastAsia="仿宋_GB2312"/>
          <w:b w:val="0"/>
          <w:sz w:val="32"/>
        </w:rPr>
        <w:t>占本年支出合计的99.60%。</w:t>
      </w:r>
      <w:r>
        <w:rPr>
          <w:rFonts w:ascii="仿宋_GB2312" w:hAnsi="仿宋_GB2312" w:eastAsia="仿宋_GB2312"/>
          <w:b/>
          <w:sz w:val="32"/>
        </w:rPr>
        <w:t>与上年相比，</w:t>
      </w:r>
      <w:r>
        <w:rPr>
          <w:rFonts w:ascii="仿宋_GB2312" w:hAnsi="仿宋_GB2312" w:eastAsia="仿宋_GB2312"/>
          <w:b w:val="0"/>
          <w:sz w:val="32"/>
        </w:rPr>
        <w:t>增加105.19万元，增长73.93%，主要原因是：1.本年在职人员增加，在职人员工资调增、社保、公积金基数调增，人员经费增加。2.本年增加2024年重大传染病防控经费项目、2023年中央基本公共卫生服务补助项目（第二批）、2024年中央基本公共卫生服务补助资金项目。</w:t>
      </w:r>
      <w:r>
        <w:rPr>
          <w:rFonts w:ascii="仿宋_GB2312" w:hAnsi="仿宋_GB2312" w:eastAsia="仿宋_GB2312"/>
          <w:b/>
          <w:sz w:val="32"/>
        </w:rPr>
        <w:t>与年初预算相比,</w:t>
      </w:r>
      <w:r>
        <w:rPr>
          <w:rFonts w:ascii="仿宋_GB2312" w:hAnsi="仿宋_GB2312" w:eastAsia="仿宋_GB2312"/>
          <w:b w:val="0"/>
          <w:sz w:val="32"/>
        </w:rPr>
        <w:t>年初预算数246.31万元，决算数247.48万元，预决算差异率0.48%，主要原因是：年中追加人员工资、社保、公积金基数调增部分资金，导致预决算存在差异。</w:t>
      </w:r>
    </w:p>
    <w:p w14:paraId="263664CC">
      <w:pPr>
        <w:spacing w:line="640" w:lineRule="exact"/>
        <w:ind w:firstLine="640"/>
        <w:jc w:val="both"/>
        <w:outlineLvl w:val="3"/>
      </w:pPr>
      <w:r>
        <w:rPr>
          <w:rFonts w:ascii="楷体_GB2312" w:hAnsi="楷体_GB2312" w:eastAsia="楷体_GB2312"/>
          <w:b/>
          <w:sz w:val="32"/>
        </w:rPr>
        <w:t>（二）一般公共预算财政拨款支出决算结构情况</w:t>
      </w:r>
    </w:p>
    <w:p w14:paraId="12A9C477">
      <w:pPr>
        <w:spacing w:line="580" w:lineRule="exact"/>
        <w:ind w:firstLine="640"/>
        <w:jc w:val="both"/>
      </w:pPr>
      <w:r>
        <w:rPr>
          <w:rFonts w:ascii="仿宋_GB2312" w:hAnsi="仿宋_GB2312" w:eastAsia="仿宋_GB2312"/>
          <w:b w:val="0"/>
          <w:sz w:val="32"/>
        </w:rPr>
        <w:t>1.社会保障和就业支出(类)22.30万元,占9.01%。</w:t>
      </w:r>
    </w:p>
    <w:p w14:paraId="1A971D4C">
      <w:pPr>
        <w:spacing w:line="580" w:lineRule="exact"/>
        <w:ind w:firstLine="640"/>
        <w:jc w:val="both"/>
      </w:pPr>
      <w:r>
        <w:rPr>
          <w:rFonts w:ascii="仿宋_GB2312" w:hAnsi="仿宋_GB2312" w:eastAsia="仿宋_GB2312"/>
          <w:b w:val="0"/>
          <w:sz w:val="32"/>
        </w:rPr>
        <w:t>2.卫生健康支出(类)225.17万元,占90.99%。</w:t>
      </w:r>
    </w:p>
    <w:p w14:paraId="45EDD2C7">
      <w:pPr>
        <w:spacing w:line="640" w:lineRule="exact"/>
        <w:ind w:firstLine="640"/>
        <w:jc w:val="both"/>
        <w:outlineLvl w:val="3"/>
      </w:pPr>
      <w:r>
        <w:rPr>
          <w:rFonts w:ascii="楷体_GB2312" w:hAnsi="楷体_GB2312" w:eastAsia="楷体_GB2312"/>
          <w:b/>
          <w:sz w:val="32"/>
        </w:rPr>
        <w:t>（三）一般公共预算财政拨款支出决算具体情况</w:t>
      </w:r>
    </w:p>
    <w:p w14:paraId="21750175">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0.00万元，比上年决算减少0.84万元，下降100.00%,主要原因是：本年功能科目调整，事业单位离退休上年度单独列支，本年调整至主科目列支，导致经费较上年减少。</w:t>
      </w:r>
    </w:p>
    <w:p w14:paraId="41B54A00">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22.30万元，比上年决算增加14.26万元，增长177.36%,主要原因是：本年在职人员增加及人员工资调增，养老保险缴费较上年增加。</w:t>
      </w:r>
    </w:p>
    <w:p w14:paraId="18DE236A">
      <w:pPr>
        <w:spacing w:line="580" w:lineRule="exact"/>
        <w:ind w:firstLine="640"/>
        <w:jc w:val="both"/>
      </w:pPr>
      <w:r>
        <w:rPr>
          <w:rFonts w:ascii="仿宋_GB2312" w:hAnsi="仿宋_GB2312" w:eastAsia="仿宋_GB2312"/>
          <w:b w:val="0"/>
          <w:sz w:val="32"/>
        </w:rPr>
        <w:t>3.卫生健康支出(类)卫生健康管理事务(款)其他卫生健康管理事务支出(项):支出决算数为1.92万元，比上年决算增加1.92万元，增长100.00%,主要原因是：</w:t>
      </w:r>
      <w:r>
        <w:rPr>
          <w:rFonts w:hint="eastAsia" w:ascii="仿宋_GB2312" w:hAnsi="仿宋_GB2312" w:eastAsia="仿宋_GB2312"/>
          <w:b w:val="0"/>
          <w:sz w:val="32"/>
          <w:lang w:val="en-US" w:eastAsia="zh-CN"/>
        </w:rPr>
        <w:t>功能科目调整，</w:t>
      </w:r>
      <w:r>
        <w:rPr>
          <w:rFonts w:ascii="仿宋_GB2312" w:hAnsi="仿宋_GB2312" w:eastAsia="仿宋_GB2312"/>
          <w:b w:val="0"/>
          <w:sz w:val="32"/>
        </w:rPr>
        <w:t>劳务外包服务费</w:t>
      </w:r>
      <w:r>
        <w:rPr>
          <w:rFonts w:hint="eastAsia" w:ascii="仿宋_GB2312" w:hAnsi="仿宋_GB2312" w:eastAsia="仿宋_GB2312"/>
          <w:b w:val="0"/>
          <w:sz w:val="32"/>
          <w:lang w:val="en-US" w:eastAsia="zh-CN"/>
        </w:rPr>
        <w:t>上年在</w:t>
      </w:r>
      <w:r>
        <w:rPr>
          <w:rFonts w:ascii="仿宋_GB2312" w:hAnsi="仿宋_GB2312" w:eastAsia="仿宋_GB2312"/>
          <w:b w:val="0"/>
          <w:sz w:val="32"/>
        </w:rPr>
        <w:t>其他公共卫生支出</w:t>
      </w:r>
      <w:r>
        <w:rPr>
          <w:rFonts w:hint="eastAsia" w:ascii="仿宋_GB2312" w:hAnsi="仿宋_GB2312" w:eastAsia="仿宋_GB2312"/>
          <w:b w:val="0"/>
          <w:sz w:val="32"/>
          <w:lang w:val="en-US" w:eastAsia="zh-CN"/>
        </w:rPr>
        <w:t>科目列支，本年在</w:t>
      </w:r>
      <w:r>
        <w:rPr>
          <w:rFonts w:ascii="仿宋_GB2312" w:hAnsi="仿宋_GB2312" w:eastAsia="仿宋_GB2312"/>
          <w:b w:val="0"/>
          <w:sz w:val="32"/>
        </w:rPr>
        <w:t>其他卫生健康管理事务支出</w:t>
      </w:r>
      <w:r>
        <w:rPr>
          <w:rFonts w:hint="eastAsia" w:ascii="仿宋_GB2312" w:hAnsi="仿宋_GB2312" w:eastAsia="仿宋_GB2312"/>
          <w:b w:val="0"/>
          <w:sz w:val="32"/>
          <w:lang w:val="en-US" w:eastAsia="zh-CN"/>
        </w:rPr>
        <w:t>科目列支，经费增加</w:t>
      </w:r>
      <w:r>
        <w:rPr>
          <w:rFonts w:ascii="仿宋_GB2312" w:hAnsi="仿宋_GB2312" w:eastAsia="仿宋_GB2312"/>
          <w:b w:val="0"/>
          <w:sz w:val="32"/>
        </w:rPr>
        <w:t>。</w:t>
      </w:r>
    </w:p>
    <w:p w14:paraId="4EA57F2C">
      <w:pPr>
        <w:spacing w:line="580" w:lineRule="exact"/>
        <w:ind w:firstLine="640"/>
        <w:jc w:val="both"/>
      </w:pPr>
      <w:r>
        <w:rPr>
          <w:rFonts w:ascii="仿宋_GB2312" w:hAnsi="仿宋_GB2312" w:eastAsia="仿宋_GB2312"/>
          <w:b w:val="0"/>
          <w:sz w:val="32"/>
        </w:rPr>
        <w:t>4.卫生健康支出(类)公共卫生(款)妇幼保健机构(项):支出决算数为196.86万元，比上年决算增加90.80万元，增长85.61%,主要原因是：本年在职人员增加及人员工资调增，人员经费增加</w:t>
      </w:r>
      <w:r>
        <w:rPr>
          <w:rFonts w:hint="eastAsia" w:ascii="仿宋_GB2312" w:hAnsi="仿宋_GB2312" w:eastAsia="仿宋_GB2312"/>
          <w:b w:val="0"/>
          <w:sz w:val="32"/>
          <w:lang w:eastAsia="zh-CN"/>
        </w:rPr>
        <w:t>；</w:t>
      </w:r>
      <w:r>
        <w:rPr>
          <w:rFonts w:ascii="仿宋_GB2312" w:hAnsi="仿宋_GB2312" w:eastAsia="仿宋_GB2312"/>
          <w:b w:val="0"/>
          <w:sz w:val="32"/>
        </w:rPr>
        <w:t>本年功能科目调整，事业单位离退休上年度单独列支，本年调整至主科目列支，导致经费较上年</w:t>
      </w:r>
      <w:r>
        <w:rPr>
          <w:rFonts w:hint="eastAsia" w:ascii="仿宋_GB2312" w:hAnsi="仿宋_GB2312" w:eastAsia="仿宋_GB2312"/>
          <w:b w:val="0"/>
          <w:sz w:val="32"/>
          <w:lang w:val="en-US" w:eastAsia="zh-CN"/>
        </w:rPr>
        <w:t>增加</w:t>
      </w:r>
      <w:r>
        <w:rPr>
          <w:rFonts w:ascii="仿宋_GB2312" w:hAnsi="仿宋_GB2312" w:eastAsia="仿宋_GB2312"/>
          <w:b w:val="0"/>
          <w:sz w:val="32"/>
        </w:rPr>
        <w:t>。</w:t>
      </w:r>
    </w:p>
    <w:p w14:paraId="1C7ACAF4">
      <w:pPr>
        <w:spacing w:line="580" w:lineRule="exact"/>
        <w:ind w:firstLine="640"/>
        <w:jc w:val="both"/>
      </w:pPr>
      <w:r>
        <w:rPr>
          <w:rFonts w:ascii="仿宋_GB2312" w:hAnsi="仿宋_GB2312" w:eastAsia="仿宋_GB2312"/>
          <w:b w:val="0"/>
          <w:sz w:val="32"/>
        </w:rPr>
        <w:t>5.卫生健康支出(类)公共卫生(款)基本公共卫生服务(项):支出决算数为17.19万元，比上年决算增加9.13万元，增长113.28%,主要原因是：本年中央基本公共卫生服务补助资金较上年增加。</w:t>
      </w:r>
    </w:p>
    <w:p w14:paraId="280A99CD">
      <w:pPr>
        <w:spacing w:line="580" w:lineRule="exact"/>
        <w:ind w:firstLine="640"/>
        <w:jc w:val="both"/>
      </w:pPr>
      <w:r>
        <w:rPr>
          <w:rFonts w:ascii="仿宋_GB2312" w:hAnsi="仿宋_GB2312" w:eastAsia="仿宋_GB2312"/>
          <w:b w:val="0"/>
          <w:sz w:val="32"/>
        </w:rPr>
        <w:t>6.卫生健康支出(类)公共卫生(款)重大公共卫生服务(项):支出决算数为9.20万元，比上年决算增加9.20万元，增长100.00%,主要原因是：增加2024年重大传染病防控经费项目。</w:t>
      </w:r>
    </w:p>
    <w:p w14:paraId="161A6BA2">
      <w:pPr>
        <w:spacing w:line="580" w:lineRule="exact"/>
        <w:ind w:firstLine="640"/>
        <w:jc w:val="both"/>
      </w:pPr>
      <w:r>
        <w:rPr>
          <w:rFonts w:ascii="仿宋_GB2312" w:hAnsi="仿宋_GB2312" w:eastAsia="仿宋_GB2312"/>
          <w:b w:val="0"/>
          <w:sz w:val="32"/>
        </w:rPr>
        <w:t>7.卫生健康支出(类)公共卫生(款)其他公共卫生支出(项):支出决算数为0.00万元，比上年决算减少19.29万元，下降100.00%,主要原因是：</w:t>
      </w:r>
      <w:r>
        <w:rPr>
          <w:rFonts w:hint="eastAsia" w:ascii="仿宋_GB2312" w:hAnsi="仿宋_GB2312" w:eastAsia="仿宋_GB2312"/>
          <w:b w:val="0"/>
          <w:sz w:val="32"/>
          <w:lang w:val="en-US" w:eastAsia="zh-CN"/>
        </w:rPr>
        <w:t>功能科目调整，</w:t>
      </w:r>
      <w:r>
        <w:rPr>
          <w:rFonts w:ascii="仿宋_GB2312" w:hAnsi="仿宋_GB2312" w:eastAsia="仿宋_GB2312"/>
          <w:b w:val="0"/>
          <w:sz w:val="32"/>
        </w:rPr>
        <w:t>劳务外包服务费</w:t>
      </w:r>
      <w:r>
        <w:rPr>
          <w:rFonts w:hint="eastAsia" w:ascii="仿宋_GB2312" w:hAnsi="仿宋_GB2312" w:eastAsia="仿宋_GB2312"/>
          <w:b w:val="0"/>
          <w:sz w:val="32"/>
          <w:lang w:val="en-US" w:eastAsia="zh-CN"/>
        </w:rPr>
        <w:t>上年在</w:t>
      </w:r>
      <w:r>
        <w:rPr>
          <w:rFonts w:ascii="仿宋_GB2312" w:hAnsi="仿宋_GB2312" w:eastAsia="仿宋_GB2312"/>
          <w:b w:val="0"/>
          <w:sz w:val="32"/>
        </w:rPr>
        <w:t>其他公共卫生支出</w:t>
      </w:r>
      <w:r>
        <w:rPr>
          <w:rFonts w:hint="eastAsia" w:ascii="仿宋_GB2312" w:hAnsi="仿宋_GB2312" w:eastAsia="仿宋_GB2312"/>
          <w:b w:val="0"/>
          <w:sz w:val="32"/>
          <w:lang w:val="en-US" w:eastAsia="zh-CN"/>
        </w:rPr>
        <w:t>科目列支，本年在</w:t>
      </w:r>
      <w:r>
        <w:rPr>
          <w:rFonts w:ascii="仿宋_GB2312" w:hAnsi="仿宋_GB2312" w:eastAsia="仿宋_GB2312"/>
          <w:b w:val="0"/>
          <w:sz w:val="32"/>
        </w:rPr>
        <w:t>其他卫生健康管理事务支出</w:t>
      </w:r>
      <w:r>
        <w:rPr>
          <w:rFonts w:hint="eastAsia" w:ascii="仿宋_GB2312" w:hAnsi="仿宋_GB2312" w:eastAsia="仿宋_GB2312"/>
          <w:b w:val="0"/>
          <w:sz w:val="32"/>
          <w:lang w:val="en-US" w:eastAsia="zh-CN"/>
        </w:rPr>
        <w:t>科目列支，经费减少</w:t>
      </w:r>
      <w:r>
        <w:rPr>
          <w:rFonts w:ascii="仿宋_GB2312" w:hAnsi="仿宋_GB2312" w:eastAsia="仿宋_GB2312"/>
          <w:b w:val="0"/>
          <w:sz w:val="32"/>
        </w:rPr>
        <w:t>。</w:t>
      </w:r>
    </w:p>
    <w:p w14:paraId="55E451CC">
      <w:pPr>
        <w:spacing w:line="640" w:lineRule="exact"/>
        <w:ind w:firstLine="640"/>
        <w:jc w:val="both"/>
        <w:outlineLvl w:val="2"/>
      </w:pPr>
      <w:r>
        <w:rPr>
          <w:rFonts w:ascii="黑体" w:hAnsi="黑体" w:eastAsia="黑体"/>
          <w:sz w:val="32"/>
        </w:rPr>
        <w:t>六、一般公共预算财政拨款基本支出决算情况说明</w:t>
      </w:r>
    </w:p>
    <w:p w14:paraId="53F563C3">
      <w:pPr>
        <w:spacing w:line="580" w:lineRule="exact"/>
        <w:ind w:firstLine="640"/>
        <w:jc w:val="both"/>
      </w:pPr>
      <w:r>
        <w:rPr>
          <w:rFonts w:ascii="仿宋_GB2312" w:hAnsi="仿宋_GB2312" w:eastAsia="仿宋_GB2312"/>
          <w:b w:val="0"/>
          <w:sz w:val="32"/>
        </w:rPr>
        <w:t>2024年度一般公共预算财政拨款基本支出219.17万元，其中：</w:t>
      </w:r>
      <w:r>
        <w:rPr>
          <w:rFonts w:ascii="仿宋_GB2312" w:hAnsi="仿宋_GB2312" w:eastAsia="仿宋_GB2312"/>
          <w:b/>
          <w:sz w:val="32"/>
        </w:rPr>
        <w:t>人员经费215.47万元，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w:t>
      </w:r>
    </w:p>
    <w:p w14:paraId="16BABAB2">
      <w:pPr>
        <w:spacing w:line="580" w:lineRule="exact"/>
        <w:ind w:firstLine="640"/>
        <w:jc w:val="both"/>
      </w:pPr>
      <w:r>
        <w:rPr>
          <w:rFonts w:ascii="仿宋_GB2312" w:hAnsi="仿宋_GB2312" w:eastAsia="仿宋_GB2312"/>
          <w:b/>
          <w:sz w:val="32"/>
        </w:rPr>
        <w:t>公用经费3.70万元，</w:t>
      </w:r>
      <w:r>
        <w:rPr>
          <w:rFonts w:ascii="仿宋_GB2312" w:hAnsi="仿宋_GB2312" w:eastAsia="仿宋_GB2312"/>
          <w:b w:val="0"/>
          <w:sz w:val="32"/>
        </w:rPr>
        <w:t>包括：办公费、印刷费、邮电费、差旅费、公务用车运行维护费。</w:t>
      </w:r>
    </w:p>
    <w:p w14:paraId="68BDFB0B">
      <w:pPr>
        <w:spacing w:line="640" w:lineRule="exact"/>
        <w:ind w:firstLine="640"/>
        <w:jc w:val="both"/>
        <w:outlineLvl w:val="2"/>
      </w:pPr>
      <w:r>
        <w:rPr>
          <w:rFonts w:ascii="黑体" w:hAnsi="黑体" w:eastAsia="黑体"/>
          <w:sz w:val="32"/>
        </w:rPr>
        <w:t>七、政府性基金预算财政拨款收入支出决算情况说明</w:t>
      </w:r>
    </w:p>
    <w:p w14:paraId="39F51DEF">
      <w:pPr>
        <w:spacing w:line="580" w:lineRule="exact"/>
        <w:ind w:firstLine="640"/>
        <w:jc w:val="both"/>
      </w:pPr>
      <w:r>
        <w:rPr>
          <w:rFonts w:ascii="仿宋_GB2312" w:hAnsi="仿宋_GB2312" w:eastAsia="仿宋_GB2312"/>
          <w:b/>
          <w:sz w:val="32"/>
        </w:rPr>
        <w:t>2024年度政府性基金预算财政拨款收入总计1.00万元，</w:t>
      </w:r>
      <w:r>
        <w:rPr>
          <w:rFonts w:ascii="仿宋_GB2312" w:hAnsi="仿宋_GB2312" w:eastAsia="仿宋_GB2312"/>
          <w:b w:val="0"/>
          <w:sz w:val="32"/>
        </w:rPr>
        <w:t>其中：年初结转和结余0.00万元，本年收入1.00万元。</w:t>
      </w:r>
      <w:r>
        <w:rPr>
          <w:rFonts w:ascii="仿宋_GB2312" w:hAnsi="仿宋_GB2312" w:eastAsia="仿宋_GB2312"/>
          <w:b/>
          <w:sz w:val="32"/>
        </w:rPr>
        <w:t>政府性基金预算财政拨款支出总计1.00万元，</w:t>
      </w:r>
      <w:r>
        <w:rPr>
          <w:rFonts w:ascii="仿宋_GB2312" w:hAnsi="仿宋_GB2312" w:eastAsia="仿宋_GB2312"/>
          <w:b w:val="0"/>
          <w:sz w:val="32"/>
        </w:rPr>
        <w:t>其中：年末结转和结余0.00万元，本年支出1.00万元。</w:t>
      </w:r>
    </w:p>
    <w:p w14:paraId="33492657">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减少3.00万元，下降75.00%，主要原因是：中央专项彩票公益金支持地方社会公益事业发展[医疗卫生]资金较上年减少。</w:t>
      </w:r>
      <w:r>
        <w:rPr>
          <w:rFonts w:ascii="仿宋_GB2312" w:hAnsi="仿宋_GB2312" w:eastAsia="仿宋_GB2312"/>
          <w:b/>
          <w:sz w:val="32"/>
        </w:rPr>
        <w:t>与年初预算相比，</w:t>
      </w:r>
      <w:r>
        <w:rPr>
          <w:rFonts w:ascii="仿宋_GB2312" w:hAnsi="仿宋_GB2312" w:eastAsia="仿宋_GB2312"/>
          <w:b w:val="0"/>
          <w:sz w:val="32"/>
        </w:rPr>
        <w:t>年初预算数1.00万元，决算数1.00万元，预决算差异率0.00%，主要原因是：严格按照预算执行，预决算无差异。</w:t>
      </w:r>
    </w:p>
    <w:p w14:paraId="5AE8BADD">
      <w:pPr>
        <w:spacing w:line="580" w:lineRule="exact"/>
        <w:ind w:firstLine="640"/>
        <w:jc w:val="both"/>
      </w:pPr>
      <w:r>
        <w:rPr>
          <w:rFonts w:ascii="仿宋_GB2312" w:hAnsi="仿宋_GB2312" w:eastAsia="仿宋_GB2312"/>
          <w:b w:val="0"/>
          <w:sz w:val="32"/>
        </w:rPr>
        <w:t>政府性基金预算财政拨款支出1.00万元。</w:t>
      </w:r>
    </w:p>
    <w:p w14:paraId="1AD020D0">
      <w:pPr>
        <w:spacing w:line="580" w:lineRule="exact"/>
        <w:ind w:firstLine="640"/>
        <w:jc w:val="both"/>
      </w:pPr>
      <w:r>
        <w:rPr>
          <w:rFonts w:ascii="仿宋_GB2312" w:hAnsi="仿宋_GB2312" w:eastAsia="仿宋_GB2312"/>
          <w:b w:val="0"/>
          <w:sz w:val="32"/>
        </w:rPr>
        <w:t>1.其他支出(类)彩票公益金安排的支出(款)用于城乡医疗救助的彩票公益金支出(项):支出决算数为1.00万元，比上年决算减少3.00万元，下降75.00%,主要原因是：中央专项彩票公益金支持地方社会公益事业发展[医疗卫生]资金较上年减少。</w:t>
      </w:r>
    </w:p>
    <w:p w14:paraId="3CB5C565">
      <w:pPr>
        <w:spacing w:line="640" w:lineRule="exact"/>
        <w:ind w:firstLine="640"/>
        <w:jc w:val="both"/>
        <w:outlineLvl w:val="2"/>
      </w:pPr>
      <w:r>
        <w:rPr>
          <w:rFonts w:ascii="黑体" w:hAnsi="黑体" w:eastAsia="黑体"/>
          <w:sz w:val="32"/>
        </w:rPr>
        <w:t>八、国有资本经营预算财政拨款收入支出决算情况说明</w:t>
      </w:r>
    </w:p>
    <w:p w14:paraId="40EA7E1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8F3FE60">
      <w:pPr>
        <w:spacing w:line="640" w:lineRule="exact"/>
        <w:ind w:firstLine="640"/>
        <w:jc w:val="both"/>
        <w:outlineLvl w:val="2"/>
      </w:pPr>
      <w:r>
        <w:rPr>
          <w:rFonts w:ascii="黑体" w:hAnsi="黑体" w:eastAsia="黑体"/>
          <w:sz w:val="32"/>
        </w:rPr>
        <w:t>九、财政拨款“三公”经费支出决算情况说明</w:t>
      </w:r>
    </w:p>
    <w:p w14:paraId="1193D1DE">
      <w:pPr>
        <w:spacing w:line="580" w:lineRule="exact"/>
        <w:ind w:firstLine="640"/>
        <w:jc w:val="both"/>
      </w:pPr>
      <w:r>
        <w:rPr>
          <w:rFonts w:ascii="仿宋_GB2312" w:hAnsi="仿宋_GB2312" w:eastAsia="仿宋_GB2312"/>
          <w:b/>
          <w:sz w:val="32"/>
        </w:rPr>
        <w:t>2024年度财政拨款“三公”经费支出2.39万元，</w:t>
      </w:r>
      <w:r>
        <w:rPr>
          <w:rFonts w:ascii="仿宋_GB2312" w:hAnsi="仿宋_GB2312" w:eastAsia="仿宋_GB2312"/>
          <w:b w:val="0"/>
          <w:sz w:val="32"/>
        </w:rPr>
        <w:t>比上年增加2.39万元，增长100.00%，主要原因是：本年将车辆纳入公务用车管理，增加车辆运行经费。其中：因公出国（境）费支出0.00万元，占0.00%，比上年增加0.00万元，增长0.00%，主要原因是：2023年与2024年均未安排因公出国（境）费支出。公务用车购置及运行维护费支出2.39万元，占100.00%，比上年增加2.39万元，增长100.00%，主要原因是：本年将车辆纳入公务用车管理，增加车辆运行经费。公务接待费支出0.00万元，占0.00%，比上年增加0.00万元，增长0.00%，主要原因是：2023年与2024年均未安排公务接待费支出。</w:t>
      </w:r>
    </w:p>
    <w:p w14:paraId="7239FFA2">
      <w:pPr>
        <w:spacing w:line="580" w:lineRule="exact"/>
        <w:ind w:firstLine="640"/>
        <w:jc w:val="both"/>
      </w:pPr>
      <w:r>
        <w:rPr>
          <w:rFonts w:ascii="仿宋_GB2312" w:hAnsi="仿宋_GB2312" w:eastAsia="仿宋_GB2312"/>
          <w:b/>
          <w:sz w:val="32"/>
        </w:rPr>
        <w:t>具体情况如下：</w:t>
      </w:r>
    </w:p>
    <w:p w14:paraId="253C6A4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418FADC">
      <w:pPr>
        <w:spacing w:line="580" w:lineRule="exact"/>
        <w:ind w:firstLine="640"/>
        <w:jc w:val="both"/>
      </w:pPr>
      <w:r>
        <w:rPr>
          <w:rFonts w:ascii="仿宋_GB2312" w:hAnsi="仿宋_GB2312" w:eastAsia="仿宋_GB2312"/>
          <w:b w:val="0"/>
          <w:sz w:val="32"/>
        </w:rPr>
        <w:t>公务用车购置及运行维护费2.39万元，其中：公务用车购置费0.00万元，公务用车运行维护费2.39万元。公务用车运行维护费开支内容包括车辆加油费、维修费、保险费、审车费、过路费等。公务用车购置数0辆，公务用车保有量1辆。国有资产占用情况中固定资产车辆1辆，与公务用车保有量差异原因是：本单位固定资产车辆与公务用车保有量一致无差异。</w:t>
      </w:r>
    </w:p>
    <w:p w14:paraId="7166ADE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7D7F46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2.39万元，决算数2.39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2.39万元，决算数2.39万元，预决算差异率0.00%，主要原因是：严格按照预算执行，预决算无差异。公务接待费全年预算数0.00万元，决算数0.00万元，预决算差异率0.00%，主要原因是：本单位无公务接待费。</w:t>
      </w:r>
    </w:p>
    <w:p w14:paraId="30124366">
      <w:pPr>
        <w:spacing w:line="640" w:lineRule="exact"/>
        <w:ind w:firstLine="640"/>
        <w:jc w:val="both"/>
        <w:outlineLvl w:val="2"/>
      </w:pPr>
      <w:r>
        <w:rPr>
          <w:rFonts w:ascii="黑体" w:hAnsi="黑体" w:eastAsia="黑体"/>
          <w:sz w:val="32"/>
        </w:rPr>
        <w:t>十、其他重要事项的情况说明</w:t>
      </w:r>
    </w:p>
    <w:p w14:paraId="51C52B2D">
      <w:pPr>
        <w:spacing w:line="640" w:lineRule="exact"/>
        <w:ind w:firstLine="640"/>
        <w:jc w:val="both"/>
        <w:outlineLvl w:val="3"/>
      </w:pPr>
      <w:r>
        <w:rPr>
          <w:rFonts w:ascii="楷体_GB2312" w:hAnsi="楷体_GB2312" w:eastAsia="楷体_GB2312"/>
          <w:b/>
          <w:sz w:val="32"/>
        </w:rPr>
        <w:t>（一）机关运行经费及公用经费支出情况</w:t>
      </w:r>
    </w:p>
    <w:p w14:paraId="4FFFA937">
      <w:pPr>
        <w:spacing w:line="580" w:lineRule="exact"/>
        <w:ind w:firstLine="640"/>
        <w:jc w:val="both"/>
      </w:pPr>
      <w:r>
        <w:rPr>
          <w:rFonts w:ascii="仿宋_GB2312" w:hAnsi="仿宋_GB2312" w:eastAsia="仿宋_GB2312"/>
          <w:b w:val="0"/>
          <w:sz w:val="32"/>
        </w:rPr>
        <w:t>2024年度塔什库尔干塔吉克自治县妇幼保健</w:t>
      </w:r>
      <w:r>
        <w:rPr>
          <w:rFonts w:hint="eastAsia" w:ascii="仿宋_GB2312" w:hAnsi="仿宋_GB2312" w:eastAsia="仿宋_GB2312"/>
          <w:b w:val="0"/>
          <w:sz w:val="32"/>
          <w:lang w:val="en-US" w:eastAsia="zh-CN"/>
        </w:rPr>
        <w:t>计划生育</w:t>
      </w:r>
      <w:r>
        <w:rPr>
          <w:rFonts w:ascii="仿宋_GB2312" w:hAnsi="仿宋_GB2312" w:eastAsia="仿宋_GB2312"/>
          <w:b w:val="0"/>
          <w:sz w:val="32"/>
        </w:rPr>
        <w:t>服务中心（事业单位）公用经费支出3.70万元，比上年增加0.01万元，增长0.27%，主要原因是：本年在职人员增加，办公费用增加。</w:t>
      </w:r>
    </w:p>
    <w:p w14:paraId="47D08134">
      <w:pPr>
        <w:spacing w:line="640" w:lineRule="exact"/>
        <w:ind w:firstLine="640"/>
        <w:jc w:val="both"/>
        <w:outlineLvl w:val="3"/>
      </w:pPr>
      <w:r>
        <w:rPr>
          <w:rFonts w:ascii="楷体_GB2312" w:hAnsi="楷体_GB2312" w:eastAsia="楷体_GB2312"/>
          <w:b/>
          <w:sz w:val="32"/>
        </w:rPr>
        <w:t>（二）政府采购情况</w:t>
      </w:r>
    </w:p>
    <w:p w14:paraId="07932501">
      <w:pPr>
        <w:spacing w:line="580" w:lineRule="exact"/>
        <w:ind w:firstLine="640"/>
        <w:jc w:val="both"/>
      </w:pPr>
      <w:r>
        <w:rPr>
          <w:rFonts w:ascii="仿宋_GB2312" w:hAnsi="仿宋_GB2312" w:eastAsia="仿宋_GB2312"/>
          <w:b w:val="0"/>
          <w:sz w:val="32"/>
        </w:rPr>
        <w:t>2024年度政府采购支出总额2.43万元，其中：政府采购货物支出1.71万元、政府采购工程支出0.00万元、政府采购服务支出0.72万元。</w:t>
      </w:r>
    </w:p>
    <w:p w14:paraId="4FB2B855">
      <w:pPr>
        <w:spacing w:line="580" w:lineRule="exact"/>
        <w:ind w:firstLine="640"/>
        <w:jc w:val="both"/>
      </w:pPr>
      <w:r>
        <w:rPr>
          <w:rFonts w:ascii="仿宋_GB2312" w:hAnsi="仿宋_GB2312" w:eastAsia="仿宋_GB2312"/>
          <w:b w:val="0"/>
          <w:sz w:val="32"/>
        </w:rPr>
        <w:t>授予中小企业合同金额1.67万元，占政府采购支出总额的68.72%，其中：授予小微企业合同金额1.10万元，占政府采购支出总额的45.27%。</w:t>
      </w:r>
    </w:p>
    <w:p w14:paraId="7715B7DB">
      <w:pPr>
        <w:spacing w:line="640" w:lineRule="exact"/>
        <w:ind w:firstLine="640"/>
        <w:jc w:val="both"/>
        <w:outlineLvl w:val="3"/>
      </w:pPr>
      <w:r>
        <w:rPr>
          <w:rFonts w:ascii="楷体_GB2312" w:hAnsi="楷体_GB2312" w:eastAsia="楷体_GB2312"/>
          <w:b/>
          <w:sz w:val="32"/>
        </w:rPr>
        <w:t>（三）国有资产占用情况说明</w:t>
      </w:r>
    </w:p>
    <w:p w14:paraId="21A4B13A">
      <w:pPr>
        <w:spacing w:line="580" w:lineRule="exact"/>
        <w:ind w:firstLine="640"/>
        <w:jc w:val="both"/>
      </w:pPr>
      <w:r>
        <w:rPr>
          <w:rFonts w:ascii="仿宋_GB2312" w:hAnsi="仿宋_GB2312" w:eastAsia="仿宋_GB2312"/>
          <w:b w:val="0"/>
          <w:sz w:val="32"/>
        </w:rPr>
        <w:t>截至2024年12月31日，房屋0.00平方米，价值0.00万元。车辆1辆，价值17.48万元，其中：副部（省）级及以上领导用车0辆、主要负责人用车0辆、机要通信用车0辆、应急保障用车0辆、执法执勤用车0辆、特种专业技术用车1辆、离退休干部服务用车0辆、其他用车0辆，其他用车主要是：本单位无其他用车。单价100万元（含）以上设备（不含车辆）0台（套）。</w:t>
      </w:r>
    </w:p>
    <w:p w14:paraId="18378B67">
      <w:pPr>
        <w:spacing w:line="640" w:lineRule="exact"/>
        <w:ind w:firstLine="640"/>
        <w:jc w:val="both"/>
        <w:outlineLvl w:val="2"/>
      </w:pPr>
      <w:r>
        <w:rPr>
          <w:rFonts w:ascii="黑体" w:hAnsi="黑体" w:eastAsia="黑体"/>
          <w:sz w:val="32"/>
        </w:rPr>
        <w:t>十一、预算绩效的情况说明</w:t>
      </w:r>
    </w:p>
    <w:p w14:paraId="3801DAD1">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248.48万元，实际执行总额248.48万元；预算绩效评价项目2个，全年预算数18.00万元，全年执行数18.00万元。预算绩效管理取得的成效：一是开展绩效评价，提高了绩效工作管理水平，科学制定目标，促进了绩效目标顺利实现，提高了项目资金使用的绩效意识，以便项目实施完成，进行跟踪问效评价，对下一年此类项目预算编制提供参考。二是提高财政资金使用效益，确保民生工程顺利开展，对专项资金使用效果好的予以继续支持，对专项资金管理较好的做法予以宣传推广。发现的问题及原因：一是存在的主要问题单位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下一步改进措施：一是加大预算绩效管理培训力度，贯彻落实相关办法及制度。采取集中学习、讲座、专题会议等方式，加大对参与绩效管理工作的人员培训力度，二是进一步统一认识，充实业务知识，以达到预算绩效管理标准化、常态化的要求，最终实现提高绩效管理工作效率及质量的目标。</w:t>
      </w:r>
      <w:r>
        <w:rPr>
          <w:rFonts w:hint="eastAsia" w:ascii="仿宋_GB2312" w:hAnsi="仿宋_GB2312" w:eastAsia="仿宋_GB2312"/>
          <w:b w:val="0"/>
          <w:sz w:val="32"/>
          <w:lang w:eastAsia="zh-CN"/>
        </w:rPr>
        <w:t>具体附整体支出</w:t>
      </w:r>
      <w:r>
        <w:rPr>
          <w:rFonts w:ascii="仿宋_GB2312" w:hAnsi="仿宋_GB2312" w:eastAsia="仿宋_GB2312"/>
          <w:b w:val="0"/>
          <w:sz w:val="32"/>
        </w:rPr>
        <w:t>绩效自评表，项目支出绩效自评表和</w:t>
      </w:r>
      <w:r>
        <w:rPr>
          <w:rFonts w:hint="eastAsia" w:ascii="仿宋_GB2312" w:hAnsi="仿宋_GB2312" w:eastAsia="仿宋_GB2312"/>
          <w:b w:val="0"/>
          <w:sz w:val="32"/>
          <w:lang w:eastAsia="zh-CN"/>
        </w:rPr>
        <w:t>评价报告</w:t>
      </w:r>
      <w:r>
        <w:rPr>
          <w:rFonts w:ascii="仿宋_GB2312" w:hAnsi="仿宋_GB2312" w:eastAsia="仿宋_GB2312"/>
          <w:b w:val="0"/>
          <w:sz w:val="32"/>
        </w:rPr>
        <w:t>。</w:t>
      </w:r>
    </w:p>
    <w:p w14:paraId="408901D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C3C2CAA">
        <w:tblPrEx>
          <w:tblCellMar>
            <w:top w:w="0" w:type="dxa"/>
            <w:left w:w="108" w:type="dxa"/>
            <w:bottom w:w="0" w:type="dxa"/>
            <w:right w:w="108" w:type="dxa"/>
          </w:tblCellMar>
        </w:tblPrEx>
        <w:tc>
          <w:tcPr>
            <w:tcW w:w="8847" w:type="dxa"/>
            <w:gridSpan w:val="9"/>
            <w:vAlign w:val="center"/>
          </w:tcPr>
          <w:p w14:paraId="69809A46">
            <w:pPr>
              <w:jc w:val="center"/>
            </w:pPr>
            <w:r>
              <w:rPr>
                <w:rFonts w:ascii="宋体" w:hAnsi="宋体" w:eastAsia="宋体"/>
                <w:sz w:val="24"/>
              </w:rPr>
              <w:t>单位整体支出绩效自评表</w:t>
            </w:r>
          </w:p>
        </w:tc>
      </w:tr>
      <w:tr w14:paraId="2613158E">
        <w:tblPrEx>
          <w:tblCellMar>
            <w:top w:w="0" w:type="dxa"/>
            <w:left w:w="108" w:type="dxa"/>
            <w:bottom w:w="0" w:type="dxa"/>
            <w:right w:w="108" w:type="dxa"/>
          </w:tblCellMar>
        </w:tblPrEx>
        <w:tc>
          <w:tcPr>
            <w:tcW w:w="8847" w:type="dxa"/>
            <w:gridSpan w:val="9"/>
            <w:vAlign w:val="center"/>
          </w:tcPr>
          <w:p w14:paraId="19E888E5">
            <w:pPr>
              <w:jc w:val="center"/>
            </w:pPr>
            <w:r>
              <w:rPr>
                <w:rFonts w:ascii="宋体" w:hAnsi="宋体" w:eastAsia="宋体"/>
                <w:sz w:val="24"/>
              </w:rPr>
              <w:t>（2024年度）</w:t>
            </w:r>
          </w:p>
        </w:tc>
      </w:tr>
      <w:tr w14:paraId="41DC6E0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D0A37">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A739F9A">
            <w:pPr>
              <w:jc w:val="center"/>
            </w:pPr>
            <w:r>
              <w:rPr>
                <w:rFonts w:ascii="宋体" w:hAnsi="宋体" w:eastAsia="宋体"/>
                <w:sz w:val="16"/>
              </w:rPr>
              <w:t>塔什库尔干塔吉克自治县妇幼保健</w:t>
            </w:r>
            <w:r>
              <w:rPr>
                <w:rFonts w:hint="eastAsia" w:ascii="宋体" w:hAnsi="宋体"/>
                <w:sz w:val="16"/>
                <w:lang w:val="en-US" w:eastAsia="zh-CN"/>
              </w:rPr>
              <w:t>计划生育</w:t>
            </w:r>
            <w:r>
              <w:rPr>
                <w:rFonts w:ascii="宋体" w:hAnsi="宋体" w:eastAsia="宋体"/>
                <w:sz w:val="16"/>
              </w:rPr>
              <w:t>服务中心</w:t>
            </w:r>
          </w:p>
        </w:tc>
      </w:tr>
      <w:tr w14:paraId="2B35573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0B3FC5">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415E0">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ABA0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306A3">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5F985">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BA53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0B3B9">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4B031">
            <w:pPr>
              <w:jc w:val="center"/>
            </w:pPr>
            <w:r>
              <w:rPr>
                <w:rFonts w:ascii="宋体" w:hAnsi="宋体" w:eastAsia="宋体"/>
                <w:sz w:val="16"/>
              </w:rPr>
              <w:t>得分</w:t>
            </w:r>
          </w:p>
        </w:tc>
      </w:tr>
      <w:tr w14:paraId="487593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638D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F9250">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09ECB">
            <w:pPr>
              <w:jc w:val="center"/>
            </w:pPr>
            <w:r>
              <w:rPr>
                <w:rFonts w:ascii="宋体" w:hAnsi="宋体" w:eastAsia="宋体"/>
                <w:sz w:val="16"/>
              </w:rPr>
              <w:t>247.31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77846">
            <w:pPr>
              <w:jc w:val="center"/>
            </w:pPr>
            <w:r>
              <w:rPr>
                <w:rFonts w:ascii="宋体" w:hAnsi="宋体" w:eastAsia="宋体"/>
                <w:sz w:val="16"/>
              </w:rPr>
              <w:t>248.48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6139F">
            <w:pPr>
              <w:jc w:val="center"/>
            </w:pPr>
            <w:r>
              <w:rPr>
                <w:rFonts w:ascii="宋体" w:hAnsi="宋体" w:eastAsia="宋体"/>
                <w:sz w:val="16"/>
              </w:rPr>
              <w:t>248.48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05E6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CB71E">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B50CA">
            <w:pPr>
              <w:jc w:val="center"/>
            </w:pPr>
            <w:r>
              <w:rPr>
                <w:rFonts w:ascii="宋体" w:hAnsi="宋体" w:eastAsia="宋体"/>
                <w:sz w:val="16"/>
              </w:rPr>
              <w:t>10</w:t>
            </w:r>
          </w:p>
        </w:tc>
      </w:tr>
      <w:tr w14:paraId="761C6B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6257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3BB06">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E813F">
            <w:pPr>
              <w:jc w:val="center"/>
            </w:pPr>
            <w:r>
              <w:rPr>
                <w:rFonts w:ascii="宋体" w:hAnsi="宋体" w:eastAsia="宋体"/>
                <w:sz w:val="16"/>
              </w:rPr>
              <w:t>17.00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DFC49">
            <w:pPr>
              <w:jc w:val="center"/>
            </w:pPr>
            <w:r>
              <w:rPr>
                <w:rFonts w:ascii="宋体" w:hAnsi="宋体" w:eastAsia="宋体"/>
                <w:sz w:val="16"/>
              </w:rPr>
              <w:t>33.12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83BE4">
            <w:pPr>
              <w:jc w:val="center"/>
            </w:pPr>
            <w:r>
              <w:rPr>
                <w:rFonts w:ascii="宋体" w:hAnsi="宋体" w:eastAsia="宋体"/>
                <w:sz w:val="16"/>
              </w:rPr>
              <w:t>33.12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85F7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D022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416B0">
            <w:pPr>
              <w:jc w:val="center"/>
            </w:pPr>
            <w:r>
              <w:rPr>
                <w:rFonts w:ascii="宋体" w:hAnsi="宋体" w:eastAsia="宋体"/>
                <w:sz w:val="16"/>
              </w:rPr>
              <w:t>—</w:t>
            </w:r>
          </w:p>
        </w:tc>
      </w:tr>
      <w:tr w14:paraId="2083AD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AC70E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0AD7E">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7B378">
            <w:pPr>
              <w:jc w:val="center"/>
            </w:pPr>
            <w:r>
              <w:rPr>
                <w:rFonts w:ascii="宋体" w:hAnsi="宋体" w:eastAsia="宋体"/>
                <w:sz w:val="16"/>
              </w:rPr>
              <w:t>230.31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9C4B7">
            <w:pPr>
              <w:jc w:val="center"/>
            </w:pPr>
            <w:r>
              <w:rPr>
                <w:rFonts w:ascii="宋体" w:hAnsi="宋体" w:eastAsia="宋体"/>
                <w:sz w:val="16"/>
              </w:rPr>
              <w:t>215.36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89BCC">
            <w:pPr>
              <w:jc w:val="center"/>
            </w:pPr>
            <w:r>
              <w:rPr>
                <w:rFonts w:ascii="宋体" w:hAnsi="宋体" w:eastAsia="宋体"/>
                <w:sz w:val="16"/>
              </w:rPr>
              <w:t>215.36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1BFC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2B61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EEBFF">
            <w:pPr>
              <w:jc w:val="center"/>
            </w:pPr>
            <w:r>
              <w:rPr>
                <w:rFonts w:ascii="宋体" w:hAnsi="宋体" w:eastAsia="宋体"/>
                <w:sz w:val="16"/>
              </w:rPr>
              <w:t>—</w:t>
            </w:r>
          </w:p>
        </w:tc>
      </w:tr>
      <w:tr w14:paraId="5315A8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C0C3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4BA84">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893A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7A30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86DC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8128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57CE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2D318">
            <w:pPr>
              <w:jc w:val="center"/>
            </w:pPr>
            <w:r>
              <w:rPr>
                <w:rFonts w:ascii="宋体" w:hAnsi="宋体" w:eastAsia="宋体"/>
                <w:sz w:val="16"/>
              </w:rPr>
              <w:t>—</w:t>
            </w:r>
          </w:p>
        </w:tc>
      </w:tr>
      <w:tr w14:paraId="4C4257D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54453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619F33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81AE18">
            <w:pPr>
              <w:jc w:val="center"/>
              <w:rPr>
                <w:rFonts w:hint="eastAsia" w:eastAsia="宋体"/>
                <w:lang w:eastAsia="zh-CN"/>
              </w:rPr>
            </w:pPr>
            <w:r>
              <w:rPr>
                <w:rFonts w:hint="eastAsia" w:ascii="宋体" w:hAnsi="宋体"/>
                <w:sz w:val="16"/>
                <w:lang w:eastAsia="zh-CN"/>
              </w:rPr>
              <w:t>实际完成情况</w:t>
            </w:r>
          </w:p>
        </w:tc>
      </w:tr>
      <w:tr w14:paraId="70B9E0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ED87E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631E96">
            <w:pPr>
              <w:jc w:val="both"/>
            </w:pPr>
            <w:r>
              <w:rPr>
                <w:rFonts w:ascii="宋体" w:hAnsi="宋体" w:eastAsia="宋体"/>
                <w:sz w:val="16"/>
              </w:rPr>
              <w:t>进一步加大母婴安全健康教育及不易妊娠孕产妇的宣传力度，不断强化自身作为健康第一责任人的意识。动员全社会关注，增强防范力度，积极采取政策措施，通过广播电视台每天定期播放对家长一封信，通过周一升国旗、入户走访、电话回访、面对面一对一等多种方式广泛宣传开展健康教育，加强孕产妇安全教育、树立安全意识，提高孕产妇自我保健意识，提高孕产妇、儿童及家庭的医疗保健和风险防范意识，在全社会营造人人重视母婴安全。进一步加强不宜妊娠孕产妇面对面健康教育，</w:t>
            </w:r>
            <w:r>
              <w:rPr>
                <w:rFonts w:hint="eastAsia" w:ascii="宋体" w:hAnsi="宋体"/>
                <w:sz w:val="16"/>
                <w:lang w:eastAsia="zh-CN"/>
              </w:rPr>
              <w:t>指定专人</w:t>
            </w:r>
            <w:r>
              <w:rPr>
                <w:rFonts w:ascii="宋体" w:hAnsi="宋体" w:eastAsia="宋体"/>
                <w:sz w:val="16"/>
              </w:rPr>
              <w:t>负责一对一讲解高危因素的风险性，定期跟踪随访，掌握孕情情况。完成儿童营养改善计划、新生儿听力筛查项目、增补叶酸预防神经管缺陷项目等专项工作。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BB6646">
            <w:pPr>
              <w:jc w:val="both"/>
            </w:pPr>
            <w:r>
              <w:rPr>
                <w:rFonts w:ascii="宋体" w:hAnsi="宋体" w:eastAsia="宋体"/>
                <w:sz w:val="16"/>
              </w:rPr>
              <w:t>进一步加大母婴安全健康教育及不易妊娠孕产妇的宣传力度，不断强化自身作为健康第一责任人的意识。动员全社会关注，增强防范力度，积极采取政策措施，通过广播电视台每天定期播放对家长一封信，通过周一升国旗、入户走访、电话回访、面对面一对一等多种方式广泛宣传开展健康教育，加强孕产妇安全教育、树立安全意识，提高孕产妇自我保健意识，提高孕产妇、儿童及家庭的医疗保健和风险防范意识，在全社会营造人人重视母婴安全。进一步加强不宜妊娠孕产妇面对面健康教育，</w:t>
            </w:r>
            <w:r>
              <w:rPr>
                <w:rFonts w:hint="eastAsia" w:ascii="宋体" w:hAnsi="宋体"/>
                <w:sz w:val="16"/>
                <w:lang w:eastAsia="zh-CN"/>
              </w:rPr>
              <w:t>指定专人</w:t>
            </w:r>
            <w:r>
              <w:rPr>
                <w:rFonts w:ascii="宋体" w:hAnsi="宋体" w:eastAsia="宋体"/>
                <w:sz w:val="16"/>
              </w:rPr>
              <w:t>负责一对一讲解高危因素的风险性，定期跟踪随访，掌握孕情情况。完成儿童营养改善计划、新生儿听力筛查项目、增补叶酸预防神经管缺陷项目等专项工作。2024年具体完成的重要工作有：完成国家免费孕前优生健康检查达208对，开展“两癌”筛查人数达400人，新生儿疾病筛查人数达250人，新生儿听力筛查人数达250人，儿童营养改善受益乡镇达12个。</w:t>
            </w:r>
          </w:p>
        </w:tc>
      </w:tr>
      <w:tr w14:paraId="3D54623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912B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9C1B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24CE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096F4">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1263D">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17EC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562E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25276">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19EFA">
            <w:pPr>
              <w:jc w:val="center"/>
            </w:pPr>
            <w:r>
              <w:rPr>
                <w:rFonts w:ascii="宋体" w:hAnsi="宋体" w:eastAsia="宋体"/>
                <w:sz w:val="16"/>
              </w:rPr>
              <w:t>得分</w:t>
            </w:r>
          </w:p>
        </w:tc>
      </w:tr>
      <w:tr w14:paraId="3DA590C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079A8F">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D881F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162B1">
            <w:pPr>
              <w:jc w:val="center"/>
            </w:pPr>
            <w:r>
              <w:rPr>
                <w:rFonts w:ascii="宋体" w:hAnsi="宋体" w:eastAsia="宋体"/>
                <w:sz w:val="16"/>
              </w:rPr>
              <w:t>国家免费孕前优生健康检查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90F05">
            <w:pPr>
              <w:jc w:val="center"/>
            </w:pPr>
            <w:r>
              <w:rPr>
                <w:rFonts w:ascii="宋体" w:hAnsi="宋体" w:eastAsia="宋体"/>
                <w:sz w:val="16"/>
              </w:rPr>
              <w:t>&gt;=208对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F9DD6">
            <w:pPr>
              <w:jc w:val="center"/>
            </w:pPr>
            <w:r>
              <w:rPr>
                <w:rFonts w:ascii="宋体" w:hAnsi="宋体" w:eastAsia="宋体"/>
                <w:sz w:val="16"/>
              </w:rPr>
              <w:t>妇幼2024年工作计划及实施方案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24778">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5E7DD">
            <w:pPr>
              <w:jc w:val="center"/>
            </w:pPr>
            <w:r>
              <w:rPr>
                <w:rFonts w:ascii="宋体" w:hAnsi="宋体" w:eastAsia="宋体"/>
                <w:sz w:val="16"/>
              </w:rPr>
              <w:t>208对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7D14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7FD64">
            <w:pPr>
              <w:jc w:val="center"/>
            </w:pPr>
            <w:r>
              <w:rPr>
                <w:rFonts w:ascii="宋体" w:hAnsi="宋体" w:eastAsia="宋体"/>
                <w:sz w:val="16"/>
              </w:rPr>
              <w:t>18</w:t>
            </w:r>
          </w:p>
        </w:tc>
      </w:tr>
      <w:tr w14:paraId="1D9066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4636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9B6A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E9410">
            <w:pPr>
              <w:jc w:val="center"/>
            </w:pPr>
            <w:r>
              <w:rPr>
                <w:rFonts w:ascii="宋体" w:hAnsi="宋体" w:eastAsia="宋体"/>
                <w:sz w:val="16"/>
              </w:rPr>
              <w:t>开展“两癌”筛查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D9F64">
            <w:pPr>
              <w:jc w:val="center"/>
            </w:pPr>
            <w:r>
              <w:rPr>
                <w:rFonts w:ascii="宋体" w:hAnsi="宋体" w:eastAsia="宋体"/>
                <w:sz w:val="16"/>
              </w:rPr>
              <w:t>&gt;=400人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8A589">
            <w:pPr>
              <w:jc w:val="center"/>
            </w:pPr>
            <w:r>
              <w:rPr>
                <w:rFonts w:ascii="宋体" w:hAnsi="宋体" w:eastAsia="宋体"/>
                <w:sz w:val="16"/>
              </w:rPr>
              <w:t>妇幼2024年工作计划及实施方案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45986">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58A66">
            <w:pPr>
              <w:jc w:val="center"/>
            </w:pPr>
            <w:r>
              <w:rPr>
                <w:rFonts w:ascii="宋体" w:hAnsi="宋体" w:eastAsia="宋体"/>
                <w:sz w:val="16"/>
              </w:rPr>
              <w:t>400人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FDD4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30BEF">
            <w:pPr>
              <w:jc w:val="center"/>
            </w:pPr>
            <w:r>
              <w:rPr>
                <w:rFonts w:ascii="宋体" w:hAnsi="宋体" w:eastAsia="宋体"/>
                <w:sz w:val="16"/>
              </w:rPr>
              <w:t>18</w:t>
            </w:r>
          </w:p>
        </w:tc>
      </w:tr>
      <w:tr w14:paraId="7FA19C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F510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09D20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A2E4B">
            <w:pPr>
              <w:jc w:val="center"/>
            </w:pPr>
            <w:r>
              <w:rPr>
                <w:rFonts w:ascii="宋体" w:hAnsi="宋体" w:eastAsia="宋体"/>
                <w:sz w:val="16"/>
              </w:rPr>
              <w:t>新生儿疾病筛查先天性心脏病</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BAF95">
            <w:pPr>
              <w:jc w:val="center"/>
            </w:pPr>
            <w:r>
              <w:rPr>
                <w:rFonts w:ascii="宋体" w:hAnsi="宋体" w:eastAsia="宋体"/>
                <w:sz w:val="16"/>
              </w:rPr>
              <w:t>&gt;=250人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EAF9A">
            <w:pPr>
              <w:jc w:val="center"/>
            </w:pPr>
            <w:r>
              <w:rPr>
                <w:rFonts w:ascii="宋体" w:hAnsi="宋体" w:eastAsia="宋体"/>
                <w:sz w:val="16"/>
              </w:rPr>
              <w:t>妇幼2024年工作计划及实施方案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2F720">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0B73C">
            <w:pPr>
              <w:jc w:val="center"/>
            </w:pPr>
            <w:r>
              <w:rPr>
                <w:rFonts w:ascii="宋体" w:hAnsi="宋体" w:eastAsia="宋体"/>
                <w:sz w:val="16"/>
              </w:rPr>
              <w:t>250人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1E04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25188">
            <w:pPr>
              <w:jc w:val="center"/>
            </w:pPr>
            <w:r>
              <w:rPr>
                <w:rFonts w:ascii="宋体" w:hAnsi="宋体" w:eastAsia="宋体"/>
                <w:sz w:val="16"/>
              </w:rPr>
              <w:t>18</w:t>
            </w:r>
          </w:p>
        </w:tc>
      </w:tr>
      <w:tr w14:paraId="1D66CC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E051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3F53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76BCE">
            <w:pPr>
              <w:jc w:val="center"/>
            </w:pPr>
            <w:r>
              <w:rPr>
                <w:rFonts w:ascii="宋体" w:hAnsi="宋体" w:eastAsia="宋体"/>
                <w:sz w:val="16"/>
              </w:rPr>
              <w:t>新生儿听力筛查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CA7EE">
            <w:pPr>
              <w:jc w:val="center"/>
            </w:pPr>
            <w:r>
              <w:rPr>
                <w:rFonts w:ascii="宋体" w:hAnsi="宋体" w:eastAsia="宋体"/>
                <w:sz w:val="16"/>
              </w:rPr>
              <w:t>&gt;=250人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5254A">
            <w:pPr>
              <w:jc w:val="center"/>
            </w:pPr>
            <w:r>
              <w:rPr>
                <w:rFonts w:ascii="宋体" w:hAnsi="宋体" w:eastAsia="宋体"/>
                <w:sz w:val="16"/>
              </w:rPr>
              <w:t>妇幼2024年工作计划及实施方案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EDFDC">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B59B6">
            <w:pPr>
              <w:jc w:val="center"/>
            </w:pPr>
            <w:r>
              <w:rPr>
                <w:rFonts w:ascii="宋体" w:hAnsi="宋体" w:eastAsia="宋体"/>
                <w:sz w:val="16"/>
              </w:rPr>
              <w:t>250人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E952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B1B04">
            <w:pPr>
              <w:jc w:val="center"/>
            </w:pPr>
            <w:r>
              <w:rPr>
                <w:rFonts w:ascii="宋体" w:hAnsi="宋体" w:eastAsia="宋体"/>
                <w:sz w:val="16"/>
              </w:rPr>
              <w:t>18</w:t>
            </w:r>
          </w:p>
        </w:tc>
      </w:tr>
      <w:tr w14:paraId="062CB1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2D7C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2EFF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03FE4">
            <w:pPr>
              <w:jc w:val="center"/>
            </w:pPr>
            <w:r>
              <w:rPr>
                <w:rFonts w:ascii="宋体" w:hAnsi="宋体" w:eastAsia="宋体"/>
                <w:sz w:val="16"/>
              </w:rPr>
              <w:t>儿童营养改善受益乡镇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424B9">
            <w:pPr>
              <w:jc w:val="center"/>
            </w:pPr>
            <w:r>
              <w:rPr>
                <w:rFonts w:ascii="宋体" w:hAnsi="宋体" w:eastAsia="宋体"/>
                <w:sz w:val="16"/>
              </w:rPr>
              <w:t>&gt;=12个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1A358">
            <w:pPr>
              <w:jc w:val="center"/>
            </w:pPr>
            <w:r>
              <w:rPr>
                <w:rFonts w:ascii="宋体" w:hAnsi="宋体" w:eastAsia="宋体"/>
                <w:sz w:val="16"/>
              </w:rPr>
              <w:t>妇幼2024年工作计划及实施方案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43DDF">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9BFAE">
            <w:pPr>
              <w:jc w:val="center"/>
            </w:pPr>
            <w:r>
              <w:rPr>
                <w:rFonts w:ascii="宋体" w:hAnsi="宋体" w:eastAsia="宋体"/>
                <w:sz w:val="16"/>
              </w:rPr>
              <w:t>12个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5716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A4310">
            <w:pPr>
              <w:jc w:val="center"/>
            </w:pPr>
            <w:r>
              <w:rPr>
                <w:rFonts w:ascii="宋体" w:hAnsi="宋体" w:eastAsia="宋体"/>
                <w:sz w:val="16"/>
              </w:rPr>
              <w:t>18</w:t>
            </w:r>
          </w:p>
        </w:tc>
      </w:tr>
    </w:tbl>
    <w:p w14:paraId="6618629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E1C1850">
        <w:tblPrEx>
          <w:tblCellMar>
            <w:top w:w="0" w:type="dxa"/>
            <w:left w:w="108" w:type="dxa"/>
            <w:bottom w:w="0" w:type="dxa"/>
            <w:right w:w="108" w:type="dxa"/>
          </w:tblCellMar>
        </w:tblPrEx>
        <w:tc>
          <w:tcPr>
            <w:tcW w:w="8848" w:type="dxa"/>
            <w:gridSpan w:val="14"/>
            <w:vAlign w:val="center"/>
          </w:tcPr>
          <w:p w14:paraId="30491DF8">
            <w:pPr>
              <w:jc w:val="center"/>
            </w:pPr>
            <w:r>
              <w:rPr>
                <w:rFonts w:ascii="宋体" w:hAnsi="宋体" w:eastAsia="宋体"/>
                <w:sz w:val="24"/>
              </w:rPr>
              <w:t>项目支出绩效自评表</w:t>
            </w:r>
          </w:p>
        </w:tc>
      </w:tr>
      <w:tr w14:paraId="54541F2C">
        <w:tblPrEx>
          <w:tblCellMar>
            <w:top w:w="0" w:type="dxa"/>
            <w:left w:w="108" w:type="dxa"/>
            <w:bottom w:w="0" w:type="dxa"/>
            <w:right w:w="108" w:type="dxa"/>
          </w:tblCellMar>
        </w:tblPrEx>
        <w:tc>
          <w:tcPr>
            <w:tcW w:w="8848" w:type="dxa"/>
            <w:gridSpan w:val="14"/>
            <w:vAlign w:val="center"/>
          </w:tcPr>
          <w:p w14:paraId="092F4CDA">
            <w:pPr>
              <w:jc w:val="center"/>
            </w:pPr>
            <w:r>
              <w:rPr>
                <w:rFonts w:ascii="宋体" w:hAnsi="宋体" w:eastAsia="宋体"/>
                <w:sz w:val="24"/>
              </w:rPr>
              <w:t>(2024年度)</w:t>
            </w:r>
          </w:p>
        </w:tc>
      </w:tr>
      <w:tr w14:paraId="11D8A4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D546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8A4D0E9">
            <w:pPr>
              <w:jc w:val="center"/>
            </w:pPr>
            <w:r>
              <w:rPr>
                <w:rFonts w:ascii="宋体" w:hAnsi="宋体" w:eastAsia="宋体"/>
                <w:sz w:val="16"/>
              </w:rPr>
              <w:t>2024年中央专项彩票公益金支持地方社会公益事业发展（医疗救助）资金项目</w:t>
            </w:r>
          </w:p>
        </w:tc>
      </w:tr>
      <w:tr w14:paraId="2EFB9F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CD9E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050B65">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19D9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0D8534">
            <w:pPr>
              <w:jc w:val="center"/>
            </w:pPr>
            <w:r>
              <w:rPr>
                <w:rFonts w:ascii="宋体" w:hAnsi="宋体" w:eastAsia="宋体"/>
                <w:sz w:val="16"/>
              </w:rPr>
              <w:t>塔什库尔干塔吉克自治县妇幼保健</w:t>
            </w:r>
            <w:r>
              <w:rPr>
                <w:rFonts w:hint="eastAsia" w:ascii="宋体" w:hAnsi="宋体"/>
                <w:sz w:val="16"/>
                <w:lang w:val="en-US" w:eastAsia="zh-CN"/>
              </w:rPr>
              <w:t>计划生育</w:t>
            </w:r>
            <w:r>
              <w:rPr>
                <w:rFonts w:ascii="宋体" w:hAnsi="宋体" w:eastAsia="宋体"/>
                <w:sz w:val="16"/>
              </w:rPr>
              <w:t>服务中心</w:t>
            </w:r>
          </w:p>
        </w:tc>
      </w:tr>
      <w:tr w14:paraId="55C001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C9E0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0728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662D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5354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60FA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A062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4658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94C0F">
            <w:pPr>
              <w:jc w:val="center"/>
            </w:pPr>
            <w:r>
              <w:rPr>
                <w:rFonts w:ascii="宋体" w:hAnsi="宋体" w:eastAsia="宋体"/>
                <w:sz w:val="16"/>
              </w:rPr>
              <w:t>得分</w:t>
            </w:r>
          </w:p>
        </w:tc>
      </w:tr>
      <w:tr w14:paraId="50568B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C7FFB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82F4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A300B">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94E25">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93B5C">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9C7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6E8B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9670A">
            <w:pPr>
              <w:jc w:val="center"/>
            </w:pPr>
            <w:r>
              <w:rPr>
                <w:rFonts w:ascii="宋体" w:hAnsi="宋体" w:eastAsia="宋体"/>
                <w:sz w:val="16"/>
              </w:rPr>
              <w:t>10.00分</w:t>
            </w:r>
          </w:p>
        </w:tc>
      </w:tr>
      <w:tr w14:paraId="6DEE74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A02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37BB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5CCE9">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F2D65">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4A4F7">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743C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203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73782">
            <w:pPr>
              <w:jc w:val="center"/>
            </w:pPr>
            <w:r>
              <w:rPr>
                <w:rFonts w:ascii="宋体" w:hAnsi="宋体" w:eastAsia="宋体"/>
                <w:sz w:val="16"/>
              </w:rPr>
              <w:t>—</w:t>
            </w:r>
          </w:p>
        </w:tc>
      </w:tr>
      <w:tr w14:paraId="3D7FC4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275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73B0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6FF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065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87A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279D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812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9595F">
            <w:pPr>
              <w:jc w:val="center"/>
            </w:pPr>
            <w:r>
              <w:rPr>
                <w:rFonts w:ascii="宋体" w:hAnsi="宋体" w:eastAsia="宋体"/>
                <w:sz w:val="16"/>
              </w:rPr>
              <w:t>—</w:t>
            </w:r>
          </w:p>
        </w:tc>
      </w:tr>
      <w:tr w14:paraId="19AC0F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AD5CC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A64F5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0EC7B2">
            <w:pPr>
              <w:jc w:val="center"/>
            </w:pPr>
            <w:r>
              <w:rPr>
                <w:rFonts w:ascii="宋体" w:hAnsi="宋体" w:eastAsia="宋体"/>
                <w:sz w:val="16"/>
              </w:rPr>
              <w:t>实际完成情况</w:t>
            </w:r>
          </w:p>
        </w:tc>
      </w:tr>
      <w:tr w14:paraId="7BD454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FF48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4A7B55">
            <w:pPr>
              <w:jc w:val="both"/>
            </w:pPr>
            <w:r>
              <w:rPr>
                <w:rFonts w:ascii="宋体" w:hAnsi="宋体" w:eastAsia="宋体"/>
                <w:sz w:val="16"/>
              </w:rPr>
              <w:t>1.2024年完成300名，35至64岁农村适龄妇女宫颈癌检查。</w:t>
            </w:r>
            <w:r>
              <w:rPr>
                <w:rFonts w:ascii="宋体" w:hAnsi="宋体" w:eastAsia="宋体"/>
                <w:sz w:val="16"/>
              </w:rPr>
              <w:br w:type="textWrapping"/>
            </w:r>
            <w:r>
              <w:rPr>
                <w:rFonts w:ascii="宋体" w:hAnsi="宋体" w:eastAsia="宋体"/>
                <w:sz w:val="16"/>
              </w:rPr>
              <w:t xml:space="preserve">2．宫颈癌早诊率达 90%以上。 </w:t>
            </w:r>
            <w:r>
              <w:rPr>
                <w:rFonts w:ascii="宋体" w:hAnsi="宋体" w:eastAsia="宋体"/>
                <w:sz w:val="16"/>
              </w:rPr>
              <w:br w:type="textWrapping"/>
            </w:r>
            <w:r>
              <w:rPr>
                <w:rFonts w:ascii="宋体" w:hAnsi="宋体" w:eastAsia="宋体"/>
                <w:sz w:val="16"/>
              </w:rPr>
              <w:t>3．对检查异常/可疑病例的随访管理率达到 90%以上。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37F0DA">
            <w:pPr>
              <w:jc w:val="both"/>
            </w:pPr>
            <w:r>
              <w:rPr>
                <w:rFonts w:ascii="宋体" w:hAnsi="宋体" w:eastAsia="宋体"/>
                <w:sz w:val="16"/>
              </w:rPr>
              <w:t>项目实际支出1万元；2024年完成300名35至64岁农村适龄妇女宫颈癌检查。 2．宫颈癌早诊率达100%。 3．对检查异常/可疑病例的随访管理率达到100%。逐步提高本县农村妇女整体健康水平，受益人满意度达到100%。</w:t>
            </w:r>
          </w:p>
        </w:tc>
      </w:tr>
      <w:tr w14:paraId="19A6A0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10A2DF">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D1FA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0473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0038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0443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DD9C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533D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1062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7AA4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1FA5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31ED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8F42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55270">
            <w:pPr>
              <w:jc w:val="center"/>
            </w:pPr>
            <w:r>
              <w:rPr>
                <w:rFonts w:ascii="宋体" w:hAnsi="宋体" w:eastAsia="宋体"/>
                <w:sz w:val="16"/>
              </w:rPr>
              <w:t>偏差原因分析及改进措施</w:t>
            </w:r>
          </w:p>
        </w:tc>
      </w:tr>
      <w:tr w14:paraId="7EC90E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994A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70A7F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2796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09659">
            <w:pPr>
              <w:jc w:val="center"/>
            </w:pPr>
            <w:r>
              <w:rPr>
                <w:rFonts w:ascii="宋体" w:hAnsi="宋体" w:eastAsia="宋体"/>
                <w:sz w:val="16"/>
              </w:rPr>
              <w:t>35-64岁农村妇女宫颈癌筛查人数（人）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96B15">
            <w:pPr>
              <w:jc w:val="center"/>
            </w:pPr>
            <w:r>
              <w:rPr>
                <w:rFonts w:ascii="宋体" w:hAnsi="宋体" w:eastAsia="宋体"/>
                <w:sz w:val="16"/>
              </w:rPr>
              <w:t>&gt;=300人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E30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CF21C">
            <w:pPr>
              <w:jc w:val="center"/>
            </w:pPr>
            <w:r>
              <w:rPr>
                <w:rFonts w:ascii="宋体" w:hAnsi="宋体" w:eastAsia="宋体"/>
                <w:sz w:val="16"/>
              </w:rPr>
              <w: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DEC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042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8D9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41E5F">
            <w:pPr>
              <w:jc w:val="center"/>
            </w:pPr>
            <w:r>
              <w:rPr>
                <w:rFonts w:ascii="宋体" w:hAnsi="宋体" w:eastAsia="宋体"/>
                <w:sz w:val="16"/>
              </w:rPr>
              <w: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E68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35AB1">
            <w:pPr>
              <w:jc w:val="center"/>
            </w:pPr>
          </w:p>
        </w:tc>
      </w:tr>
      <w:tr w14:paraId="207D98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F7E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640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1148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F4491">
            <w:pPr>
              <w:jc w:val="center"/>
            </w:pPr>
            <w:r>
              <w:rPr>
                <w:rFonts w:ascii="宋体" w:hAnsi="宋体" w:eastAsia="宋体"/>
                <w:sz w:val="16"/>
              </w:rPr>
              <w:t>资金规范管理使用率（%）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30154">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545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FFF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D8E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BF0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A85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172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C33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EF8A3">
            <w:pPr>
              <w:jc w:val="center"/>
            </w:pPr>
          </w:p>
        </w:tc>
      </w:tr>
      <w:tr w14:paraId="201580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1EB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0AAB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2ED4B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A2FEB">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641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8C8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C6F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509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38FE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E14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8B3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132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F74C4">
            <w:pPr>
              <w:jc w:val="center"/>
            </w:pPr>
          </w:p>
        </w:tc>
      </w:tr>
      <w:tr w14:paraId="21BA42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B92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F69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174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AD8D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19038">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CAA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EF27D">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2C8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5B5A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D48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E1449">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D77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0B7BC">
            <w:pPr>
              <w:jc w:val="center"/>
            </w:pPr>
          </w:p>
        </w:tc>
      </w:tr>
      <w:tr w14:paraId="2F81A9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1B6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ED63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8AA6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9951E">
            <w:pPr>
              <w:jc w:val="center"/>
            </w:pPr>
            <w:r>
              <w:rPr>
                <w:rFonts w:ascii="宋体" w:hAnsi="宋体" w:eastAsia="宋体"/>
                <w:sz w:val="16"/>
              </w:rPr>
              <w:t>35-64岁农村妇女宫颈癌筛查成本（万元）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7E084">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FF2A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5D80C">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99A3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5DA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6D4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A6C69">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563A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54B03">
            <w:pPr>
              <w:jc w:val="center"/>
            </w:pPr>
          </w:p>
        </w:tc>
      </w:tr>
      <w:tr w14:paraId="7F08C7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212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CC9F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0005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D711F">
            <w:pPr>
              <w:jc w:val="center"/>
            </w:pPr>
            <w:r>
              <w:rPr>
                <w:rFonts w:ascii="宋体" w:hAnsi="宋体" w:eastAsia="宋体"/>
                <w:sz w:val="16"/>
              </w:rPr>
              <w:t>逐步提高本县农村妇女整体健康水平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430B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AD8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F5D1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FB85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EC64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D21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F783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B912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9CD10">
            <w:pPr>
              <w:jc w:val="center"/>
            </w:pPr>
          </w:p>
        </w:tc>
      </w:tr>
      <w:tr w14:paraId="1B6AA4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374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A64F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BAE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216F9">
            <w:pPr>
              <w:jc w:val="center"/>
            </w:pPr>
            <w:r>
              <w:rPr>
                <w:rFonts w:ascii="宋体" w:hAnsi="宋体" w:eastAsia="宋体"/>
                <w:sz w:val="16"/>
              </w:rPr>
              <w:t>受益人满意度（%）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1CE9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504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8795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1D8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1F5A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A29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696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0D7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B700C">
            <w:pPr>
              <w:jc w:val="center"/>
            </w:pPr>
            <w:r>
              <w:rPr>
                <w:rFonts w:ascii="宋体" w:hAnsi="宋体" w:eastAsia="宋体"/>
                <w:sz w:val="16"/>
              </w:rPr>
              <w:t>项目完成情况较好，实际受益人满意度较高，所以指标出现正偏差</w:t>
            </w:r>
          </w:p>
        </w:tc>
      </w:tr>
      <w:tr w14:paraId="5C49FE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1624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71B7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1258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C73A24">
            <w:pPr>
              <w:jc w:val="center"/>
            </w:pPr>
            <w:r>
              <w:rPr>
                <w:rFonts w:ascii="宋体" w:hAnsi="宋体" w:eastAsia="宋体"/>
                <w:sz w:val="16"/>
              </w:rPr>
              <w:t>100分</w:t>
            </w:r>
          </w:p>
        </w:tc>
      </w:tr>
    </w:tbl>
    <w:p w14:paraId="34E9544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6FAF1E5C">
        <w:tblPrEx>
          <w:tblCellMar>
            <w:top w:w="0" w:type="dxa"/>
            <w:left w:w="108" w:type="dxa"/>
            <w:bottom w:w="0" w:type="dxa"/>
            <w:right w:w="108" w:type="dxa"/>
          </w:tblCellMar>
        </w:tblPrEx>
        <w:tc>
          <w:tcPr>
            <w:tcW w:w="8848" w:type="dxa"/>
            <w:gridSpan w:val="14"/>
            <w:vAlign w:val="center"/>
          </w:tcPr>
          <w:p w14:paraId="23AA53AE">
            <w:pPr>
              <w:jc w:val="center"/>
            </w:pPr>
            <w:r>
              <w:rPr>
                <w:rFonts w:ascii="宋体" w:hAnsi="宋体" w:eastAsia="宋体"/>
                <w:sz w:val="24"/>
              </w:rPr>
              <w:t>项目支出绩效自评表</w:t>
            </w:r>
          </w:p>
        </w:tc>
      </w:tr>
      <w:tr w14:paraId="1E18D3BA">
        <w:tblPrEx>
          <w:tblCellMar>
            <w:top w:w="0" w:type="dxa"/>
            <w:left w:w="108" w:type="dxa"/>
            <w:bottom w:w="0" w:type="dxa"/>
            <w:right w:w="108" w:type="dxa"/>
          </w:tblCellMar>
        </w:tblPrEx>
        <w:tc>
          <w:tcPr>
            <w:tcW w:w="8848" w:type="dxa"/>
            <w:gridSpan w:val="14"/>
            <w:vAlign w:val="center"/>
          </w:tcPr>
          <w:p w14:paraId="5F20F019">
            <w:pPr>
              <w:jc w:val="center"/>
            </w:pPr>
            <w:r>
              <w:rPr>
                <w:rFonts w:ascii="宋体" w:hAnsi="宋体" w:eastAsia="宋体"/>
                <w:sz w:val="24"/>
              </w:rPr>
              <w:t>(2024年度)</w:t>
            </w:r>
          </w:p>
        </w:tc>
      </w:tr>
      <w:tr w14:paraId="13CAF2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2A04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36F454C">
            <w:pPr>
              <w:jc w:val="center"/>
            </w:pPr>
            <w:r>
              <w:rPr>
                <w:rFonts w:ascii="宋体" w:hAnsi="宋体" w:eastAsia="宋体"/>
                <w:sz w:val="16"/>
              </w:rPr>
              <w:t>2024年中央财政基本公共卫生服务补助资金项目（妇幼卫生）</w:t>
            </w:r>
          </w:p>
        </w:tc>
      </w:tr>
      <w:tr w14:paraId="1F0E55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511F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EBDD97">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F5F9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C4C15A">
            <w:pPr>
              <w:jc w:val="center"/>
            </w:pPr>
            <w:r>
              <w:rPr>
                <w:rFonts w:ascii="宋体" w:hAnsi="宋体" w:eastAsia="宋体"/>
                <w:sz w:val="16"/>
              </w:rPr>
              <w:t>塔什库尔干塔吉克自治县妇幼保健</w:t>
            </w:r>
            <w:r>
              <w:rPr>
                <w:rFonts w:hint="eastAsia" w:ascii="宋体" w:hAnsi="宋体"/>
                <w:sz w:val="16"/>
                <w:lang w:val="en-US" w:eastAsia="zh-CN"/>
              </w:rPr>
              <w:t>计划生育</w:t>
            </w:r>
            <w:r>
              <w:rPr>
                <w:rFonts w:ascii="宋体" w:hAnsi="宋体" w:eastAsia="宋体"/>
                <w:sz w:val="16"/>
              </w:rPr>
              <w:t>服务中心</w:t>
            </w:r>
          </w:p>
        </w:tc>
      </w:tr>
      <w:tr w14:paraId="4E7326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9A00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A90F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E1DF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F642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4BBE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ED9C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61F3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FCADD">
            <w:pPr>
              <w:jc w:val="center"/>
            </w:pPr>
            <w:r>
              <w:rPr>
                <w:rFonts w:ascii="宋体" w:hAnsi="宋体" w:eastAsia="宋体"/>
                <w:sz w:val="16"/>
              </w:rPr>
              <w:t>得分</w:t>
            </w:r>
          </w:p>
        </w:tc>
      </w:tr>
      <w:tr w14:paraId="025DDC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76C44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7552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07D68">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CC0AC">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0B504">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F4F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DD3C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692CC">
            <w:pPr>
              <w:jc w:val="center"/>
            </w:pPr>
            <w:r>
              <w:rPr>
                <w:rFonts w:ascii="宋体" w:hAnsi="宋体" w:eastAsia="宋体"/>
                <w:sz w:val="16"/>
              </w:rPr>
              <w:t>10.00分</w:t>
            </w:r>
          </w:p>
        </w:tc>
      </w:tr>
      <w:tr w14:paraId="2AE1B3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10C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786F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3356A">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A47E8">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6AFF0">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5412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61C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81928">
            <w:pPr>
              <w:jc w:val="center"/>
            </w:pPr>
            <w:r>
              <w:rPr>
                <w:rFonts w:ascii="宋体" w:hAnsi="宋体" w:eastAsia="宋体"/>
                <w:sz w:val="16"/>
              </w:rPr>
              <w:t>—</w:t>
            </w:r>
          </w:p>
        </w:tc>
      </w:tr>
      <w:tr w14:paraId="195427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316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F04C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AC1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0D0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991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C4D0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83D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E6FF1">
            <w:pPr>
              <w:jc w:val="center"/>
            </w:pPr>
            <w:r>
              <w:rPr>
                <w:rFonts w:ascii="宋体" w:hAnsi="宋体" w:eastAsia="宋体"/>
                <w:sz w:val="16"/>
              </w:rPr>
              <w:t>—</w:t>
            </w:r>
          </w:p>
        </w:tc>
      </w:tr>
      <w:tr w14:paraId="65BBBC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C66BC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0228A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3F45C2">
            <w:pPr>
              <w:jc w:val="center"/>
            </w:pPr>
            <w:r>
              <w:rPr>
                <w:rFonts w:ascii="宋体" w:hAnsi="宋体" w:eastAsia="宋体"/>
                <w:sz w:val="16"/>
              </w:rPr>
              <w:t>实际完成情况</w:t>
            </w:r>
          </w:p>
        </w:tc>
      </w:tr>
      <w:tr w14:paraId="6E2345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3D07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5DE6D2">
            <w:pPr>
              <w:jc w:val="both"/>
            </w:pPr>
            <w:r>
              <w:rPr>
                <w:rFonts w:ascii="宋体" w:hAnsi="宋体" w:eastAsia="宋体"/>
                <w:sz w:val="16"/>
              </w:rPr>
              <w:t>2024年绩效</w:t>
            </w:r>
            <w:r>
              <w:rPr>
                <w:rFonts w:hint="eastAsia" w:ascii="宋体" w:hAnsi="宋体"/>
                <w:sz w:val="16"/>
                <w:lang w:eastAsia="zh-CN"/>
              </w:rPr>
              <w:t>目标</w:t>
            </w:r>
            <w:r>
              <w:rPr>
                <w:rFonts w:ascii="宋体" w:hAnsi="宋体" w:eastAsia="宋体"/>
                <w:sz w:val="16"/>
              </w:rPr>
              <w:t>：该项目投入17万元，主要用于下乡对居民进行宫颈癌初筛、儿童营养改善、新生儿听力筛查、新生儿遗传代谢</w:t>
            </w:r>
            <w:r>
              <w:rPr>
                <w:rFonts w:hint="eastAsia" w:ascii="宋体" w:hAnsi="宋体"/>
                <w:sz w:val="16"/>
                <w:lang w:eastAsia="zh-CN"/>
              </w:rPr>
              <w:t>病</w:t>
            </w:r>
            <w:r>
              <w:rPr>
                <w:rFonts w:ascii="宋体" w:hAnsi="宋体" w:eastAsia="宋体"/>
                <w:sz w:val="16"/>
              </w:rPr>
              <w:t>及先天性心脏疾病筛查、增补叶酸预防神经管缺陷、国家孕前优生检查等。做到早发现早治疗，确保城乡居民身体健康.</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AE25AB">
            <w:pPr>
              <w:jc w:val="both"/>
            </w:pPr>
            <w:r>
              <w:rPr>
                <w:rFonts w:ascii="宋体" w:hAnsi="宋体" w:eastAsia="宋体"/>
                <w:sz w:val="16"/>
              </w:rPr>
              <w:t>该项目投入17万元，主要用于下乡对居民进行宫颈癌初筛、儿童营养改善、新生儿听力筛查、新生儿</w:t>
            </w:r>
            <w:r>
              <w:rPr>
                <w:rFonts w:hint="eastAsia" w:ascii="宋体" w:hAnsi="宋体"/>
                <w:sz w:val="16"/>
                <w:lang w:eastAsia="zh-CN"/>
              </w:rPr>
              <w:t>遗传代谢病</w:t>
            </w:r>
            <w:r>
              <w:rPr>
                <w:rFonts w:ascii="宋体" w:hAnsi="宋体" w:eastAsia="宋体"/>
                <w:sz w:val="16"/>
              </w:rPr>
              <w:t>及先天性心脏疾病筛查、增补叶酸预防神经管缺陷、国家孕前优生检查等。做到早发现早治疗，确保城乡居民身体健康.</w:t>
            </w:r>
          </w:p>
        </w:tc>
      </w:tr>
      <w:tr w14:paraId="0F3979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EBD760">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579F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F573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D595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3920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46F3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9EDB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5892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058D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E0E5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8244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0AD2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5E073">
            <w:pPr>
              <w:jc w:val="center"/>
            </w:pPr>
            <w:r>
              <w:rPr>
                <w:rFonts w:ascii="宋体" w:hAnsi="宋体" w:eastAsia="宋体"/>
                <w:sz w:val="16"/>
              </w:rPr>
              <w:t>偏差原因分析及改进措施</w:t>
            </w:r>
          </w:p>
        </w:tc>
      </w:tr>
      <w:tr w14:paraId="07C569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097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78DF9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37D8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29443">
            <w:pPr>
              <w:jc w:val="center"/>
            </w:pPr>
            <w:r>
              <w:rPr>
                <w:rFonts w:ascii="宋体" w:hAnsi="宋体" w:eastAsia="宋体"/>
                <w:sz w:val="16"/>
              </w:rPr>
              <w:t>妇幼卫生筛查项目数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65C17">
            <w:pPr>
              <w:jc w:val="center"/>
            </w:pPr>
            <w:r>
              <w:rPr>
                <w:rFonts w:ascii="宋体" w:hAnsi="宋体" w:eastAsia="宋体"/>
                <w:sz w:val="16"/>
              </w:rPr>
              <w:t>&gt;=6项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DC1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AE7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6902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7FB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11D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D152B">
            <w:pPr>
              <w:jc w:val="center"/>
            </w:pPr>
            <w:r>
              <w:rPr>
                <w:rFonts w:ascii="宋体" w:hAnsi="宋体" w:eastAsia="宋体"/>
                <w:sz w:val="16"/>
              </w:rPr>
              <w:t>=6项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DFD9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30F6C">
            <w:pPr>
              <w:jc w:val="center"/>
            </w:pPr>
          </w:p>
        </w:tc>
      </w:tr>
      <w:tr w14:paraId="159B88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2D4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014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A68F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1EDBA">
            <w:pPr>
              <w:jc w:val="center"/>
            </w:pPr>
            <w:r>
              <w:rPr>
                <w:rFonts w:ascii="宋体" w:hAnsi="宋体" w:eastAsia="宋体"/>
                <w:sz w:val="16"/>
              </w:rPr>
              <w:t>妇幼卫生筛查覆盖率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CAE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AFE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57E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1B4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9B48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65D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3C0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86B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A9EA3">
            <w:pPr>
              <w:jc w:val="center"/>
            </w:pPr>
          </w:p>
        </w:tc>
      </w:tr>
      <w:tr w14:paraId="3BD6A4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4BD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68C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957C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8EF19">
            <w:pPr>
              <w:jc w:val="center"/>
            </w:pPr>
            <w:r>
              <w:rPr>
                <w:rFonts w:ascii="宋体" w:hAnsi="宋体" w:eastAsia="宋体"/>
                <w:sz w:val="16"/>
              </w:rPr>
              <w:t>资金按时支付率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12F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619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FCC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A06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880B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C68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32D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906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C01A9">
            <w:pPr>
              <w:jc w:val="center"/>
            </w:pPr>
          </w:p>
        </w:tc>
      </w:tr>
      <w:tr w14:paraId="769E60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982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7192A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19471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92A65">
            <w:pPr>
              <w:jc w:val="center"/>
            </w:pPr>
            <w:r>
              <w:rPr>
                <w:rFonts w:ascii="宋体" w:hAnsi="宋体" w:eastAsia="宋体"/>
                <w:sz w:val="16"/>
              </w:rPr>
              <w:t>儿童营养改善项目成本（万元）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6350B">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1CD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330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47F7F">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DB4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C32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C34E5">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47E8C">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74914">
            <w:pPr>
              <w:jc w:val="center"/>
            </w:pPr>
          </w:p>
        </w:tc>
      </w:tr>
      <w:tr w14:paraId="735163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4EC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DA8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661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68E64">
            <w:pPr>
              <w:jc w:val="center"/>
            </w:pPr>
            <w:r>
              <w:rPr>
                <w:rFonts w:ascii="宋体" w:hAnsi="宋体" w:eastAsia="宋体"/>
                <w:sz w:val="16"/>
              </w:rPr>
              <w:t>新生儿听力筛查项目成本（万元）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DDEAC">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8ED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86C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647AA">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235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6E5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C4DFE">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62703">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5F792">
            <w:pPr>
              <w:jc w:val="center"/>
            </w:pPr>
          </w:p>
        </w:tc>
      </w:tr>
      <w:tr w14:paraId="4570B8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541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832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CAC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645B7">
            <w:pPr>
              <w:jc w:val="center"/>
            </w:pPr>
            <w:r>
              <w:rPr>
                <w:rFonts w:ascii="宋体" w:hAnsi="宋体" w:eastAsia="宋体"/>
                <w:sz w:val="16"/>
              </w:rPr>
              <w:t>新生儿遗传代谢</w:t>
            </w:r>
            <w:r>
              <w:rPr>
                <w:rFonts w:hint="eastAsia" w:ascii="宋体" w:hAnsi="宋体"/>
                <w:sz w:val="16"/>
                <w:lang w:eastAsia="zh-CN"/>
              </w:rPr>
              <w:t>病</w:t>
            </w:r>
            <w:r>
              <w:rPr>
                <w:rFonts w:ascii="宋体" w:hAnsi="宋体" w:eastAsia="宋体"/>
                <w:sz w:val="16"/>
              </w:rPr>
              <w:t>及先天性心脏疾病筛查项目成本（万元）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F01AB">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216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9F9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34292">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A89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D55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CECE7">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1619F">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EA32D">
            <w:pPr>
              <w:jc w:val="center"/>
            </w:pPr>
          </w:p>
        </w:tc>
      </w:tr>
      <w:tr w14:paraId="36BAA1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CEF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958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A0F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78612">
            <w:pPr>
              <w:jc w:val="center"/>
            </w:pPr>
            <w:r>
              <w:rPr>
                <w:rFonts w:ascii="宋体" w:hAnsi="宋体" w:eastAsia="宋体"/>
                <w:sz w:val="16"/>
              </w:rPr>
              <w:t>增补叶酸预防神经管缺陷资金项目成本（万元）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2B9FA">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B52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112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A3F11">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2ED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FC4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977F5">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FA994">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415D1">
            <w:pPr>
              <w:jc w:val="center"/>
            </w:pPr>
          </w:p>
        </w:tc>
      </w:tr>
      <w:tr w14:paraId="4B1D98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C1E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F53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7CE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06096">
            <w:pPr>
              <w:jc w:val="center"/>
            </w:pPr>
            <w:r>
              <w:rPr>
                <w:rFonts w:ascii="宋体" w:hAnsi="宋体" w:eastAsia="宋体"/>
                <w:sz w:val="16"/>
              </w:rPr>
              <w:t>农村妇女两癌筛查项目成本（万元）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5CEDD">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5FA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92E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6A5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450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3CF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B6853">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2FD6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77A0B">
            <w:pPr>
              <w:jc w:val="center"/>
            </w:pPr>
          </w:p>
        </w:tc>
      </w:tr>
      <w:tr w14:paraId="65F705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85D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6FF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9C4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C4F0E">
            <w:pPr>
              <w:jc w:val="center"/>
            </w:pPr>
            <w:r>
              <w:rPr>
                <w:rFonts w:ascii="宋体" w:hAnsi="宋体" w:eastAsia="宋体"/>
                <w:sz w:val="16"/>
              </w:rPr>
              <w:t>国家孕前优生检查项目成本（万元）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960B9">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B7F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634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F40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73D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6D1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DA0FD">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217C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3A1D7">
            <w:pPr>
              <w:jc w:val="center"/>
            </w:pPr>
          </w:p>
        </w:tc>
      </w:tr>
      <w:tr w14:paraId="49AA47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5B4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E281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F5C3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89FC0">
            <w:pPr>
              <w:jc w:val="center"/>
            </w:pPr>
            <w:r>
              <w:rPr>
                <w:rFonts w:ascii="宋体" w:hAnsi="宋体" w:eastAsia="宋体"/>
                <w:sz w:val="16"/>
              </w:rPr>
              <w:t>保障城乡居民身体健康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E0805">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E6D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371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6B60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0F77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558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00DD8">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A4DE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EBB3B">
            <w:pPr>
              <w:jc w:val="center"/>
            </w:pPr>
          </w:p>
        </w:tc>
      </w:tr>
      <w:tr w14:paraId="15A0F4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742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F04E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0171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97A2E">
            <w:pPr>
              <w:jc w:val="center"/>
            </w:pPr>
            <w:r>
              <w:rPr>
                <w:rFonts w:ascii="宋体" w:hAnsi="宋体" w:eastAsia="宋体"/>
                <w:sz w:val="16"/>
              </w:rPr>
              <w:t>受检对象满意度（%）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9D74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555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912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80C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261C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BFD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8C5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891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6C7F9">
            <w:pPr>
              <w:jc w:val="center"/>
            </w:pPr>
            <w:r>
              <w:rPr>
                <w:rFonts w:ascii="宋体" w:hAnsi="宋体" w:eastAsia="宋体"/>
                <w:sz w:val="16"/>
              </w:rPr>
              <w:t>偏差原因：项目实施情况较好，受检对象满意度高于预期，导致出现正偏差，改进措施：基于当前良好表现，重新审视绩效目标，在以后绩效目标设置时设置更具挑战性的目标，以推动业务持续发展。</w:t>
            </w:r>
          </w:p>
        </w:tc>
      </w:tr>
      <w:tr w14:paraId="274C41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E081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E1BF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3216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068545">
            <w:pPr>
              <w:jc w:val="center"/>
            </w:pPr>
            <w:r>
              <w:rPr>
                <w:rFonts w:ascii="宋体" w:hAnsi="宋体" w:eastAsia="宋体"/>
                <w:sz w:val="16"/>
              </w:rPr>
              <w:t>100分</w:t>
            </w:r>
          </w:p>
        </w:tc>
      </w:tr>
    </w:tbl>
    <w:p w14:paraId="447D0D61">
      <w:r>
        <w:br w:type="page"/>
      </w:r>
    </w:p>
    <w:p w14:paraId="252CFB7A">
      <w:pPr>
        <w:spacing w:line="640" w:lineRule="exact"/>
        <w:ind w:firstLine="640"/>
        <w:jc w:val="both"/>
        <w:outlineLvl w:val="2"/>
      </w:pPr>
      <w:r>
        <w:rPr>
          <w:rFonts w:ascii="黑体" w:hAnsi="黑体" w:eastAsia="黑体"/>
          <w:sz w:val="32"/>
        </w:rPr>
        <w:t>十二、其他需说明的事项</w:t>
      </w:r>
    </w:p>
    <w:p w14:paraId="30934435">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16782004">
      <w:r>
        <w:br w:type="page"/>
      </w:r>
    </w:p>
    <w:p w14:paraId="767F3DD6">
      <w:pPr>
        <w:spacing w:line="240" w:lineRule="auto"/>
        <w:jc w:val="center"/>
        <w:outlineLvl w:val="1"/>
      </w:pPr>
      <w:r>
        <w:rPr>
          <w:rFonts w:ascii="黑体" w:hAnsi="黑体" w:eastAsia="黑体"/>
          <w:sz w:val="32"/>
        </w:rPr>
        <w:t>第三部分 专业名词解释</w:t>
      </w:r>
    </w:p>
    <w:p w14:paraId="195D28F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1D36D2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FD7B28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563465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CA3BD7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715A5C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E04CEE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63F2EA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6A7164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7456DD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91F2C8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7B851D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6ABCB4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E7A0E8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0F86432">
      <w:r>
        <w:br w:type="page"/>
      </w:r>
    </w:p>
    <w:p w14:paraId="0971C13F">
      <w:pPr>
        <w:spacing w:line="240" w:lineRule="auto"/>
        <w:jc w:val="center"/>
        <w:outlineLvl w:val="1"/>
      </w:pPr>
      <w:r>
        <w:rPr>
          <w:rFonts w:ascii="黑体" w:hAnsi="黑体" w:eastAsia="黑体"/>
          <w:sz w:val="32"/>
        </w:rPr>
        <w:t>第四部分 部门决算报表（见附表）</w:t>
      </w:r>
    </w:p>
    <w:p w14:paraId="577606C0">
      <w:pPr>
        <w:spacing w:line="240" w:lineRule="auto"/>
        <w:ind w:firstLine="640"/>
        <w:jc w:val="both"/>
      </w:pPr>
      <w:r>
        <w:rPr>
          <w:rFonts w:ascii="仿宋_GB2312" w:hAnsi="仿宋_GB2312" w:eastAsia="仿宋_GB2312"/>
          <w:b w:val="0"/>
          <w:sz w:val="32"/>
        </w:rPr>
        <w:t>一、《收入支出决算总表》</w:t>
      </w:r>
    </w:p>
    <w:p w14:paraId="484E32A3">
      <w:pPr>
        <w:spacing w:line="240" w:lineRule="auto"/>
        <w:ind w:firstLine="640"/>
        <w:jc w:val="both"/>
      </w:pPr>
      <w:r>
        <w:rPr>
          <w:rFonts w:ascii="仿宋_GB2312" w:hAnsi="仿宋_GB2312" w:eastAsia="仿宋_GB2312"/>
          <w:b w:val="0"/>
          <w:sz w:val="32"/>
        </w:rPr>
        <w:t>二、《收入决算表》</w:t>
      </w:r>
    </w:p>
    <w:p w14:paraId="21CD6455">
      <w:pPr>
        <w:spacing w:line="240" w:lineRule="auto"/>
        <w:ind w:firstLine="640"/>
        <w:jc w:val="both"/>
      </w:pPr>
      <w:r>
        <w:rPr>
          <w:rFonts w:ascii="仿宋_GB2312" w:hAnsi="仿宋_GB2312" w:eastAsia="仿宋_GB2312"/>
          <w:b w:val="0"/>
          <w:sz w:val="32"/>
        </w:rPr>
        <w:t>三、《支出决算表》</w:t>
      </w:r>
    </w:p>
    <w:p w14:paraId="40CC58BC">
      <w:pPr>
        <w:spacing w:line="240" w:lineRule="auto"/>
        <w:ind w:firstLine="640"/>
        <w:jc w:val="both"/>
      </w:pPr>
      <w:r>
        <w:rPr>
          <w:rFonts w:ascii="仿宋_GB2312" w:hAnsi="仿宋_GB2312" w:eastAsia="仿宋_GB2312"/>
          <w:b w:val="0"/>
          <w:sz w:val="32"/>
        </w:rPr>
        <w:t>四、《财政拨款收入支出决算总表》</w:t>
      </w:r>
    </w:p>
    <w:p w14:paraId="313D79E4">
      <w:pPr>
        <w:spacing w:line="240" w:lineRule="auto"/>
        <w:ind w:firstLine="640"/>
        <w:jc w:val="both"/>
      </w:pPr>
      <w:r>
        <w:rPr>
          <w:rFonts w:ascii="仿宋_GB2312" w:hAnsi="仿宋_GB2312" w:eastAsia="仿宋_GB2312"/>
          <w:b w:val="0"/>
          <w:sz w:val="32"/>
        </w:rPr>
        <w:t>五、《一般公共预算财政拨款支出决算表》</w:t>
      </w:r>
    </w:p>
    <w:p w14:paraId="116D9E9A">
      <w:pPr>
        <w:spacing w:line="240" w:lineRule="auto"/>
        <w:ind w:firstLine="640"/>
        <w:jc w:val="both"/>
      </w:pPr>
      <w:r>
        <w:rPr>
          <w:rFonts w:ascii="仿宋_GB2312" w:hAnsi="仿宋_GB2312" w:eastAsia="仿宋_GB2312"/>
          <w:b w:val="0"/>
          <w:sz w:val="32"/>
        </w:rPr>
        <w:t>六、《一般公共预算财政拨款基本支出决算表》</w:t>
      </w:r>
    </w:p>
    <w:p w14:paraId="687F32F4">
      <w:pPr>
        <w:spacing w:line="240" w:lineRule="auto"/>
        <w:ind w:firstLine="640"/>
        <w:jc w:val="both"/>
      </w:pPr>
      <w:r>
        <w:rPr>
          <w:rFonts w:ascii="仿宋_GB2312" w:hAnsi="仿宋_GB2312" w:eastAsia="仿宋_GB2312"/>
          <w:b w:val="0"/>
          <w:sz w:val="32"/>
        </w:rPr>
        <w:t>七、《政府性基金预算财政拨款收入支出决算表》</w:t>
      </w:r>
    </w:p>
    <w:p w14:paraId="4647A0D6">
      <w:pPr>
        <w:spacing w:line="240" w:lineRule="auto"/>
        <w:ind w:firstLine="640"/>
        <w:jc w:val="both"/>
      </w:pPr>
      <w:r>
        <w:rPr>
          <w:rFonts w:ascii="仿宋_GB2312" w:hAnsi="仿宋_GB2312" w:eastAsia="仿宋_GB2312"/>
          <w:b w:val="0"/>
          <w:sz w:val="32"/>
        </w:rPr>
        <w:t>八、《国有资本经营预算财政拨款收入支出决算表》</w:t>
      </w:r>
    </w:p>
    <w:p w14:paraId="44BFD661">
      <w:pPr>
        <w:spacing w:line="240" w:lineRule="auto"/>
        <w:ind w:firstLine="640"/>
        <w:jc w:val="both"/>
      </w:pPr>
      <w:r>
        <w:rPr>
          <w:rFonts w:ascii="仿宋_GB2312" w:hAnsi="仿宋_GB2312" w:eastAsia="仿宋_GB2312"/>
          <w:b w:val="0"/>
          <w:sz w:val="32"/>
        </w:rPr>
        <w:t>九、《财政拨款“三公”经费支出决算表》</w:t>
      </w:r>
    </w:p>
    <w:p w14:paraId="38BEB0D2">
      <w:pPr>
        <w:spacing w:line="240" w:lineRule="auto"/>
        <w:ind w:firstLine="640"/>
        <w:jc w:val="both"/>
      </w:pPr>
    </w:p>
    <w:p w14:paraId="4FFB6B71">
      <w:pPr>
        <w:spacing w:line="240" w:lineRule="auto"/>
        <w:ind w:firstLine="640"/>
        <w:jc w:val="both"/>
      </w:pPr>
    </w:p>
    <w:p w14:paraId="22BEFB2C">
      <w:pPr>
        <w:spacing w:line="240" w:lineRule="auto"/>
        <w:ind w:firstLine="640"/>
        <w:jc w:val="both"/>
      </w:pPr>
    </w:p>
    <w:p w14:paraId="31350E18">
      <w:pPr>
        <w:spacing w:line="240" w:lineRule="auto"/>
        <w:ind w:firstLine="640"/>
        <w:jc w:val="both"/>
      </w:pPr>
    </w:p>
    <w:p w14:paraId="77086B7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3544AC7"/>
    <w:rsid w:val="043E5B56"/>
    <w:rsid w:val="06792773"/>
    <w:rsid w:val="09A729D8"/>
    <w:rsid w:val="0A3C58E8"/>
    <w:rsid w:val="0A7B4867"/>
    <w:rsid w:val="0B8C3ECC"/>
    <w:rsid w:val="0C3613A3"/>
    <w:rsid w:val="0C7227A7"/>
    <w:rsid w:val="0DCA6EF7"/>
    <w:rsid w:val="0E4B1576"/>
    <w:rsid w:val="0EA04331"/>
    <w:rsid w:val="0F9811B3"/>
    <w:rsid w:val="11E15093"/>
    <w:rsid w:val="120E0809"/>
    <w:rsid w:val="171B0FC3"/>
    <w:rsid w:val="18381F96"/>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63A2B6C"/>
    <w:rsid w:val="27CE017C"/>
    <w:rsid w:val="27CF2642"/>
    <w:rsid w:val="282459E2"/>
    <w:rsid w:val="29116777"/>
    <w:rsid w:val="2A053397"/>
    <w:rsid w:val="2A444FB1"/>
    <w:rsid w:val="2A6064E2"/>
    <w:rsid w:val="2C1965E9"/>
    <w:rsid w:val="2C2B148B"/>
    <w:rsid w:val="2D1136DF"/>
    <w:rsid w:val="2DAE0E44"/>
    <w:rsid w:val="2FD27414"/>
    <w:rsid w:val="302503E9"/>
    <w:rsid w:val="313F1D52"/>
    <w:rsid w:val="318029AB"/>
    <w:rsid w:val="31A36542"/>
    <w:rsid w:val="31C63837"/>
    <w:rsid w:val="326F0A17"/>
    <w:rsid w:val="3277581B"/>
    <w:rsid w:val="38006E2C"/>
    <w:rsid w:val="3914510A"/>
    <w:rsid w:val="3B1220C9"/>
    <w:rsid w:val="3D5275AC"/>
    <w:rsid w:val="3EA7725F"/>
    <w:rsid w:val="3EC014A1"/>
    <w:rsid w:val="40834692"/>
    <w:rsid w:val="40DA0D7C"/>
    <w:rsid w:val="423A32B2"/>
    <w:rsid w:val="423C0CB4"/>
    <w:rsid w:val="427B5743"/>
    <w:rsid w:val="42E64542"/>
    <w:rsid w:val="44A27E03"/>
    <w:rsid w:val="44AF170F"/>
    <w:rsid w:val="464B7E04"/>
    <w:rsid w:val="464F7E64"/>
    <w:rsid w:val="46901EEE"/>
    <w:rsid w:val="469C74D2"/>
    <w:rsid w:val="47445515"/>
    <w:rsid w:val="4AB4263E"/>
    <w:rsid w:val="4B3D2633"/>
    <w:rsid w:val="4B45289B"/>
    <w:rsid w:val="4B4C0111"/>
    <w:rsid w:val="4BB23021"/>
    <w:rsid w:val="4F3F074E"/>
    <w:rsid w:val="4FEC5E8F"/>
    <w:rsid w:val="50DB5F45"/>
    <w:rsid w:val="52F92565"/>
    <w:rsid w:val="543D17CB"/>
    <w:rsid w:val="55DA564E"/>
    <w:rsid w:val="56E07045"/>
    <w:rsid w:val="583059FA"/>
    <w:rsid w:val="587E6212"/>
    <w:rsid w:val="5AFC6609"/>
    <w:rsid w:val="5D333896"/>
    <w:rsid w:val="5FA17648"/>
    <w:rsid w:val="5FD320BD"/>
    <w:rsid w:val="603B68DB"/>
    <w:rsid w:val="60DE4D57"/>
    <w:rsid w:val="613409CB"/>
    <w:rsid w:val="61A46A97"/>
    <w:rsid w:val="62DD7D21"/>
    <w:rsid w:val="65D97752"/>
    <w:rsid w:val="664C500C"/>
    <w:rsid w:val="67D111AB"/>
    <w:rsid w:val="68DB0208"/>
    <w:rsid w:val="68DF36D5"/>
    <w:rsid w:val="69846A0E"/>
    <w:rsid w:val="69AD798C"/>
    <w:rsid w:val="6B145700"/>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5118</Words>
  <Characters>5830</Characters>
  <Lines>0</Lines>
  <Paragraphs>0</Paragraphs>
  <TotalTime>0</TotalTime>
  <ScaleCrop>false</ScaleCrop>
  <LinksUpToDate>false</LinksUpToDate>
  <CharactersWithSpaces>5838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2025-09-04T09:03:43Z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