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塔什库尔干塔吉克自治县驻喀什干休所2024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AA3A4C8">
      <w:r>
        <w:br w:type="page"/>
      </w:r>
    </w:p>
    <w:p w14:paraId="4F8A0F78">
      <w:pPr>
        <w:spacing w:line="640" w:lineRule="exact"/>
        <w:jc w:val="center"/>
        <w:outlineLvl w:val="1"/>
      </w:pPr>
      <w:r>
        <w:rPr>
          <w:rFonts w:ascii="黑体" w:hAnsi="黑体" w:eastAsia="黑体"/>
          <w:sz w:val="32"/>
        </w:rPr>
        <w:t>第一部分 单位概况</w:t>
      </w:r>
    </w:p>
    <w:p w14:paraId="0C9B1953">
      <w:pPr>
        <w:spacing w:line="640" w:lineRule="exact"/>
        <w:ind w:firstLine="640"/>
        <w:jc w:val="both"/>
        <w:outlineLvl w:val="2"/>
      </w:pPr>
      <w:r>
        <w:rPr>
          <w:rFonts w:ascii="黑体" w:hAnsi="黑体" w:eastAsia="黑体"/>
          <w:sz w:val="32"/>
        </w:rPr>
        <w:t>一、主要职能</w:t>
      </w:r>
    </w:p>
    <w:p w14:paraId="28DF1717">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贯彻落实党中央、国务院及自治区关于离退休老干部工作的方针、政策。</w:t>
      </w:r>
    </w:p>
    <w:p w14:paraId="0C6F4156">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协助县委</w:t>
      </w:r>
      <w:r>
        <w:rPr>
          <w:rFonts w:hint="eastAsia" w:ascii="仿宋_GB2312" w:hAnsi="仿宋_GB2312" w:eastAsia="仿宋_GB2312"/>
          <w:sz w:val="32"/>
          <w:lang w:eastAsia="zh-CN"/>
        </w:rPr>
        <w:t>老干部局</w:t>
      </w:r>
      <w:r>
        <w:rPr>
          <w:rFonts w:ascii="仿宋_GB2312" w:hAnsi="仿宋_GB2312" w:eastAsia="仿宋_GB2312"/>
          <w:sz w:val="32"/>
        </w:rPr>
        <w:t>抓好老干部党组织建设和</w:t>
      </w:r>
      <w:r>
        <w:rPr>
          <w:rFonts w:hint="eastAsia" w:ascii="仿宋_GB2312" w:hAnsi="仿宋_GB2312" w:eastAsia="仿宋_GB2312"/>
          <w:sz w:val="32"/>
          <w:lang w:eastAsia="zh-CN"/>
        </w:rPr>
        <w:t>思想政治</w:t>
      </w:r>
      <w:r>
        <w:rPr>
          <w:rFonts w:ascii="仿宋_GB2312" w:hAnsi="仿宋_GB2312" w:eastAsia="仿宋_GB2312"/>
          <w:sz w:val="32"/>
        </w:rPr>
        <w:t>工作，落实老干部的政治待遇和生活待遇。</w:t>
      </w:r>
    </w:p>
    <w:p w14:paraId="57C4BA90">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认真做好干休所内老干部的服务和管理工作。</w:t>
      </w:r>
    </w:p>
    <w:p w14:paraId="7AB68685">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完成自治区县委组织部和县委</w:t>
      </w:r>
      <w:r>
        <w:rPr>
          <w:rFonts w:hint="eastAsia" w:ascii="仿宋_GB2312" w:hAnsi="仿宋_GB2312" w:eastAsia="仿宋_GB2312"/>
          <w:sz w:val="32"/>
          <w:lang w:eastAsia="zh-CN"/>
        </w:rPr>
        <w:t>老干部局</w:t>
      </w:r>
      <w:r>
        <w:rPr>
          <w:rFonts w:ascii="仿宋_GB2312" w:hAnsi="仿宋_GB2312" w:eastAsia="仿宋_GB2312"/>
          <w:sz w:val="32"/>
        </w:rPr>
        <w:t>交办的其他工作任务。</w:t>
      </w:r>
    </w:p>
    <w:p w14:paraId="5F840B42">
      <w:pPr>
        <w:spacing w:line="640" w:lineRule="exact"/>
        <w:ind w:firstLine="640"/>
        <w:jc w:val="both"/>
        <w:outlineLvl w:val="2"/>
      </w:pPr>
      <w:r>
        <w:rPr>
          <w:rFonts w:ascii="黑体" w:hAnsi="黑体" w:eastAsia="黑体"/>
          <w:sz w:val="32"/>
        </w:rPr>
        <w:t>二、机构设置及人员情况</w:t>
      </w:r>
    </w:p>
    <w:p w14:paraId="40DC1289">
      <w:pPr>
        <w:spacing w:line="580" w:lineRule="exact"/>
        <w:ind w:firstLine="640"/>
        <w:jc w:val="both"/>
      </w:pPr>
      <w:r>
        <w:rPr>
          <w:rFonts w:ascii="仿宋_GB2312" w:hAnsi="仿宋_GB2312" w:eastAsia="仿宋_GB2312"/>
          <w:sz w:val="32"/>
        </w:rPr>
        <w:t>塔什库尔干塔吉克自治县驻喀什干休所2024年度，实有人数22人，其中：在职人员0人，增加0人；离休人员0人，增加0人；退休人员22人,减少1人。</w:t>
      </w:r>
    </w:p>
    <w:p w14:paraId="01808C5F">
      <w:pPr>
        <w:spacing w:line="580" w:lineRule="exact"/>
        <w:ind w:firstLine="640"/>
        <w:jc w:val="both"/>
      </w:pPr>
      <w:r>
        <w:rPr>
          <w:rFonts w:ascii="仿宋_GB2312" w:hAnsi="仿宋_GB2312" w:eastAsia="仿宋_GB2312"/>
          <w:sz w:val="32"/>
        </w:rPr>
        <w:t>单位无下属预算单位，下设</w:t>
      </w:r>
      <w:r>
        <w:rPr>
          <w:rFonts w:hint="eastAsia" w:ascii="仿宋_GB2312" w:hAnsi="仿宋_GB2312" w:eastAsia="仿宋_GB2312"/>
          <w:sz w:val="32"/>
          <w:lang w:val="en-US" w:eastAsia="zh-CN"/>
        </w:rPr>
        <w:t>0</w:t>
      </w:r>
      <w:r>
        <w:rPr>
          <w:rFonts w:ascii="仿宋_GB2312" w:hAnsi="仿宋_GB2312" w:eastAsia="仿宋_GB2312"/>
          <w:sz w:val="32"/>
        </w:rPr>
        <w:t>个科室，分别是：本单位无下设科室。</w:t>
      </w:r>
    </w:p>
    <w:p w14:paraId="0C5ABE37">
      <w:r>
        <w:br w:type="page"/>
      </w:r>
    </w:p>
    <w:p w14:paraId="3A0842B9">
      <w:pPr>
        <w:spacing w:line="240" w:lineRule="auto"/>
        <w:jc w:val="center"/>
        <w:outlineLvl w:val="1"/>
      </w:pPr>
      <w:r>
        <w:rPr>
          <w:rFonts w:ascii="黑体" w:hAnsi="黑体" w:eastAsia="黑体"/>
          <w:sz w:val="32"/>
        </w:rPr>
        <w:t>第二部分 部门决算情况说明</w:t>
      </w:r>
    </w:p>
    <w:p w14:paraId="24AB1C9E">
      <w:pPr>
        <w:spacing w:line="640" w:lineRule="exact"/>
        <w:ind w:firstLine="640"/>
        <w:jc w:val="both"/>
        <w:outlineLvl w:val="2"/>
      </w:pPr>
      <w:r>
        <w:rPr>
          <w:rFonts w:ascii="黑体" w:hAnsi="黑体" w:eastAsia="黑体"/>
          <w:sz w:val="32"/>
        </w:rPr>
        <w:t>一、收入支出决算总体情况说明</w:t>
      </w:r>
    </w:p>
    <w:p w14:paraId="44524265">
      <w:pPr>
        <w:spacing w:line="580" w:lineRule="exact"/>
        <w:ind w:firstLine="640"/>
        <w:jc w:val="both"/>
      </w:pPr>
      <w:r>
        <w:rPr>
          <w:rFonts w:ascii="仿宋_GB2312" w:hAnsi="仿宋_GB2312" w:eastAsia="仿宋_GB2312"/>
          <w:b/>
          <w:sz w:val="32"/>
        </w:rPr>
        <w:t>2024年度收入总计91.90万元，</w:t>
      </w:r>
      <w:r>
        <w:rPr>
          <w:rFonts w:ascii="仿宋_GB2312" w:hAnsi="仿宋_GB2312" w:eastAsia="仿宋_GB2312"/>
          <w:b w:val="0"/>
          <w:sz w:val="32"/>
        </w:rPr>
        <w:t>其中：本年收入合计91.90万元，使用非财政拨款结余（含专用结余）0.00万元，年初结转和结余0.00万元。</w:t>
      </w:r>
    </w:p>
    <w:p w14:paraId="64ABDB7F">
      <w:pPr>
        <w:spacing w:line="580" w:lineRule="exact"/>
        <w:ind w:firstLine="640"/>
        <w:jc w:val="both"/>
      </w:pPr>
      <w:r>
        <w:rPr>
          <w:rFonts w:ascii="仿宋_GB2312" w:hAnsi="仿宋_GB2312" w:eastAsia="仿宋_GB2312"/>
          <w:b/>
          <w:sz w:val="32"/>
        </w:rPr>
        <w:t>2024年度支出总计91.90万元，</w:t>
      </w:r>
      <w:r>
        <w:rPr>
          <w:rFonts w:ascii="仿宋_GB2312" w:hAnsi="仿宋_GB2312" w:eastAsia="仿宋_GB2312"/>
          <w:b w:val="0"/>
          <w:sz w:val="32"/>
        </w:rPr>
        <w:t>其中：本年支出合计91.90万元，结余分配0.00万元，年末结转和结余0.00万元。</w:t>
      </w:r>
    </w:p>
    <w:p w14:paraId="69BBE0FA">
      <w:pPr>
        <w:spacing w:line="580" w:lineRule="exact"/>
        <w:ind w:firstLine="640"/>
        <w:jc w:val="both"/>
      </w:pPr>
      <w:r>
        <w:rPr>
          <w:rFonts w:ascii="仿宋_GB2312" w:hAnsi="仿宋_GB2312" w:eastAsia="仿宋_GB2312"/>
          <w:b w:val="0"/>
          <w:sz w:val="32"/>
        </w:rPr>
        <w:t>收入支出总体与上年相比，减少71.04万元，下降43.60%，主要原因是：本年退休死亡人员数量较上年减少，丧葬费及一次性抚恤金减少，导致经费较上年减少。</w:t>
      </w:r>
    </w:p>
    <w:p w14:paraId="6E61B8D6">
      <w:pPr>
        <w:spacing w:line="640" w:lineRule="exact"/>
        <w:ind w:firstLine="640"/>
        <w:jc w:val="both"/>
        <w:outlineLvl w:val="2"/>
      </w:pPr>
      <w:r>
        <w:rPr>
          <w:rFonts w:ascii="黑体" w:hAnsi="黑体" w:eastAsia="黑体"/>
          <w:sz w:val="32"/>
        </w:rPr>
        <w:t>二、收入决算情况说明</w:t>
      </w:r>
    </w:p>
    <w:p w14:paraId="6B618E1D">
      <w:pPr>
        <w:spacing w:line="580" w:lineRule="exact"/>
        <w:ind w:firstLine="640"/>
        <w:jc w:val="both"/>
      </w:pPr>
      <w:r>
        <w:rPr>
          <w:rFonts w:ascii="仿宋_GB2312" w:hAnsi="仿宋_GB2312" w:eastAsia="仿宋_GB2312"/>
          <w:b/>
          <w:sz w:val="32"/>
        </w:rPr>
        <w:t>本年收入91.90万元，</w:t>
      </w:r>
      <w:r>
        <w:rPr>
          <w:rFonts w:ascii="仿宋_GB2312" w:hAnsi="仿宋_GB2312" w:eastAsia="仿宋_GB2312"/>
          <w:b w:val="0"/>
          <w:sz w:val="32"/>
        </w:rPr>
        <w:t>其中：财政拨款收入91.90万元，占100.00%；上级补助收入0.00万元，占0.00%；事业收入0.00万元，占0.00%；经营收入0.00万元，占0.00%；附属单位上缴收入0.00万元，占0.00%；其他收入0.00万元，占0.00%。</w:t>
      </w:r>
    </w:p>
    <w:p w14:paraId="64BFE72F">
      <w:pPr>
        <w:spacing w:line="640" w:lineRule="exact"/>
        <w:ind w:firstLine="640"/>
        <w:jc w:val="both"/>
        <w:outlineLvl w:val="2"/>
      </w:pPr>
      <w:r>
        <w:rPr>
          <w:rFonts w:ascii="黑体" w:hAnsi="黑体" w:eastAsia="黑体"/>
          <w:sz w:val="32"/>
        </w:rPr>
        <w:t>三、支出决算情况说明</w:t>
      </w:r>
    </w:p>
    <w:p w14:paraId="2840DE88">
      <w:pPr>
        <w:spacing w:line="580" w:lineRule="exact"/>
        <w:ind w:firstLine="640"/>
        <w:jc w:val="both"/>
      </w:pPr>
      <w:r>
        <w:rPr>
          <w:rFonts w:ascii="仿宋_GB2312" w:hAnsi="仿宋_GB2312" w:eastAsia="仿宋_GB2312"/>
          <w:b/>
          <w:sz w:val="32"/>
        </w:rPr>
        <w:t>本年支出91.90万元，</w:t>
      </w:r>
      <w:r>
        <w:rPr>
          <w:rFonts w:ascii="仿宋_GB2312" w:hAnsi="仿宋_GB2312" w:eastAsia="仿宋_GB2312"/>
          <w:b w:val="0"/>
          <w:sz w:val="32"/>
        </w:rPr>
        <w:t>其中：基本支出91.90万元，占100.00%；项目支出0.00万元，占0.00%；上缴上级支出0.00万元，占0.00%；经营支出0.00万元，占0.00%；对附属单位补助支出0.00万元，占0.00%。</w:t>
      </w:r>
    </w:p>
    <w:p w14:paraId="6E26F168">
      <w:pPr>
        <w:spacing w:line="640" w:lineRule="exact"/>
        <w:ind w:firstLine="640"/>
        <w:jc w:val="both"/>
        <w:outlineLvl w:val="2"/>
      </w:pPr>
      <w:r>
        <w:rPr>
          <w:rFonts w:ascii="黑体" w:hAnsi="黑体" w:eastAsia="黑体"/>
          <w:sz w:val="32"/>
        </w:rPr>
        <w:t>四、财政拨款收入支出决算总体情况说明</w:t>
      </w:r>
    </w:p>
    <w:p w14:paraId="0E8C5ADF">
      <w:pPr>
        <w:spacing w:line="580" w:lineRule="exact"/>
        <w:ind w:firstLine="640"/>
        <w:jc w:val="both"/>
      </w:pPr>
      <w:r>
        <w:rPr>
          <w:rFonts w:ascii="仿宋_GB2312" w:hAnsi="仿宋_GB2312" w:eastAsia="仿宋_GB2312"/>
          <w:b/>
          <w:sz w:val="32"/>
        </w:rPr>
        <w:t>2024年度财政拨款收入总计91.90万元，</w:t>
      </w:r>
      <w:r>
        <w:rPr>
          <w:rFonts w:ascii="仿宋_GB2312" w:hAnsi="仿宋_GB2312" w:eastAsia="仿宋_GB2312"/>
          <w:b w:val="0"/>
          <w:sz w:val="32"/>
        </w:rPr>
        <w:t>其中：年初财政拨款结转和结余0.00万元，本年财政拨款收入91.90万元。</w:t>
      </w:r>
      <w:r>
        <w:rPr>
          <w:rFonts w:ascii="仿宋_GB2312" w:hAnsi="仿宋_GB2312" w:eastAsia="仿宋_GB2312"/>
          <w:b/>
          <w:sz w:val="32"/>
        </w:rPr>
        <w:t>财政拨款支出总计91.90万元，</w:t>
      </w:r>
      <w:r>
        <w:rPr>
          <w:rFonts w:ascii="仿宋_GB2312" w:hAnsi="仿宋_GB2312" w:eastAsia="仿宋_GB2312"/>
          <w:b w:val="0"/>
          <w:sz w:val="32"/>
        </w:rPr>
        <w:t>其中：年末财政拨款结转和结余0.00万元，本年财政拨款支出91.90万元。</w:t>
      </w:r>
    </w:p>
    <w:p w14:paraId="50C40A41">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减少71.04万元，下降43.60%，主要原因是：本年退休死亡人员数量较上年减少，丧葬费及一次性抚恤金减少。</w:t>
      </w:r>
      <w:r>
        <w:rPr>
          <w:rFonts w:ascii="仿宋_GB2312" w:hAnsi="仿宋_GB2312" w:eastAsia="仿宋_GB2312"/>
          <w:b/>
          <w:sz w:val="32"/>
        </w:rPr>
        <w:t>与年初预算相比，</w:t>
      </w:r>
      <w:r>
        <w:rPr>
          <w:rFonts w:ascii="仿宋_GB2312" w:hAnsi="仿宋_GB2312" w:eastAsia="仿宋_GB2312"/>
          <w:b w:val="0"/>
          <w:sz w:val="32"/>
        </w:rPr>
        <w:t>年初预算数35.34万元，决算数91.90万元，预决算差异率160.05%，主要原因是：本年度存在退休死亡人员，年中追加丧葬费及一次性抚恤金。</w:t>
      </w:r>
    </w:p>
    <w:p w14:paraId="69DC2061">
      <w:pPr>
        <w:spacing w:line="640" w:lineRule="exact"/>
        <w:ind w:firstLine="640"/>
        <w:jc w:val="both"/>
        <w:outlineLvl w:val="2"/>
      </w:pPr>
      <w:r>
        <w:rPr>
          <w:rFonts w:ascii="黑体" w:hAnsi="黑体" w:eastAsia="黑体"/>
          <w:sz w:val="32"/>
        </w:rPr>
        <w:t>五、一般公共预算财政拨款支出决算情况说明</w:t>
      </w:r>
    </w:p>
    <w:p w14:paraId="1B5F600A">
      <w:pPr>
        <w:spacing w:line="640" w:lineRule="exact"/>
        <w:ind w:firstLine="640"/>
        <w:jc w:val="both"/>
        <w:outlineLvl w:val="3"/>
      </w:pPr>
      <w:r>
        <w:rPr>
          <w:rFonts w:ascii="楷体_GB2312" w:hAnsi="楷体_GB2312" w:eastAsia="楷体_GB2312"/>
          <w:b/>
          <w:sz w:val="32"/>
        </w:rPr>
        <w:t>（一）一般公共预算财政拨款支出决算总体情况</w:t>
      </w:r>
    </w:p>
    <w:p w14:paraId="65212471">
      <w:pPr>
        <w:spacing w:line="580" w:lineRule="exact"/>
        <w:ind w:firstLine="640"/>
        <w:jc w:val="both"/>
      </w:pPr>
      <w:r>
        <w:rPr>
          <w:rFonts w:ascii="仿宋_GB2312" w:hAnsi="仿宋_GB2312" w:eastAsia="仿宋_GB2312"/>
          <w:b/>
          <w:sz w:val="32"/>
        </w:rPr>
        <w:t>2024年度一般公共预算财政拨款支出91.90万元，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减少71.04万元，下降43.60%，主要原因是：本年退休死亡人员数量较上年减少，丧葬费及一次性抚恤金减少。</w:t>
      </w:r>
      <w:r>
        <w:rPr>
          <w:rFonts w:ascii="仿宋_GB2312" w:hAnsi="仿宋_GB2312" w:eastAsia="仿宋_GB2312"/>
          <w:b/>
          <w:sz w:val="32"/>
        </w:rPr>
        <w:t>与年初预算相比,</w:t>
      </w:r>
      <w:r>
        <w:rPr>
          <w:rFonts w:ascii="仿宋_GB2312" w:hAnsi="仿宋_GB2312" w:eastAsia="仿宋_GB2312"/>
          <w:b w:val="0"/>
          <w:sz w:val="32"/>
        </w:rPr>
        <w:t>年初预算数35.34万元，决算数91.90万元，预决算差异率160.05%，主要原因是：本年度存在退休死亡人员，年中追加丧葬费及一次性抚恤金。</w:t>
      </w:r>
    </w:p>
    <w:p w14:paraId="5EF1708F">
      <w:pPr>
        <w:spacing w:line="640" w:lineRule="exact"/>
        <w:ind w:firstLine="640"/>
        <w:jc w:val="both"/>
        <w:outlineLvl w:val="3"/>
      </w:pPr>
      <w:r>
        <w:rPr>
          <w:rFonts w:ascii="楷体_GB2312" w:hAnsi="楷体_GB2312" w:eastAsia="楷体_GB2312"/>
          <w:b/>
          <w:sz w:val="32"/>
        </w:rPr>
        <w:t>（二）一般公共预算财政拨款支出决算结构情况</w:t>
      </w:r>
    </w:p>
    <w:p w14:paraId="72200491">
      <w:pPr>
        <w:spacing w:line="580" w:lineRule="exact"/>
        <w:ind w:firstLine="640"/>
        <w:jc w:val="both"/>
      </w:pPr>
      <w:r>
        <w:rPr>
          <w:rFonts w:ascii="仿宋_GB2312" w:hAnsi="仿宋_GB2312" w:eastAsia="仿宋_GB2312"/>
          <w:b w:val="0"/>
          <w:sz w:val="32"/>
        </w:rPr>
        <w:t>1.社会保障和就业支出(类)91.90万元,占100.00%。</w:t>
      </w:r>
    </w:p>
    <w:p w14:paraId="36CCF9B1">
      <w:pPr>
        <w:spacing w:line="640" w:lineRule="exact"/>
        <w:ind w:firstLine="640"/>
        <w:jc w:val="both"/>
        <w:outlineLvl w:val="3"/>
      </w:pPr>
      <w:r>
        <w:rPr>
          <w:rFonts w:ascii="楷体_GB2312" w:hAnsi="楷体_GB2312" w:eastAsia="楷体_GB2312"/>
          <w:b/>
          <w:sz w:val="32"/>
        </w:rPr>
        <w:t>（三）一般公共预算财政拨款支出决算具体情况</w:t>
      </w:r>
    </w:p>
    <w:p w14:paraId="54515F42">
      <w:pPr>
        <w:spacing w:line="580" w:lineRule="exact"/>
        <w:ind w:firstLine="640"/>
        <w:jc w:val="both"/>
      </w:pPr>
      <w:r>
        <w:rPr>
          <w:rFonts w:ascii="仿宋_GB2312" w:hAnsi="仿宋_GB2312" w:eastAsia="仿宋_GB2312"/>
          <w:b w:val="0"/>
          <w:sz w:val="32"/>
        </w:rPr>
        <w:t>1.社会保障和就业支出(类)行政事业单位养老支出(款)行政单位离退休(项):支出决算数为0.00万元，比上年决算减少5.03万元，下降100.00%,主要原因是：本年功能科目调整，行政单位离退休上年度单独列支，本年调整至</w:t>
      </w:r>
      <w:r>
        <w:rPr>
          <w:rFonts w:hint="eastAsia" w:ascii="仿宋_GB2312" w:hAnsi="仿宋_GB2312" w:eastAsia="仿宋_GB2312"/>
          <w:b w:val="0"/>
          <w:sz w:val="32"/>
          <w:lang w:val="en-US" w:eastAsia="zh-CN"/>
        </w:rPr>
        <w:t>事业单位离退休</w:t>
      </w:r>
      <w:r>
        <w:rPr>
          <w:rFonts w:ascii="仿宋_GB2312" w:hAnsi="仿宋_GB2312" w:eastAsia="仿宋_GB2312"/>
          <w:b w:val="0"/>
          <w:sz w:val="32"/>
        </w:rPr>
        <w:t>科目列支，导致经费较上年减少。</w:t>
      </w:r>
    </w:p>
    <w:p w14:paraId="66D1AC8A">
      <w:pPr>
        <w:spacing w:line="580" w:lineRule="exact"/>
        <w:ind w:firstLine="640"/>
        <w:jc w:val="both"/>
      </w:pPr>
      <w:r>
        <w:rPr>
          <w:rFonts w:ascii="仿宋_GB2312" w:hAnsi="仿宋_GB2312" w:eastAsia="仿宋_GB2312"/>
          <w:b w:val="0"/>
          <w:sz w:val="32"/>
        </w:rPr>
        <w:t>2.社会保障和就业支出(类)行政事业单位养老支出(款)事业单位离退休(项):支出决算数为28.70万元，比上年决算增加4.94万元，增长20.79%,主要原因是：退休人员待遇调增，退休经费增加</w:t>
      </w:r>
      <w:r>
        <w:rPr>
          <w:rFonts w:hint="eastAsia" w:ascii="仿宋_GB2312" w:hAnsi="仿宋_GB2312" w:eastAsia="仿宋_GB2312"/>
          <w:b w:val="0"/>
          <w:sz w:val="32"/>
          <w:lang w:eastAsia="zh-CN"/>
        </w:rPr>
        <w:t>；</w:t>
      </w:r>
      <w:r>
        <w:rPr>
          <w:rFonts w:ascii="仿宋_GB2312" w:hAnsi="仿宋_GB2312" w:eastAsia="仿宋_GB2312"/>
          <w:b w:val="0"/>
          <w:sz w:val="32"/>
        </w:rPr>
        <w:t>本年功能科目调整，行政单位离退休上年度单独列支，本年调整至</w:t>
      </w:r>
      <w:r>
        <w:rPr>
          <w:rFonts w:hint="eastAsia" w:ascii="仿宋_GB2312" w:hAnsi="仿宋_GB2312" w:eastAsia="仿宋_GB2312"/>
          <w:b w:val="0"/>
          <w:sz w:val="32"/>
          <w:lang w:val="en-US" w:eastAsia="zh-CN"/>
        </w:rPr>
        <w:t>事业单位离退休</w:t>
      </w:r>
      <w:r>
        <w:rPr>
          <w:rFonts w:ascii="仿宋_GB2312" w:hAnsi="仿宋_GB2312" w:eastAsia="仿宋_GB2312"/>
          <w:b w:val="0"/>
          <w:sz w:val="32"/>
        </w:rPr>
        <w:t>科目列支，导致经费较上年</w:t>
      </w:r>
      <w:r>
        <w:rPr>
          <w:rFonts w:hint="eastAsia" w:ascii="仿宋_GB2312" w:hAnsi="仿宋_GB2312" w:eastAsia="仿宋_GB2312"/>
          <w:b w:val="0"/>
          <w:sz w:val="32"/>
          <w:lang w:val="en-US" w:eastAsia="zh-CN"/>
        </w:rPr>
        <w:t>增加</w:t>
      </w:r>
      <w:r>
        <w:rPr>
          <w:rFonts w:ascii="仿宋_GB2312" w:hAnsi="仿宋_GB2312" w:eastAsia="仿宋_GB2312"/>
          <w:b w:val="0"/>
          <w:sz w:val="32"/>
        </w:rPr>
        <w:t>。</w:t>
      </w:r>
    </w:p>
    <w:p w14:paraId="4203A30C">
      <w:pPr>
        <w:spacing w:line="580" w:lineRule="exact"/>
        <w:ind w:firstLine="640"/>
        <w:jc w:val="both"/>
      </w:pPr>
      <w:r>
        <w:rPr>
          <w:rFonts w:ascii="仿宋_GB2312" w:hAnsi="仿宋_GB2312" w:eastAsia="仿宋_GB2312"/>
          <w:b w:val="0"/>
          <w:sz w:val="32"/>
        </w:rPr>
        <w:t>3.社会保障和就业支出(类)行政事业单位养老支出(款)离退休人员管理机构(项):支出决算数为4.99万元，比上年决算减少5.43万元，下降52.11%,主要原因是：本年度存在退休死亡人员，导致离退休人员管理机构经费较上年度减少。</w:t>
      </w:r>
    </w:p>
    <w:p w14:paraId="70E1A070">
      <w:pPr>
        <w:spacing w:line="580" w:lineRule="exact"/>
        <w:ind w:firstLine="640"/>
        <w:jc w:val="both"/>
      </w:pPr>
      <w:r>
        <w:rPr>
          <w:rFonts w:ascii="仿宋_GB2312" w:hAnsi="仿宋_GB2312" w:eastAsia="仿宋_GB2312"/>
          <w:b w:val="0"/>
          <w:sz w:val="32"/>
        </w:rPr>
        <w:t>4.社会保障和就业支出(类)抚恤(款)死亡抚恤(项):支出决算数为58.21万元，比上年决算减少52.60万元，下降47.47%,主要原因是：本年退休死亡人员数量较上年减少，丧葬费及一次性抚恤金减少，导致经费较上年减少。</w:t>
      </w:r>
    </w:p>
    <w:p w14:paraId="01BE4E35">
      <w:pPr>
        <w:spacing w:line="580" w:lineRule="exact"/>
        <w:ind w:firstLine="640"/>
        <w:jc w:val="both"/>
      </w:pPr>
      <w:r>
        <w:rPr>
          <w:rFonts w:ascii="仿宋_GB2312" w:hAnsi="仿宋_GB2312" w:eastAsia="仿宋_GB2312"/>
          <w:b w:val="0"/>
          <w:sz w:val="32"/>
        </w:rPr>
        <w:t>5.卫生健康支出(类)行政事业单位医疗(款)事业单位医疗(项):支出决算数为0.00万元，比上年决算减少12.92万元，下降100.00%,主要原因是：</w:t>
      </w:r>
      <w:r>
        <w:rPr>
          <w:rFonts w:hint="eastAsia" w:ascii="仿宋_GB2312" w:hAnsi="仿宋_GB2312" w:eastAsia="仿宋_GB2312"/>
          <w:b w:val="0"/>
          <w:sz w:val="32"/>
        </w:rPr>
        <w:t>因退休人员医疗保险制度改革，退休人员基本医疗不再由单位缴纳，导致经费较上年减少</w:t>
      </w:r>
      <w:r>
        <w:rPr>
          <w:rFonts w:ascii="仿宋_GB2312" w:hAnsi="仿宋_GB2312" w:eastAsia="仿宋_GB2312"/>
          <w:b w:val="0"/>
          <w:sz w:val="32"/>
        </w:rPr>
        <w:t>。</w:t>
      </w:r>
    </w:p>
    <w:p w14:paraId="704E6B57">
      <w:pPr>
        <w:spacing w:line="640" w:lineRule="exact"/>
        <w:ind w:firstLine="640"/>
        <w:jc w:val="both"/>
        <w:outlineLvl w:val="2"/>
      </w:pPr>
      <w:r>
        <w:rPr>
          <w:rFonts w:ascii="黑体" w:hAnsi="黑体" w:eastAsia="黑体"/>
          <w:sz w:val="32"/>
        </w:rPr>
        <w:t>六、一般公共预算财政拨款基本支出决算情况说明</w:t>
      </w:r>
    </w:p>
    <w:p w14:paraId="5978E7B9">
      <w:pPr>
        <w:spacing w:line="580" w:lineRule="exact"/>
        <w:ind w:firstLine="640"/>
        <w:jc w:val="both"/>
      </w:pPr>
      <w:r>
        <w:rPr>
          <w:rFonts w:ascii="仿宋_GB2312" w:hAnsi="仿宋_GB2312" w:eastAsia="仿宋_GB2312"/>
          <w:b w:val="0"/>
          <w:sz w:val="32"/>
        </w:rPr>
        <w:t>2024年度一般公共预算财政拨款基本支出91.90万元，其中：</w:t>
      </w:r>
      <w:r>
        <w:rPr>
          <w:rFonts w:ascii="仿宋_GB2312" w:hAnsi="仿宋_GB2312" w:eastAsia="仿宋_GB2312"/>
          <w:b/>
          <w:sz w:val="32"/>
        </w:rPr>
        <w:t>人员经费90.85万元，</w:t>
      </w:r>
      <w:r>
        <w:rPr>
          <w:rFonts w:ascii="仿宋_GB2312" w:hAnsi="仿宋_GB2312" w:eastAsia="仿宋_GB2312"/>
          <w:b w:val="0"/>
          <w:sz w:val="32"/>
        </w:rPr>
        <w:t>包括：退休费、抚恤金、生活补助。</w:t>
      </w:r>
    </w:p>
    <w:p w14:paraId="45925F4F">
      <w:pPr>
        <w:spacing w:line="580" w:lineRule="exact"/>
        <w:ind w:firstLine="640"/>
        <w:jc w:val="both"/>
      </w:pPr>
      <w:r>
        <w:rPr>
          <w:rFonts w:ascii="仿宋_GB2312" w:hAnsi="仿宋_GB2312" w:eastAsia="仿宋_GB2312"/>
          <w:b/>
          <w:sz w:val="32"/>
        </w:rPr>
        <w:t>公用经费1.05万元，</w:t>
      </w:r>
      <w:r>
        <w:rPr>
          <w:rFonts w:ascii="仿宋_GB2312" w:hAnsi="仿宋_GB2312" w:eastAsia="仿宋_GB2312"/>
          <w:b w:val="0"/>
          <w:sz w:val="32"/>
        </w:rPr>
        <w:t>包括：取暖费。</w:t>
      </w:r>
    </w:p>
    <w:p w14:paraId="0AB95FC7">
      <w:pPr>
        <w:spacing w:line="640" w:lineRule="exact"/>
        <w:ind w:firstLine="640"/>
        <w:jc w:val="both"/>
        <w:outlineLvl w:val="2"/>
      </w:pPr>
      <w:r>
        <w:rPr>
          <w:rFonts w:ascii="黑体" w:hAnsi="黑体" w:eastAsia="黑体"/>
          <w:sz w:val="32"/>
        </w:rPr>
        <w:t>七、政府性基金预算财政拨款收入支出决算情况说明</w:t>
      </w:r>
    </w:p>
    <w:p w14:paraId="2BD9B782">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7942E8D1">
      <w:pPr>
        <w:spacing w:line="640" w:lineRule="exact"/>
        <w:ind w:firstLine="640"/>
        <w:jc w:val="both"/>
        <w:outlineLvl w:val="2"/>
      </w:pPr>
      <w:r>
        <w:rPr>
          <w:rFonts w:ascii="黑体" w:hAnsi="黑体" w:eastAsia="黑体"/>
          <w:sz w:val="32"/>
        </w:rPr>
        <w:t>八、国有资本经营预算财政拨款收入支出决算情况说明</w:t>
      </w:r>
    </w:p>
    <w:p w14:paraId="6303D89B">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392D10A2">
      <w:pPr>
        <w:spacing w:line="640" w:lineRule="exact"/>
        <w:ind w:firstLine="640"/>
        <w:jc w:val="both"/>
        <w:outlineLvl w:val="2"/>
      </w:pPr>
      <w:r>
        <w:rPr>
          <w:rFonts w:ascii="黑体" w:hAnsi="黑体" w:eastAsia="黑体"/>
          <w:sz w:val="32"/>
        </w:rPr>
        <w:t>九、财政拨款“三公”经费支出决算情况说明</w:t>
      </w:r>
    </w:p>
    <w:p w14:paraId="03865507">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787EAB1A">
      <w:pPr>
        <w:spacing w:line="580" w:lineRule="exact"/>
        <w:ind w:firstLine="640"/>
        <w:jc w:val="both"/>
      </w:pPr>
      <w:r>
        <w:rPr>
          <w:rFonts w:ascii="仿宋_GB2312" w:hAnsi="仿宋_GB2312" w:eastAsia="仿宋_GB2312"/>
          <w:b/>
          <w:sz w:val="32"/>
        </w:rPr>
        <w:t>具体情况如下：</w:t>
      </w:r>
    </w:p>
    <w:p w14:paraId="0D9B4F29">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5BD42197">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4185C3ED">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1A4A2CA1">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0.00万元，决算数0.00万元，预决算差异率0.00%，主要原因是：本单位无公务用车运行维护费。公务接待费全年预算数0.00万元，决算数0.00万元，预决算差异率0.00%，主要原因是：本单位无公务接待费。</w:t>
      </w:r>
    </w:p>
    <w:p w14:paraId="416D2032">
      <w:pPr>
        <w:spacing w:line="640" w:lineRule="exact"/>
        <w:ind w:firstLine="640"/>
        <w:jc w:val="both"/>
        <w:outlineLvl w:val="2"/>
      </w:pPr>
      <w:r>
        <w:rPr>
          <w:rFonts w:ascii="黑体" w:hAnsi="黑体" w:eastAsia="黑体"/>
          <w:sz w:val="32"/>
        </w:rPr>
        <w:t>十、其他重要事项的情况说明</w:t>
      </w:r>
    </w:p>
    <w:p w14:paraId="6DD073C1">
      <w:pPr>
        <w:spacing w:line="640" w:lineRule="exact"/>
        <w:ind w:firstLine="640"/>
        <w:jc w:val="both"/>
        <w:outlineLvl w:val="3"/>
      </w:pPr>
      <w:r>
        <w:rPr>
          <w:rFonts w:ascii="楷体_GB2312" w:hAnsi="楷体_GB2312" w:eastAsia="楷体_GB2312"/>
          <w:b/>
          <w:sz w:val="32"/>
        </w:rPr>
        <w:t>（一）机关运行经费及公用经费支出情况</w:t>
      </w:r>
    </w:p>
    <w:p w14:paraId="1825FE4B">
      <w:pPr>
        <w:spacing w:line="580" w:lineRule="exact"/>
        <w:ind w:firstLine="640"/>
        <w:jc w:val="both"/>
      </w:pPr>
      <w:r>
        <w:rPr>
          <w:rFonts w:ascii="仿宋_GB2312" w:hAnsi="仿宋_GB2312" w:eastAsia="仿宋_GB2312"/>
          <w:b w:val="0"/>
          <w:sz w:val="32"/>
        </w:rPr>
        <w:t>2024年度塔什库尔干塔吉克自治县驻喀什干休所（行政单位和参照公务员法管理事业单位）机关运行经费支出1.05万元，比上年减少1.89万元，下降64.29%，主要原因是：严格控制公用经费，合理节约办公用品，减少不必要开支。</w:t>
      </w:r>
    </w:p>
    <w:p w14:paraId="0549F873">
      <w:pPr>
        <w:spacing w:line="640" w:lineRule="exact"/>
        <w:ind w:firstLine="640"/>
        <w:jc w:val="both"/>
        <w:outlineLvl w:val="3"/>
      </w:pPr>
      <w:r>
        <w:rPr>
          <w:rFonts w:ascii="楷体_GB2312" w:hAnsi="楷体_GB2312" w:eastAsia="楷体_GB2312"/>
          <w:b/>
          <w:sz w:val="32"/>
        </w:rPr>
        <w:t>（二）政府采购情况</w:t>
      </w:r>
    </w:p>
    <w:p w14:paraId="7666FFCB">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14:paraId="4D032DFC">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178ED96C">
      <w:pPr>
        <w:spacing w:line="640" w:lineRule="exact"/>
        <w:ind w:firstLine="640"/>
        <w:jc w:val="both"/>
        <w:outlineLvl w:val="3"/>
      </w:pPr>
      <w:r>
        <w:rPr>
          <w:rFonts w:ascii="楷体_GB2312" w:hAnsi="楷体_GB2312" w:eastAsia="楷体_GB2312"/>
          <w:b/>
          <w:sz w:val="32"/>
        </w:rPr>
        <w:t>（三）国有资产占用情况说明</w:t>
      </w:r>
    </w:p>
    <w:p w14:paraId="4C9EEE0B">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21612D0A">
      <w:pPr>
        <w:spacing w:line="640" w:lineRule="exact"/>
        <w:ind w:firstLine="640"/>
        <w:jc w:val="both"/>
        <w:outlineLvl w:val="2"/>
      </w:pPr>
      <w:r>
        <w:rPr>
          <w:rFonts w:ascii="黑体" w:hAnsi="黑体" w:eastAsia="黑体"/>
          <w:sz w:val="32"/>
        </w:rPr>
        <w:t>十一、预算绩效的情况说明</w:t>
      </w:r>
    </w:p>
    <w:p w14:paraId="2EE258F4">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91.90万元，实际执行总额91.90万元；预算绩效评价项目0个，全年预算数0.00万元，全年执行数0.00万元。预算绩效管理取得的成效：2024年我单位无预算绩效项目。发现的问题及原因：2024年我单位无预算绩效项目。下一步改进措施：2024年我单位无预算绩效项目。具体附整体支出绩效自评表。</w:t>
      </w:r>
    </w:p>
    <w:p w14:paraId="5AF70E1E">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1569397">
        <w:tblPrEx>
          <w:tblCellMar>
            <w:top w:w="0" w:type="dxa"/>
            <w:left w:w="108" w:type="dxa"/>
            <w:bottom w:w="0" w:type="dxa"/>
            <w:right w:w="108" w:type="dxa"/>
          </w:tblCellMar>
        </w:tblPrEx>
        <w:tc>
          <w:tcPr>
            <w:tcW w:w="8847" w:type="dxa"/>
            <w:gridSpan w:val="9"/>
            <w:vAlign w:val="center"/>
          </w:tcPr>
          <w:p w14:paraId="7C26236F">
            <w:pPr>
              <w:jc w:val="center"/>
            </w:pPr>
            <w:r>
              <w:rPr>
                <w:rFonts w:ascii="宋体" w:hAnsi="宋体" w:eastAsia="宋体"/>
                <w:sz w:val="24"/>
              </w:rPr>
              <w:t>单位整体支出绩效自评表</w:t>
            </w:r>
          </w:p>
        </w:tc>
      </w:tr>
      <w:tr w14:paraId="56DBAE52">
        <w:tblPrEx>
          <w:tblCellMar>
            <w:top w:w="0" w:type="dxa"/>
            <w:left w:w="108" w:type="dxa"/>
            <w:bottom w:w="0" w:type="dxa"/>
            <w:right w:w="108" w:type="dxa"/>
          </w:tblCellMar>
        </w:tblPrEx>
        <w:tc>
          <w:tcPr>
            <w:tcW w:w="8847" w:type="dxa"/>
            <w:gridSpan w:val="9"/>
            <w:vAlign w:val="center"/>
          </w:tcPr>
          <w:p w14:paraId="040090C8">
            <w:pPr>
              <w:jc w:val="center"/>
            </w:pPr>
            <w:r>
              <w:rPr>
                <w:rFonts w:ascii="宋体" w:hAnsi="宋体" w:eastAsia="宋体"/>
                <w:sz w:val="24"/>
              </w:rPr>
              <w:t>（2024年度）</w:t>
            </w:r>
          </w:p>
        </w:tc>
      </w:tr>
      <w:tr w14:paraId="6C0B8EC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40E71A">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E3529C2">
            <w:pPr>
              <w:jc w:val="center"/>
            </w:pPr>
            <w:r>
              <w:rPr>
                <w:rFonts w:ascii="宋体" w:hAnsi="宋体" w:eastAsia="宋体"/>
                <w:sz w:val="16"/>
              </w:rPr>
              <w:t>塔什库尔干塔吉克自治县驻喀什干休所</w:t>
            </w:r>
          </w:p>
        </w:tc>
      </w:tr>
      <w:tr w14:paraId="50646FF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AB6B3B">
            <w:pPr>
              <w:jc w:val="center"/>
            </w:pPr>
            <w:r>
              <w:rPr>
                <w:rFonts w:ascii="宋体" w:hAnsi="宋体" w:eastAsia="宋体"/>
                <w:sz w:val="16"/>
              </w:rPr>
              <w:t>年度预算（万元）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2DB866">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2B2EA8">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FBB0AE">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772424">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5470DE">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86BDF5">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0F5BAB">
            <w:pPr>
              <w:jc w:val="center"/>
            </w:pPr>
            <w:r>
              <w:rPr>
                <w:rFonts w:ascii="宋体" w:hAnsi="宋体" w:eastAsia="宋体"/>
                <w:sz w:val="16"/>
              </w:rPr>
              <w:t>得分</w:t>
            </w:r>
          </w:p>
        </w:tc>
      </w:tr>
      <w:tr w14:paraId="3A0EF1E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18227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835C1D">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02A97E">
            <w:pPr>
              <w:jc w:val="center"/>
            </w:pPr>
            <w:r>
              <w:rPr>
                <w:rFonts w:ascii="宋体" w:hAnsi="宋体" w:eastAsia="宋体"/>
                <w:sz w:val="16"/>
              </w:rPr>
              <w:t>35.34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634EAD">
            <w:pPr>
              <w:jc w:val="center"/>
            </w:pPr>
            <w:r>
              <w:rPr>
                <w:rFonts w:ascii="宋体" w:hAnsi="宋体" w:eastAsia="宋体"/>
                <w:sz w:val="16"/>
              </w:rPr>
              <w:t>91.90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E8A97A">
            <w:pPr>
              <w:jc w:val="center"/>
            </w:pPr>
            <w:r>
              <w:rPr>
                <w:rFonts w:ascii="宋体" w:hAnsi="宋体" w:eastAsia="宋体"/>
                <w:sz w:val="16"/>
              </w:rPr>
              <w:t>91.90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2EA48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61C8F8">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553BEE">
            <w:pPr>
              <w:jc w:val="center"/>
            </w:pPr>
            <w:r>
              <w:rPr>
                <w:rFonts w:ascii="宋体" w:hAnsi="宋体" w:eastAsia="宋体"/>
                <w:sz w:val="16"/>
              </w:rPr>
              <w:t>10</w:t>
            </w:r>
          </w:p>
        </w:tc>
      </w:tr>
      <w:tr w14:paraId="778F825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85670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B92AAE">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936D1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FFEFFE">
            <w:pPr>
              <w:jc w:val="center"/>
            </w:pPr>
            <w:r>
              <w:rPr>
                <w:rFonts w:ascii="宋体" w:hAnsi="宋体" w:eastAsia="宋体"/>
                <w:sz w:val="16"/>
              </w:rPr>
              <w:t>58.54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EFF937">
            <w:pPr>
              <w:jc w:val="center"/>
            </w:pPr>
            <w:r>
              <w:rPr>
                <w:rFonts w:ascii="宋体" w:hAnsi="宋体" w:eastAsia="宋体"/>
                <w:sz w:val="16"/>
              </w:rPr>
              <w:t>58.54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81B14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C92E92">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6519A5">
            <w:pPr>
              <w:jc w:val="center"/>
            </w:pPr>
            <w:r>
              <w:rPr>
                <w:rFonts w:ascii="宋体" w:hAnsi="宋体" w:eastAsia="宋体"/>
                <w:sz w:val="16"/>
              </w:rPr>
              <w:t>—</w:t>
            </w:r>
          </w:p>
        </w:tc>
      </w:tr>
      <w:tr w14:paraId="5D8E8DA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705EB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738850">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286B85">
            <w:pPr>
              <w:jc w:val="center"/>
            </w:pPr>
            <w:r>
              <w:rPr>
                <w:rFonts w:ascii="宋体" w:hAnsi="宋体" w:eastAsia="宋体"/>
                <w:sz w:val="16"/>
              </w:rPr>
              <w:t>35.34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FA0034">
            <w:pPr>
              <w:jc w:val="center"/>
            </w:pPr>
            <w:r>
              <w:rPr>
                <w:rFonts w:ascii="宋体" w:hAnsi="宋体" w:eastAsia="宋体"/>
                <w:sz w:val="16"/>
              </w:rPr>
              <w:t>33.36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AB91A0">
            <w:pPr>
              <w:jc w:val="center"/>
            </w:pPr>
            <w:r>
              <w:rPr>
                <w:rFonts w:ascii="宋体" w:hAnsi="宋体" w:eastAsia="宋体"/>
                <w:sz w:val="16"/>
              </w:rPr>
              <w:t>33.36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51466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23BF67">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032880">
            <w:pPr>
              <w:jc w:val="center"/>
            </w:pPr>
            <w:r>
              <w:rPr>
                <w:rFonts w:ascii="宋体" w:hAnsi="宋体" w:eastAsia="宋体"/>
                <w:sz w:val="16"/>
              </w:rPr>
              <w:t>—</w:t>
            </w:r>
          </w:p>
        </w:tc>
      </w:tr>
      <w:tr w14:paraId="4542653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C4135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8E35E2">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4C377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908BA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5DBD6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D8591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1B958C">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62CD89">
            <w:pPr>
              <w:jc w:val="center"/>
            </w:pPr>
            <w:r>
              <w:rPr>
                <w:rFonts w:ascii="宋体" w:hAnsi="宋体" w:eastAsia="宋体"/>
                <w:sz w:val="16"/>
              </w:rPr>
              <w:t>—</w:t>
            </w:r>
          </w:p>
        </w:tc>
      </w:tr>
      <w:tr w14:paraId="7313233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1C409B">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9BA6066">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016E931">
            <w:pPr>
              <w:jc w:val="center"/>
              <w:rPr>
                <w:rFonts w:hint="eastAsia" w:eastAsia="宋体"/>
                <w:lang w:eastAsia="zh-CN"/>
              </w:rPr>
            </w:pPr>
            <w:r>
              <w:rPr>
                <w:rFonts w:hint="eastAsia" w:ascii="宋体" w:hAnsi="宋体"/>
                <w:sz w:val="16"/>
                <w:lang w:eastAsia="zh-CN"/>
              </w:rPr>
              <w:t>实际完成情况</w:t>
            </w:r>
          </w:p>
        </w:tc>
      </w:tr>
      <w:tr w14:paraId="3BB4347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0C2011"/>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D4A3E1F">
            <w:pPr>
              <w:jc w:val="both"/>
            </w:pPr>
            <w:r>
              <w:rPr>
                <w:rFonts w:ascii="宋体" w:hAnsi="宋体" w:eastAsia="宋体"/>
                <w:sz w:val="16"/>
              </w:rPr>
              <w:t>做好“两节”慰问工作、特殊困难帮助；加强老干部工作宣传力度及学习力度；通过人员经费，确保离退休人员的工资、遗属生活补助等人员保障经费能够依规、按时、足额发放或缴纳，提升部门人员工作积极性和服务质量。通过公用经费，保障本单位整体工作正常运行。确保冬季取暖费公用保障性经费按照财政安排和相关工作要求及时支出；确保2024年老干部各项重点工作任务取得实效，认真做好干休所内老干部的服务和管理；完成县委组织部交办的其他工作任务。</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ADB9C45">
            <w:pPr>
              <w:jc w:val="both"/>
            </w:pPr>
            <w:r>
              <w:rPr>
                <w:rFonts w:ascii="宋体" w:hAnsi="宋体" w:eastAsia="宋体"/>
                <w:sz w:val="16"/>
              </w:rPr>
              <w:t>2024年具体完成的重要工作有：完成了1次工作人员季度学习，开展了2次“两节”慰问工作，历史博物馆参观学习人数达7人，休养人员每年学习次数达2次，冬季取暖费保障人数达22人。通过2024年工作，加强了老干部工作宣传力度及学习力度，提升了部门人员工作积极性和服务质量。</w:t>
            </w:r>
          </w:p>
        </w:tc>
      </w:tr>
      <w:tr w14:paraId="269384C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3C7BC8">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90620F">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F47642">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07D79D">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3863A2">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0D4966">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9012D8">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350972">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1CC5F3">
            <w:pPr>
              <w:jc w:val="center"/>
            </w:pPr>
            <w:r>
              <w:rPr>
                <w:rFonts w:ascii="宋体" w:hAnsi="宋体" w:eastAsia="宋体"/>
                <w:sz w:val="16"/>
              </w:rPr>
              <w:t>得分</w:t>
            </w:r>
          </w:p>
        </w:tc>
      </w:tr>
      <w:tr w14:paraId="42FE870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12D5AF">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3A8798">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2B91D7">
            <w:pPr>
              <w:jc w:val="center"/>
            </w:pPr>
            <w:r>
              <w:rPr>
                <w:rFonts w:ascii="宋体" w:hAnsi="宋体" w:eastAsia="宋体"/>
                <w:sz w:val="16"/>
              </w:rPr>
              <w:t>工作人员季度学习次数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F5E149">
            <w:pPr>
              <w:jc w:val="center"/>
            </w:pPr>
            <w:r>
              <w:rPr>
                <w:rFonts w:ascii="宋体" w:hAnsi="宋体" w:eastAsia="宋体"/>
                <w:sz w:val="16"/>
              </w:rPr>
              <w:t>&gt;=1次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13028A">
            <w:pPr>
              <w:jc w:val="center"/>
            </w:pPr>
            <w:r>
              <w:rPr>
                <w:rFonts w:ascii="宋体" w:hAnsi="宋体" w:eastAsia="宋体"/>
                <w:sz w:val="16"/>
              </w:rPr>
              <w:t>干休所2024年工作计划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FA55F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28CEB9">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2C59C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F1F92C">
            <w:pPr>
              <w:jc w:val="center"/>
            </w:pPr>
            <w:r>
              <w:rPr>
                <w:rFonts w:ascii="宋体" w:hAnsi="宋体" w:eastAsia="宋体"/>
                <w:sz w:val="16"/>
              </w:rPr>
              <w:t>20</w:t>
            </w:r>
          </w:p>
        </w:tc>
      </w:tr>
      <w:tr w14:paraId="2B4D250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EA600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94C71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63BDDE">
            <w:pPr>
              <w:jc w:val="center"/>
            </w:pPr>
            <w:r>
              <w:rPr>
                <w:rFonts w:ascii="宋体" w:hAnsi="宋体" w:eastAsia="宋体"/>
                <w:sz w:val="16"/>
              </w:rPr>
              <w:t>开展“两节”慰问工作次数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D2D4DF">
            <w:pPr>
              <w:jc w:val="center"/>
            </w:pPr>
            <w:r>
              <w:rPr>
                <w:rFonts w:ascii="宋体" w:hAnsi="宋体" w:eastAsia="宋体"/>
                <w:sz w:val="16"/>
              </w:rPr>
              <w:t>&gt;=2次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12F924">
            <w:pPr>
              <w:jc w:val="center"/>
            </w:pPr>
            <w:r>
              <w:rPr>
                <w:rFonts w:ascii="宋体" w:hAnsi="宋体" w:eastAsia="宋体"/>
                <w:sz w:val="16"/>
              </w:rPr>
              <w:t>干休所2024年工作计划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BFB9D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C3AE54">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AFA11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CDF9BD">
            <w:pPr>
              <w:jc w:val="center"/>
            </w:pPr>
            <w:r>
              <w:rPr>
                <w:rFonts w:ascii="宋体" w:hAnsi="宋体" w:eastAsia="宋体"/>
                <w:sz w:val="16"/>
              </w:rPr>
              <w:t>20</w:t>
            </w:r>
          </w:p>
        </w:tc>
      </w:tr>
      <w:tr w14:paraId="0944F6D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3F4B2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F856B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C76289">
            <w:pPr>
              <w:jc w:val="center"/>
            </w:pPr>
            <w:r>
              <w:rPr>
                <w:rFonts w:ascii="宋体" w:hAnsi="宋体" w:eastAsia="宋体"/>
                <w:sz w:val="16"/>
              </w:rPr>
              <w:t>历史博物馆参观学习人数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B686C3">
            <w:pPr>
              <w:jc w:val="center"/>
            </w:pPr>
            <w:r>
              <w:rPr>
                <w:rFonts w:ascii="宋体" w:hAnsi="宋体" w:eastAsia="宋体"/>
                <w:sz w:val="16"/>
              </w:rPr>
              <w:t>&gt;=7人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32480C">
            <w:pPr>
              <w:jc w:val="center"/>
            </w:pPr>
            <w:r>
              <w:rPr>
                <w:rFonts w:ascii="宋体" w:hAnsi="宋体" w:eastAsia="宋体"/>
                <w:sz w:val="16"/>
              </w:rPr>
              <w:t>干休所2024年工作计划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FCE08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4ED2A6">
            <w:pPr>
              <w:jc w:val="center"/>
            </w:pPr>
            <w:r>
              <w:rPr>
                <w:rFonts w:ascii="宋体" w:hAnsi="宋体" w:eastAsia="宋体"/>
                <w:sz w:val="16"/>
              </w:rPr>
              <w:t>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B18B6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F2FEDF">
            <w:pPr>
              <w:jc w:val="center"/>
            </w:pPr>
            <w:r>
              <w:rPr>
                <w:rFonts w:ascii="宋体" w:hAnsi="宋体" w:eastAsia="宋体"/>
                <w:sz w:val="16"/>
              </w:rPr>
              <w:t>20</w:t>
            </w:r>
          </w:p>
        </w:tc>
      </w:tr>
      <w:tr w14:paraId="3754126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93BA4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DDE6C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7C3844">
            <w:pPr>
              <w:jc w:val="center"/>
            </w:pPr>
            <w:r>
              <w:rPr>
                <w:rFonts w:ascii="宋体" w:hAnsi="宋体" w:eastAsia="宋体"/>
                <w:sz w:val="16"/>
              </w:rPr>
              <w:t>休养人员每年学习次数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DA0A14">
            <w:pPr>
              <w:jc w:val="center"/>
            </w:pPr>
            <w:r>
              <w:rPr>
                <w:rFonts w:ascii="宋体" w:hAnsi="宋体" w:eastAsia="宋体"/>
                <w:sz w:val="16"/>
              </w:rPr>
              <w:t>&gt;=2次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EDC4DC">
            <w:pPr>
              <w:jc w:val="center"/>
            </w:pPr>
            <w:r>
              <w:rPr>
                <w:rFonts w:ascii="宋体" w:hAnsi="宋体" w:eastAsia="宋体"/>
                <w:sz w:val="16"/>
              </w:rPr>
              <w:t>干休所2024年工作计划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1CE04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F2EE9C">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607E9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BEA79C">
            <w:pPr>
              <w:jc w:val="center"/>
            </w:pPr>
            <w:r>
              <w:rPr>
                <w:rFonts w:ascii="宋体" w:hAnsi="宋体" w:eastAsia="宋体"/>
                <w:sz w:val="16"/>
              </w:rPr>
              <w:t>10</w:t>
            </w:r>
          </w:p>
        </w:tc>
      </w:tr>
      <w:tr w14:paraId="228E61D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7CD18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9B5C4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B422BA">
            <w:pPr>
              <w:jc w:val="center"/>
            </w:pPr>
            <w:r>
              <w:rPr>
                <w:rFonts w:ascii="宋体" w:hAnsi="宋体" w:eastAsia="宋体"/>
                <w:sz w:val="16"/>
              </w:rPr>
              <w:t>冬季取暖费保障人数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62C0D7">
            <w:pPr>
              <w:jc w:val="center"/>
            </w:pPr>
            <w:r>
              <w:rPr>
                <w:rFonts w:ascii="宋体" w:hAnsi="宋体" w:eastAsia="宋体"/>
                <w:sz w:val="16"/>
              </w:rPr>
              <w:t>&gt;=23人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F21162">
            <w:pPr>
              <w:jc w:val="center"/>
            </w:pPr>
            <w:r>
              <w:rPr>
                <w:rFonts w:ascii="宋体" w:hAnsi="宋体" w:eastAsia="宋体"/>
                <w:sz w:val="16"/>
              </w:rPr>
              <w:t>干休所2024年工作计划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F22CF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8E363B">
            <w:pPr>
              <w:jc w:val="center"/>
            </w:pPr>
            <w:r>
              <w:rPr>
                <w:rFonts w:ascii="宋体" w:hAnsi="宋体" w:eastAsia="宋体"/>
                <w:sz w:val="16"/>
              </w:rPr>
              <w:t>22人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6319A8">
            <w:pPr>
              <w:jc w:val="center"/>
            </w:pPr>
            <w:r>
              <w:rPr>
                <w:rFonts w:ascii="宋体" w:hAnsi="宋体" w:eastAsia="宋体"/>
                <w:sz w:val="16"/>
              </w:rPr>
              <w:t>95.7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A05441">
            <w:pPr>
              <w:jc w:val="center"/>
            </w:pPr>
            <w:r>
              <w:rPr>
                <w:rFonts w:ascii="宋体" w:hAnsi="宋体" w:eastAsia="宋体"/>
                <w:sz w:val="16"/>
              </w:rPr>
              <w:t>19.13</w:t>
            </w:r>
          </w:p>
        </w:tc>
      </w:tr>
    </w:tbl>
    <w:p w14:paraId="2CC7B633">
      <w:r>
        <w:br w:type="page"/>
      </w:r>
    </w:p>
    <w:p w14:paraId="1160EAE1">
      <w:pPr>
        <w:spacing w:line="640" w:lineRule="exact"/>
        <w:ind w:firstLine="640"/>
        <w:jc w:val="both"/>
        <w:outlineLvl w:val="2"/>
      </w:pPr>
      <w:r>
        <w:rPr>
          <w:rFonts w:ascii="黑体" w:hAnsi="黑体" w:eastAsia="黑体"/>
          <w:sz w:val="32"/>
        </w:rPr>
        <w:t>十二、其他需说明的事项</w:t>
      </w:r>
    </w:p>
    <w:p w14:paraId="34EEB3B9">
      <w:pPr>
        <w:spacing w:line="580" w:lineRule="exact"/>
        <w:ind w:firstLine="640"/>
        <w:jc w:val="both"/>
      </w:pPr>
      <w:r>
        <w:rPr>
          <w:rFonts w:ascii="仿宋_GB2312" w:hAnsi="仿宋_GB2312" w:eastAsia="仿宋_GB2312"/>
          <w:b w:val="0"/>
          <w:sz w:val="32"/>
        </w:rPr>
        <w:t>本单位2024年度无政府采购支出，授予中小企业合同金额0.00万元。</w:t>
      </w:r>
    </w:p>
    <w:p w14:paraId="49E2F8A6">
      <w:r>
        <w:br w:type="page"/>
      </w:r>
    </w:p>
    <w:p w14:paraId="3A61F1CB">
      <w:pPr>
        <w:spacing w:line="240" w:lineRule="auto"/>
        <w:jc w:val="center"/>
        <w:outlineLvl w:val="1"/>
      </w:pPr>
      <w:r>
        <w:rPr>
          <w:rFonts w:ascii="黑体" w:hAnsi="黑体" w:eastAsia="黑体"/>
          <w:sz w:val="32"/>
        </w:rPr>
        <w:t>第三部分 专业名词解释</w:t>
      </w:r>
    </w:p>
    <w:p w14:paraId="223680A5">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41BFD20E">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B49C79D">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55BEA208">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90123DD">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4CFE73E">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3167E303">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9295CE2">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ABAED54">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BF7FF1F">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96441A8">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315B4D1A">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21172923">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8552928">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E19A300">
      <w:r>
        <w:br w:type="page"/>
      </w:r>
    </w:p>
    <w:p w14:paraId="6C19F733">
      <w:pPr>
        <w:spacing w:line="240" w:lineRule="auto"/>
        <w:jc w:val="center"/>
        <w:outlineLvl w:val="1"/>
      </w:pPr>
      <w:r>
        <w:rPr>
          <w:rFonts w:ascii="黑体" w:hAnsi="黑体" w:eastAsia="黑体"/>
          <w:sz w:val="32"/>
        </w:rPr>
        <w:t>第四部分 部门决算报表（见附表）</w:t>
      </w:r>
    </w:p>
    <w:p w14:paraId="3497FB30">
      <w:pPr>
        <w:spacing w:line="240" w:lineRule="auto"/>
        <w:ind w:firstLine="640"/>
        <w:jc w:val="both"/>
      </w:pPr>
      <w:r>
        <w:rPr>
          <w:rFonts w:ascii="仿宋_GB2312" w:hAnsi="仿宋_GB2312" w:eastAsia="仿宋_GB2312"/>
          <w:b w:val="0"/>
          <w:sz w:val="32"/>
        </w:rPr>
        <w:t>一、《收入支出决算总表》</w:t>
      </w:r>
    </w:p>
    <w:p w14:paraId="33A23FD3">
      <w:pPr>
        <w:spacing w:line="240" w:lineRule="auto"/>
        <w:ind w:firstLine="640"/>
        <w:jc w:val="both"/>
      </w:pPr>
      <w:r>
        <w:rPr>
          <w:rFonts w:ascii="仿宋_GB2312" w:hAnsi="仿宋_GB2312" w:eastAsia="仿宋_GB2312"/>
          <w:b w:val="0"/>
          <w:sz w:val="32"/>
        </w:rPr>
        <w:t>二、《收入决算表》</w:t>
      </w:r>
    </w:p>
    <w:p w14:paraId="3D82F994">
      <w:pPr>
        <w:spacing w:line="240" w:lineRule="auto"/>
        <w:ind w:firstLine="640"/>
        <w:jc w:val="both"/>
      </w:pPr>
      <w:r>
        <w:rPr>
          <w:rFonts w:ascii="仿宋_GB2312" w:hAnsi="仿宋_GB2312" w:eastAsia="仿宋_GB2312"/>
          <w:b w:val="0"/>
          <w:sz w:val="32"/>
        </w:rPr>
        <w:t>三、《支出决算表》</w:t>
      </w:r>
    </w:p>
    <w:p w14:paraId="32D1153A">
      <w:pPr>
        <w:spacing w:line="240" w:lineRule="auto"/>
        <w:ind w:firstLine="640"/>
        <w:jc w:val="both"/>
      </w:pPr>
      <w:r>
        <w:rPr>
          <w:rFonts w:ascii="仿宋_GB2312" w:hAnsi="仿宋_GB2312" w:eastAsia="仿宋_GB2312"/>
          <w:b w:val="0"/>
          <w:sz w:val="32"/>
        </w:rPr>
        <w:t>四、《财政拨款收入支出决算总表》</w:t>
      </w:r>
    </w:p>
    <w:p w14:paraId="3CB41F6D">
      <w:pPr>
        <w:spacing w:line="240" w:lineRule="auto"/>
        <w:ind w:firstLine="640"/>
        <w:jc w:val="both"/>
      </w:pPr>
      <w:r>
        <w:rPr>
          <w:rFonts w:ascii="仿宋_GB2312" w:hAnsi="仿宋_GB2312" w:eastAsia="仿宋_GB2312"/>
          <w:b w:val="0"/>
          <w:sz w:val="32"/>
        </w:rPr>
        <w:t>五、《一般公共预算财政拨款支出决算表》</w:t>
      </w:r>
    </w:p>
    <w:p w14:paraId="59CFFF6B">
      <w:pPr>
        <w:spacing w:line="240" w:lineRule="auto"/>
        <w:ind w:firstLine="640"/>
        <w:jc w:val="both"/>
      </w:pPr>
      <w:r>
        <w:rPr>
          <w:rFonts w:ascii="仿宋_GB2312" w:hAnsi="仿宋_GB2312" w:eastAsia="仿宋_GB2312"/>
          <w:b w:val="0"/>
          <w:sz w:val="32"/>
        </w:rPr>
        <w:t>六、《一般公共预算财政拨款基本支出决算表》</w:t>
      </w:r>
    </w:p>
    <w:p w14:paraId="62A404AC">
      <w:pPr>
        <w:spacing w:line="240" w:lineRule="auto"/>
        <w:ind w:firstLine="640"/>
        <w:jc w:val="both"/>
      </w:pPr>
      <w:r>
        <w:rPr>
          <w:rFonts w:ascii="仿宋_GB2312" w:hAnsi="仿宋_GB2312" w:eastAsia="仿宋_GB2312"/>
          <w:b w:val="0"/>
          <w:sz w:val="32"/>
        </w:rPr>
        <w:t>七、《政府性基金预算财政拨款收入支出决算表》</w:t>
      </w:r>
    </w:p>
    <w:p w14:paraId="7DF0BA80">
      <w:pPr>
        <w:spacing w:line="240" w:lineRule="auto"/>
        <w:ind w:firstLine="640"/>
        <w:jc w:val="both"/>
      </w:pPr>
      <w:r>
        <w:rPr>
          <w:rFonts w:ascii="仿宋_GB2312" w:hAnsi="仿宋_GB2312" w:eastAsia="仿宋_GB2312"/>
          <w:b w:val="0"/>
          <w:sz w:val="32"/>
        </w:rPr>
        <w:t>八、《国有资本经营预算财政拨款收入支出决算表》</w:t>
      </w:r>
    </w:p>
    <w:p w14:paraId="79C3DB76">
      <w:pPr>
        <w:spacing w:line="240" w:lineRule="auto"/>
        <w:ind w:firstLine="640"/>
        <w:jc w:val="both"/>
      </w:pPr>
      <w:r>
        <w:rPr>
          <w:rFonts w:ascii="仿宋_GB2312" w:hAnsi="仿宋_GB2312" w:eastAsia="仿宋_GB2312"/>
          <w:b w:val="0"/>
          <w:sz w:val="32"/>
        </w:rPr>
        <w:t>九、《财政拨款“三公”经费支出决算表》</w:t>
      </w:r>
    </w:p>
    <w:p w14:paraId="33A245C7">
      <w:pPr>
        <w:spacing w:line="240" w:lineRule="auto"/>
        <w:ind w:firstLine="640"/>
        <w:jc w:val="both"/>
      </w:pPr>
    </w:p>
    <w:p w14:paraId="095A2C21">
      <w:pPr>
        <w:spacing w:line="240" w:lineRule="auto"/>
        <w:ind w:firstLine="640"/>
        <w:jc w:val="both"/>
      </w:pPr>
    </w:p>
    <w:p w14:paraId="59860FEB">
      <w:pPr>
        <w:spacing w:line="240" w:lineRule="auto"/>
        <w:ind w:firstLine="640"/>
        <w:jc w:val="both"/>
      </w:pPr>
    </w:p>
    <w:p w14:paraId="69A65A11">
      <w:pPr>
        <w:spacing w:line="240" w:lineRule="auto"/>
        <w:ind w:firstLine="640"/>
        <w:jc w:val="both"/>
      </w:pPr>
    </w:p>
    <w:p w14:paraId="19A44FD1">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2AE114B"/>
    <w:rsid w:val="34F317F8"/>
    <w:rsid w:val="36BF3346"/>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6852F1"/>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6F7C3C66"/>
    <w:rsid w:val="71473612"/>
    <w:rsid w:val="718F7F65"/>
    <w:rsid w:val="73423603"/>
    <w:rsid w:val="737A5923"/>
    <w:rsid w:val="73DE4104"/>
    <w:rsid w:val="73FB6630"/>
    <w:rsid w:val="74CE04EC"/>
    <w:rsid w:val="74E76DCD"/>
    <w:rsid w:val="763A550C"/>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5432</Words>
  <Characters>6115</Characters>
  <Lines>0</Lines>
  <Paragraphs>0</Paragraphs>
  <TotalTime>6</TotalTime>
  <ScaleCrop>false</ScaleCrop>
  <LinksUpToDate>false</LinksUpToDate>
  <CharactersWithSpaces>6125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周丽君</cp:lastModifiedBy>
  <cp:lastPrinted>2024-07-22T11:58:00Z</cp:lastPrinted>
  <dcterms:modified xsi:type="dcterms:W3CDTF">2025-09-04T09:03:34Z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eyJoZGlkIjoiZWE5M2E4OTRkNmEwYTUyNjM2Mzg3NThiMTA5NmIzZWUiLCJ1c2VySWQiOiI0OTMxMTE3MjUifQ==</vt:lpwstr>
  </property>
</Properties>
</file>