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78B" w:rsidRDefault="002B078B">
      <w:pPr>
        <w:jc w:val="center"/>
        <w:rPr>
          <w:rFonts w:ascii="仿宋_GB2312" w:eastAsia="仿宋_GB2312" w:hAnsi="宋体" w:cs="仿宋_GB2312"/>
          <w:sz w:val="44"/>
          <w:szCs w:val="44"/>
        </w:rPr>
      </w:pPr>
    </w:p>
    <w:p w:rsidR="002B078B" w:rsidRDefault="002B078B">
      <w:pPr>
        <w:jc w:val="center"/>
        <w:rPr>
          <w:rFonts w:ascii="仿宋_GB2312" w:eastAsia="仿宋_GB2312" w:hAnsi="宋体" w:cs="仿宋_GB2312"/>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年喀什地区塔什库尔干县塔吉克阿巴提镇人民政府部门决算说明</w:t>
      </w:r>
    </w:p>
    <w:p w:rsidR="002B078B" w:rsidRDefault="002B078B">
      <w:pPr>
        <w:spacing w:line="560" w:lineRule="exact"/>
        <w:jc w:val="center"/>
        <w:rPr>
          <w:rFonts w:ascii="仿宋_GB2312" w:eastAsia="仿宋_GB2312" w:hAnsi="宋体"/>
          <w:sz w:val="44"/>
          <w:szCs w:val="44"/>
        </w:rPr>
      </w:pPr>
    </w:p>
    <w:p w:rsidR="002B078B" w:rsidRDefault="002B078B">
      <w:pPr>
        <w:spacing w:line="360" w:lineRule="auto"/>
        <w:ind w:firstLineChars="200" w:firstLine="643"/>
        <w:rPr>
          <w:rFonts w:ascii="仿宋_GB2312" w:eastAsia="仿宋_GB2312" w:cs="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2B078B" w:rsidRDefault="002B078B">
      <w:pPr>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塔什库尔干塔吉克自治县阿巴提镇人民政府单位性质为行政单位，全额拨款，执行会计制度为行政会计制度。独立编制机构</w:t>
      </w:r>
      <w:r>
        <w:rPr>
          <w:rFonts w:ascii="仿宋_GB2312" w:eastAsia="仿宋_GB2312" w:hAnsi="宋体" w:cs="仿宋_GB2312"/>
          <w:sz w:val="30"/>
          <w:szCs w:val="30"/>
        </w:rPr>
        <w:t>1</w:t>
      </w:r>
      <w:r>
        <w:rPr>
          <w:rFonts w:ascii="仿宋_GB2312" w:eastAsia="仿宋_GB2312" w:hAnsi="宋体" w:cs="仿宋_GB2312" w:hint="eastAsia"/>
          <w:sz w:val="30"/>
          <w:szCs w:val="30"/>
        </w:rPr>
        <w:t>个，独立编制机构与上年无变动，变动原因：无变动。</w:t>
      </w:r>
    </w:p>
    <w:p w:rsidR="002B078B" w:rsidRDefault="002B078B">
      <w:pPr>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一、主要职能：落实国家政策，严格依法行政，发挥经济管理职能，加强政策引导，制定发展规划，服务市场主体和营造发展环境，搞好市场监管，大力促进社会事业发展，发展镇村经济、文化和社会事业，提供公共服务，维护社会稳定，构建社会主义和谐社会。</w:t>
      </w:r>
    </w:p>
    <w:p w:rsidR="002B078B" w:rsidRDefault="002B078B">
      <w:pPr>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sz w:val="30"/>
          <w:szCs w:val="30"/>
        </w:rPr>
        <w:t>1</w:t>
      </w:r>
      <w:r>
        <w:rPr>
          <w:rFonts w:ascii="仿宋_GB2312" w:eastAsia="仿宋_GB2312" w:hAnsi="宋体" w:cs="仿宋_GB2312" w:hint="eastAsia"/>
          <w:sz w:val="30"/>
          <w:szCs w:val="30"/>
        </w:rPr>
        <w:t>、执行本级人民代表大会的决议和上级国家行政机关的决定和命令，发布决定和命令。</w:t>
      </w:r>
    </w:p>
    <w:p w:rsidR="002B078B" w:rsidRDefault="002B078B">
      <w:pPr>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sz w:val="30"/>
          <w:szCs w:val="30"/>
        </w:rPr>
        <w:t>2</w:t>
      </w:r>
      <w:r>
        <w:rPr>
          <w:rFonts w:ascii="仿宋_GB2312" w:eastAsia="仿宋_GB2312" w:hAnsi="宋体" w:cs="仿宋_GB2312" w:hint="eastAsia"/>
          <w:sz w:val="30"/>
          <w:szCs w:val="30"/>
        </w:rPr>
        <w:t>、执行本行政区域内的经济和社会发展计划、预算，管理本行政区域内的经济、教育、科学、文化、卫生、体育事业和财政、民政、公安、司法行政、计划生育等行政工作。</w:t>
      </w:r>
    </w:p>
    <w:p w:rsidR="002B078B" w:rsidRDefault="002B078B">
      <w:pPr>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sz w:val="30"/>
          <w:szCs w:val="30"/>
        </w:rPr>
        <w:t>3</w:t>
      </w:r>
      <w:r>
        <w:rPr>
          <w:rFonts w:ascii="仿宋_GB2312" w:eastAsia="仿宋_GB2312" w:hAnsi="宋体" w:cs="仿宋_GB2312" w:hint="eastAsia"/>
          <w:sz w:val="30"/>
          <w:szCs w:val="30"/>
        </w:rPr>
        <w:t>、保护社会主义的全民所有的财产和劳动群众集体所有的财产，保护公民私人所有的合法财产，维护社会秩序，保障公民的人身权利、民主权利和其他权利。</w:t>
      </w:r>
    </w:p>
    <w:p w:rsidR="002B078B" w:rsidRDefault="002B078B">
      <w:pPr>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sz w:val="30"/>
          <w:szCs w:val="30"/>
        </w:rPr>
        <w:t>4</w:t>
      </w:r>
      <w:r>
        <w:rPr>
          <w:rFonts w:ascii="仿宋_GB2312" w:eastAsia="仿宋_GB2312" w:hAnsi="宋体" w:cs="仿宋_GB2312" w:hint="eastAsia"/>
          <w:sz w:val="30"/>
          <w:szCs w:val="30"/>
        </w:rPr>
        <w:t>、保护各种经济组织的合法权益。</w:t>
      </w:r>
    </w:p>
    <w:p w:rsidR="002B078B" w:rsidRDefault="002B078B">
      <w:pPr>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sz w:val="30"/>
          <w:szCs w:val="30"/>
        </w:rPr>
        <w:t>5</w:t>
      </w:r>
      <w:r>
        <w:rPr>
          <w:rFonts w:ascii="仿宋_GB2312" w:eastAsia="仿宋_GB2312" w:hAnsi="宋体" w:cs="仿宋_GB2312" w:hint="eastAsia"/>
          <w:sz w:val="30"/>
          <w:szCs w:val="30"/>
        </w:rPr>
        <w:t>、办理上级人民政府交办的其他事项。</w:t>
      </w:r>
    </w:p>
    <w:p w:rsidR="002B078B" w:rsidRDefault="002B078B">
      <w:pPr>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二、机构人员情况：编制</w:t>
      </w:r>
      <w:r>
        <w:rPr>
          <w:rFonts w:ascii="仿宋_GB2312" w:eastAsia="仿宋_GB2312" w:hAnsi="宋体" w:cs="仿宋_GB2312"/>
          <w:sz w:val="30"/>
          <w:szCs w:val="30"/>
        </w:rPr>
        <w:t>55</w:t>
      </w:r>
      <w:r>
        <w:rPr>
          <w:rFonts w:ascii="仿宋_GB2312" w:eastAsia="仿宋_GB2312" w:hAnsi="宋体" w:cs="仿宋_GB2312" w:hint="eastAsia"/>
          <w:sz w:val="30"/>
          <w:szCs w:val="30"/>
        </w:rPr>
        <w:t>人（按照编委文件填报），实有在职人数</w:t>
      </w:r>
      <w:r>
        <w:rPr>
          <w:rFonts w:ascii="仿宋_GB2312" w:eastAsia="仿宋_GB2312" w:hAnsi="宋体" w:cs="仿宋_GB2312"/>
          <w:sz w:val="30"/>
          <w:szCs w:val="30"/>
        </w:rPr>
        <w:t>49</w:t>
      </w:r>
      <w:r>
        <w:rPr>
          <w:rFonts w:ascii="仿宋_GB2312" w:eastAsia="仿宋_GB2312" w:hAnsi="宋体" w:cs="仿宋_GB2312" w:hint="eastAsia"/>
          <w:sz w:val="30"/>
          <w:szCs w:val="30"/>
        </w:rPr>
        <w:t>人，退休</w:t>
      </w:r>
      <w:r>
        <w:rPr>
          <w:rFonts w:ascii="仿宋_GB2312" w:eastAsia="仿宋_GB2312" w:hAnsi="宋体" w:cs="仿宋_GB2312"/>
          <w:sz w:val="30"/>
          <w:szCs w:val="30"/>
        </w:rPr>
        <w:t>18</w:t>
      </w:r>
      <w:r>
        <w:rPr>
          <w:rFonts w:ascii="仿宋_GB2312" w:eastAsia="仿宋_GB2312" w:hAnsi="宋体" w:cs="仿宋_GB2312" w:hint="eastAsia"/>
          <w:sz w:val="30"/>
          <w:szCs w:val="30"/>
        </w:rPr>
        <w:t>人，属于一般公共预算财政拨款（补助）开支</w:t>
      </w:r>
      <w:r>
        <w:rPr>
          <w:rFonts w:ascii="仿宋_GB2312" w:eastAsia="仿宋_GB2312" w:hAnsi="宋体" w:cs="仿宋_GB2312"/>
          <w:sz w:val="30"/>
          <w:szCs w:val="30"/>
        </w:rPr>
        <w:t>67</w:t>
      </w:r>
      <w:r>
        <w:rPr>
          <w:rFonts w:ascii="仿宋_GB2312" w:eastAsia="仿宋_GB2312" w:hAnsi="宋体" w:cs="仿宋_GB2312" w:hint="eastAsia"/>
          <w:sz w:val="30"/>
          <w:szCs w:val="30"/>
        </w:rPr>
        <w:t>人，其中：在职</w:t>
      </w:r>
      <w:r>
        <w:rPr>
          <w:rFonts w:ascii="仿宋_GB2312" w:eastAsia="仿宋_GB2312" w:hAnsi="宋体" w:cs="仿宋_GB2312"/>
          <w:sz w:val="30"/>
          <w:szCs w:val="30"/>
        </w:rPr>
        <w:t>49</w:t>
      </w:r>
      <w:r>
        <w:rPr>
          <w:rFonts w:ascii="仿宋_GB2312" w:eastAsia="仿宋_GB2312" w:hAnsi="宋体" w:cs="仿宋_GB2312" w:hint="eastAsia"/>
          <w:sz w:val="30"/>
          <w:szCs w:val="30"/>
        </w:rPr>
        <w:t>人，退休</w:t>
      </w:r>
      <w:r>
        <w:rPr>
          <w:rFonts w:ascii="仿宋_GB2312" w:eastAsia="仿宋_GB2312" w:hAnsi="宋体" w:cs="仿宋_GB2312"/>
          <w:sz w:val="30"/>
          <w:szCs w:val="30"/>
        </w:rPr>
        <w:t>18</w:t>
      </w:r>
      <w:r>
        <w:rPr>
          <w:rFonts w:ascii="仿宋_GB2312" w:eastAsia="仿宋_GB2312" w:hAnsi="宋体" w:cs="仿宋_GB2312" w:hint="eastAsia"/>
          <w:sz w:val="30"/>
          <w:szCs w:val="30"/>
        </w:rPr>
        <w:t>人。</w:t>
      </w:r>
    </w:p>
    <w:p w:rsidR="002B078B" w:rsidRDefault="002B078B">
      <w:pPr>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三、决算单位构成</w:t>
      </w:r>
    </w:p>
    <w:p w:rsidR="002B078B" w:rsidRDefault="002B078B">
      <w:pPr>
        <w:spacing w:line="360" w:lineRule="auto"/>
        <w:ind w:firstLineChars="200" w:firstLine="600"/>
        <w:rPr>
          <w:rFonts w:ascii="仿宋_GB2312" w:eastAsia="仿宋_GB2312" w:hAnsi="宋体" w:cs="仿宋_GB2312"/>
          <w:sz w:val="30"/>
          <w:szCs w:val="30"/>
        </w:rPr>
      </w:pPr>
      <w:r>
        <w:rPr>
          <w:rFonts w:ascii="仿宋_GB2312" w:eastAsia="仿宋_GB2312" w:hAnsi="宋体" w:cs="仿宋_GB2312" w:hint="eastAsia"/>
          <w:sz w:val="30"/>
          <w:szCs w:val="30"/>
        </w:rPr>
        <w:t>纳入塔什库尔干塔吉克自治县阿巴提镇人民政府</w:t>
      </w:r>
      <w:r>
        <w:rPr>
          <w:rFonts w:ascii="仿宋_GB2312" w:eastAsia="仿宋_GB2312" w:hAnsi="宋体" w:cs="仿宋_GB2312"/>
          <w:sz w:val="30"/>
          <w:szCs w:val="30"/>
        </w:rPr>
        <w:t>2015</w:t>
      </w:r>
      <w:r>
        <w:rPr>
          <w:rFonts w:ascii="仿宋_GB2312" w:eastAsia="仿宋_GB2312" w:hAnsi="宋体" w:cs="仿宋_GB2312" w:hint="eastAsia"/>
          <w:sz w:val="30"/>
          <w:szCs w:val="30"/>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73"/>
        <w:gridCol w:w="6225"/>
        <w:gridCol w:w="1024"/>
      </w:tblGrid>
      <w:tr w:rsidR="002B078B">
        <w:tc>
          <w:tcPr>
            <w:tcW w:w="1273" w:type="dxa"/>
          </w:tcPr>
          <w:p w:rsidR="002B078B" w:rsidRDefault="002B078B">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6225" w:type="dxa"/>
          </w:tcPr>
          <w:p w:rsidR="002B078B" w:rsidRDefault="002B078B">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单位名称</w:t>
            </w:r>
          </w:p>
        </w:tc>
        <w:tc>
          <w:tcPr>
            <w:tcW w:w="1024" w:type="dxa"/>
          </w:tcPr>
          <w:p w:rsidR="002B078B" w:rsidRDefault="002B078B">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2B078B">
        <w:tc>
          <w:tcPr>
            <w:tcW w:w="1273" w:type="dxa"/>
          </w:tcPr>
          <w:p w:rsidR="002B078B" w:rsidRDefault="002B078B">
            <w:pPr>
              <w:spacing w:line="560" w:lineRule="exact"/>
              <w:jc w:val="center"/>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6225" w:type="dxa"/>
          </w:tcPr>
          <w:p w:rsidR="002B078B" w:rsidRDefault="002B078B">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塔什库尔干县塔吉克阿巴提镇人民政府</w:t>
            </w:r>
          </w:p>
        </w:tc>
        <w:tc>
          <w:tcPr>
            <w:tcW w:w="1024" w:type="dxa"/>
          </w:tcPr>
          <w:p w:rsidR="002B078B" w:rsidRDefault="002B078B">
            <w:pPr>
              <w:spacing w:line="560" w:lineRule="exact"/>
              <w:rPr>
                <w:rFonts w:ascii="仿宋_GB2312" w:eastAsia="仿宋_GB2312" w:hAnsi="仿宋_GB2312" w:cs="仿宋_GB2312"/>
                <w:sz w:val="32"/>
                <w:szCs w:val="32"/>
              </w:rPr>
            </w:pPr>
          </w:p>
        </w:tc>
      </w:tr>
    </w:tbl>
    <w:p w:rsidR="002B078B" w:rsidRDefault="002B078B">
      <w:pPr>
        <w:snapToGrid w:val="0"/>
        <w:spacing w:line="560" w:lineRule="exact"/>
        <w:ind w:firstLineChars="200" w:firstLine="643"/>
        <w:rPr>
          <w:rFonts w:ascii="仿宋_GB2312" w:eastAsia="仿宋_GB2312" w:hAnsi="仿宋_GB2312" w:cs="仿宋_GB2312"/>
          <w:b/>
          <w:bCs/>
          <w:sz w:val="32"/>
          <w:szCs w:val="32"/>
        </w:rPr>
      </w:pPr>
      <w:bookmarkStart w:id="0" w:name="YS060102"/>
    </w:p>
    <w:p w:rsidR="002B078B" w:rsidRDefault="002B078B">
      <w:pPr>
        <w:snapToGrid w:val="0"/>
        <w:spacing w:line="360" w:lineRule="auto"/>
        <w:ind w:firstLineChars="200" w:firstLine="602"/>
        <w:rPr>
          <w:rFonts w:ascii="仿宋_GB2312" w:eastAsia="仿宋_GB2312" w:hAnsi="宋体" w:cs="仿宋_GB2312"/>
          <w:b/>
          <w:bCs/>
          <w:sz w:val="30"/>
          <w:szCs w:val="30"/>
        </w:rPr>
      </w:pPr>
      <w:r>
        <w:rPr>
          <w:rFonts w:ascii="仿宋_GB2312" w:eastAsia="仿宋_GB2312" w:hAnsi="宋体" w:cs="仿宋_GB2312" w:hint="eastAsia"/>
          <w:b/>
          <w:bCs/>
          <w:sz w:val="30"/>
          <w:szCs w:val="30"/>
        </w:rPr>
        <w:t>第二部分</w:t>
      </w:r>
      <w:r>
        <w:rPr>
          <w:rFonts w:ascii="仿宋_GB2312" w:eastAsia="仿宋_GB2312" w:hAnsi="宋体" w:cs="仿宋_GB2312"/>
          <w:b/>
          <w:bCs/>
          <w:sz w:val="30"/>
          <w:szCs w:val="30"/>
        </w:rPr>
        <w:t xml:space="preserve">   </w:t>
      </w:r>
      <w:r>
        <w:rPr>
          <w:rFonts w:ascii="仿宋_GB2312" w:eastAsia="仿宋_GB2312" w:hAnsi="宋体" w:cs="仿宋_GB2312" w:hint="eastAsia"/>
          <w:b/>
          <w:bCs/>
          <w:sz w:val="30"/>
          <w:szCs w:val="30"/>
        </w:rPr>
        <w:t>塔什库尔干塔吉克自治县阿巴提镇</w:t>
      </w:r>
      <w:r>
        <w:rPr>
          <w:rFonts w:ascii="仿宋_GB2312" w:eastAsia="仿宋_GB2312" w:hAnsi="宋体" w:cs="仿宋_GB2312"/>
          <w:b/>
          <w:bCs/>
          <w:sz w:val="30"/>
          <w:szCs w:val="30"/>
        </w:rPr>
        <w:t>2015</w:t>
      </w:r>
      <w:r>
        <w:rPr>
          <w:rFonts w:ascii="仿宋_GB2312" w:eastAsia="仿宋_GB2312" w:hAnsi="宋体" w:cs="仿宋_GB2312" w:hint="eastAsia"/>
          <w:b/>
          <w:bCs/>
          <w:sz w:val="30"/>
          <w:szCs w:val="30"/>
        </w:rPr>
        <w:t>年度部门决算报表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一、收入支出决算总表</w:t>
      </w:r>
      <w:r w:rsidRPr="006435D7">
        <w:rPr>
          <w:rFonts w:ascii="仿宋_GB2312" w:eastAsia="仿宋_GB2312" w:hAnsi="仿宋_GB2312" w:cs="仿宋_GB2312"/>
          <w:sz w:val="32"/>
          <w:szCs w:val="32"/>
        </w:rPr>
        <w:t xml:space="preserve"> </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二、财政拨款收入支出决算总表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三、收入支出决算表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四、收入决算表</w:t>
      </w:r>
      <w:r w:rsidRPr="006435D7">
        <w:rPr>
          <w:rFonts w:ascii="仿宋_GB2312" w:eastAsia="仿宋_GB2312" w:hAnsi="仿宋_GB2312" w:cs="仿宋_GB2312"/>
          <w:sz w:val="32"/>
          <w:szCs w:val="32"/>
        </w:rPr>
        <w:t xml:space="preserve"> </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五、支出决算表</w:t>
      </w:r>
      <w:r w:rsidRPr="006435D7">
        <w:rPr>
          <w:rFonts w:ascii="仿宋_GB2312" w:eastAsia="仿宋_GB2312" w:hAnsi="仿宋_GB2312" w:cs="仿宋_GB2312"/>
          <w:sz w:val="32"/>
          <w:szCs w:val="32"/>
        </w:rPr>
        <w:t xml:space="preserve"> </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六、支出决算明细表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七、基本支出决算明细表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八、项目支出决算明细表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九、项目收入支出决算表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十、行政事业类项目收入支出决算表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十一、基本建设类项目收入支出决算表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十二、一般公共预算财政拨款收入支出决算表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十三、一般公共预算财政拨款支出决算明细表</w:t>
      </w:r>
      <w:r w:rsidRPr="006435D7">
        <w:rPr>
          <w:rFonts w:ascii="仿宋_GB2312" w:eastAsia="仿宋_GB2312" w:hAnsi="仿宋_GB2312" w:cs="仿宋_GB2312"/>
          <w:sz w:val="32"/>
          <w:szCs w:val="32"/>
        </w:rPr>
        <w:t xml:space="preserve"> </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十四、一般公共预算财政拨款基本支出决算表</w:t>
      </w:r>
      <w:r w:rsidRPr="006435D7">
        <w:rPr>
          <w:rFonts w:ascii="仿宋_GB2312" w:eastAsia="仿宋_GB2312" w:hAnsi="仿宋_GB2312" w:cs="仿宋_GB2312"/>
          <w:sz w:val="32"/>
          <w:szCs w:val="32"/>
        </w:rPr>
        <w:t xml:space="preserve"> </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十五、一般公共预算财政拨款项目支出决算表</w:t>
      </w:r>
      <w:r w:rsidRPr="006435D7">
        <w:rPr>
          <w:rFonts w:ascii="仿宋_GB2312" w:eastAsia="仿宋_GB2312" w:hAnsi="仿宋_GB2312" w:cs="仿宋_GB2312"/>
          <w:sz w:val="32"/>
          <w:szCs w:val="32"/>
        </w:rPr>
        <w:t xml:space="preserve"> </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十六、政府性基金预算财政拨款收入支出决算表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十七、政府性基金预算财政拨款支出决算明细表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十八、政府性基金预算财政拨款基本支出决算明细表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十九、政府性基金预算财政拨款项目支出决算明细表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二十、财政专户管理资金收入支出决算表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二十一、资产负债表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二十二、部门决算相关信息统计表</w:t>
      </w:r>
    </w:p>
    <w:p w:rsidR="002B078B" w:rsidRPr="006435D7"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二十三、政府采购情况表</w:t>
      </w:r>
    </w:p>
    <w:p w:rsidR="002B078B" w:rsidRDefault="002B078B" w:rsidP="006435D7">
      <w:pPr>
        <w:snapToGrid w:val="0"/>
        <w:spacing w:line="560" w:lineRule="exact"/>
        <w:ind w:firstLineChars="200" w:firstLine="640"/>
        <w:rPr>
          <w:rFonts w:ascii="仿宋_GB2312" w:eastAsia="仿宋_GB2312" w:hAnsi="仿宋_GB2312" w:cs="仿宋_GB2312"/>
          <w:sz w:val="32"/>
          <w:szCs w:val="32"/>
        </w:rPr>
      </w:pPr>
      <w:r w:rsidRPr="006435D7">
        <w:rPr>
          <w:rFonts w:ascii="仿宋_GB2312" w:eastAsia="仿宋_GB2312" w:hAnsi="仿宋_GB2312" w:cs="仿宋_GB2312" w:hint="eastAsia"/>
          <w:sz w:val="32"/>
          <w:szCs w:val="32"/>
        </w:rPr>
        <w:t>二十四、</w:t>
      </w:r>
      <w:r w:rsidRPr="006435D7">
        <w:rPr>
          <w:rFonts w:ascii="仿宋_GB2312" w:eastAsia="仿宋_GB2312" w:hAnsi="仿宋_GB2312" w:cs="仿宋_GB2312"/>
          <w:sz w:val="32"/>
          <w:szCs w:val="32"/>
        </w:rPr>
        <w:t>2015</w:t>
      </w:r>
      <w:r w:rsidRPr="006435D7">
        <w:rPr>
          <w:rFonts w:ascii="仿宋_GB2312" w:eastAsia="仿宋_GB2312" w:hAnsi="仿宋_GB2312" w:cs="仿宋_GB2312" w:hint="eastAsia"/>
          <w:sz w:val="32"/>
          <w:szCs w:val="32"/>
        </w:rPr>
        <w:t>年度财政拨款“三公”经费支出表及说明</w:t>
      </w:r>
    </w:p>
    <w:p w:rsidR="002B078B" w:rsidRDefault="002B078B" w:rsidP="006435D7">
      <w:pPr>
        <w:snapToGrid w:val="0"/>
        <w:spacing w:line="560" w:lineRule="exact"/>
        <w:ind w:firstLineChars="200" w:firstLine="640"/>
        <w:rPr>
          <w:rFonts w:ascii="仿宋_GB2312" w:eastAsia="仿宋_GB2312" w:hAnsi="仿宋_GB2312" w:cs="仿宋_GB2312"/>
          <w:b/>
          <w:bCs/>
          <w:sz w:val="32"/>
          <w:szCs w:val="32"/>
        </w:rPr>
      </w:pPr>
      <w:r>
        <w:rPr>
          <w:rFonts w:ascii="仿宋_GB2312" w:eastAsia="仿宋_GB2312" w:hAnsi="仿宋_GB2312" w:cs="仿宋_GB2312"/>
          <w:sz w:val="32"/>
          <w:szCs w:val="32"/>
        </w:rPr>
        <w:t xml:space="preserve"> </w:t>
      </w:r>
    </w:p>
    <w:p w:rsidR="002B078B" w:rsidRDefault="002B078B">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第三部分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塔什库尔干县塔吉克阿巴提镇人民政府</w:t>
      </w:r>
      <w:r>
        <w:rPr>
          <w:rFonts w:ascii="仿宋_GB2312" w:eastAsia="仿宋_GB2312" w:hAnsi="仿宋_GB2312" w:cs="仿宋_GB2312"/>
          <w:b/>
          <w:bCs/>
          <w:sz w:val="32"/>
          <w:szCs w:val="32"/>
        </w:rPr>
        <w:t>2015</w:t>
      </w:r>
      <w:r>
        <w:rPr>
          <w:rFonts w:ascii="仿宋_GB2312" w:eastAsia="仿宋_GB2312" w:hAnsi="仿宋_GB2312" w:cs="仿宋_GB2312" w:hint="eastAsia"/>
          <w:b/>
          <w:bCs/>
          <w:sz w:val="32"/>
          <w:szCs w:val="32"/>
        </w:rPr>
        <w:t>年度部门决算情况说明</w:t>
      </w:r>
    </w:p>
    <w:p w:rsidR="002B078B" w:rsidRDefault="002B078B">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2B078B" w:rsidRDefault="002B078B">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年全年收入合计</w:t>
      </w:r>
      <w:r>
        <w:rPr>
          <w:rFonts w:ascii="仿宋_GB2312" w:eastAsia="仿宋_GB2312" w:hAnsi="仿宋_GB2312" w:cs="仿宋_GB2312"/>
          <w:sz w:val="32"/>
          <w:szCs w:val="32"/>
        </w:rPr>
        <w:t>9,226,387.58</w:t>
      </w:r>
      <w:r>
        <w:rPr>
          <w:rFonts w:ascii="仿宋_GB2312" w:eastAsia="仿宋_GB2312" w:hAnsi="仿宋_GB2312" w:cs="仿宋_GB2312" w:hint="eastAsia"/>
          <w:sz w:val="32"/>
          <w:szCs w:val="32"/>
        </w:rPr>
        <w:t>元，支出合计</w:t>
      </w:r>
      <w:r>
        <w:rPr>
          <w:rFonts w:ascii="仿宋_GB2312" w:eastAsia="仿宋_GB2312" w:hAnsi="仿宋_GB2312" w:cs="仿宋_GB2312"/>
          <w:sz w:val="32"/>
          <w:szCs w:val="32"/>
        </w:rPr>
        <w:t>8,952,877.58</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8,579,487.58</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373,390</w:t>
      </w:r>
      <w:r>
        <w:rPr>
          <w:rFonts w:ascii="仿宋_GB2312" w:eastAsia="仿宋_GB2312" w:hAnsi="仿宋_GB2312" w:cs="仿宋_GB2312" w:hint="eastAsia"/>
          <w:sz w:val="32"/>
          <w:szCs w:val="32"/>
        </w:rPr>
        <w:t>元。</w:t>
      </w:r>
    </w:p>
    <w:bookmarkEnd w:id="0"/>
    <w:p w:rsidR="002B078B" w:rsidRDefault="002B078B">
      <w:pPr>
        <w:numPr>
          <w:ilvl w:val="0"/>
          <w:numId w:val="2"/>
        </w:numPr>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收入情况说明</w:t>
      </w:r>
    </w:p>
    <w:p w:rsidR="002B078B" w:rsidRDefault="002B078B">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年本年收入合计</w:t>
      </w:r>
      <w:r>
        <w:rPr>
          <w:rFonts w:ascii="仿宋_GB2312" w:eastAsia="仿宋_GB2312" w:hAnsi="仿宋_GB2312" w:cs="仿宋_GB2312"/>
          <w:sz w:val="32"/>
          <w:szCs w:val="32"/>
        </w:rPr>
        <w:t>9,226,387.58</w:t>
      </w:r>
      <w:r>
        <w:rPr>
          <w:rFonts w:ascii="仿宋_GB2312" w:eastAsia="仿宋_GB2312" w:hAnsi="仿宋_GB2312" w:cs="仿宋_GB2312" w:hint="eastAsia"/>
          <w:sz w:val="32"/>
          <w:szCs w:val="32"/>
        </w:rPr>
        <w:t>元，其中：财政拨款收入</w:t>
      </w:r>
      <w:r>
        <w:rPr>
          <w:rFonts w:ascii="仿宋_GB2312" w:eastAsia="仿宋_GB2312" w:hAnsi="仿宋_GB2312" w:cs="仿宋_GB2312"/>
          <w:sz w:val="32"/>
          <w:szCs w:val="32"/>
        </w:rPr>
        <w:t>9,226,387.58</w:t>
      </w:r>
      <w:r>
        <w:rPr>
          <w:rFonts w:ascii="仿宋_GB2312" w:eastAsia="仿宋_GB2312" w:hAnsi="仿宋_GB2312" w:cs="仿宋_GB2312" w:hint="eastAsia"/>
          <w:sz w:val="32"/>
          <w:szCs w:val="32"/>
        </w:rPr>
        <w:t>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2B078B" w:rsidRDefault="002B078B">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三、支出情况说明</w:t>
      </w:r>
    </w:p>
    <w:p w:rsidR="002B078B" w:rsidRDefault="002B078B">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8952877.58</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8,579,487.58</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373,390</w:t>
      </w:r>
      <w:r>
        <w:rPr>
          <w:rFonts w:ascii="仿宋_GB2312" w:eastAsia="仿宋_GB2312" w:hAnsi="仿宋_GB2312" w:cs="仿宋_GB2312" w:hint="eastAsia"/>
          <w:sz w:val="32"/>
          <w:szCs w:val="32"/>
        </w:rPr>
        <w:t>元，经营支出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2B078B" w:rsidRDefault="002B078B">
      <w:pPr>
        <w:snapToGrid w:val="0"/>
        <w:spacing w:line="560" w:lineRule="exact"/>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四、年末结转结余情况说明</w:t>
      </w:r>
    </w:p>
    <w:p w:rsidR="002B078B" w:rsidRDefault="002B078B">
      <w:pPr>
        <w:snapToGrid w:val="0"/>
        <w:spacing w:line="560" w:lineRule="exact"/>
        <w:ind w:firstLineChars="300" w:firstLine="96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年结转结余资金</w:t>
      </w:r>
      <w:r>
        <w:rPr>
          <w:rFonts w:ascii="仿宋_GB2312" w:eastAsia="仿宋_GB2312" w:hAnsi="仿宋_GB2312" w:cs="仿宋_GB2312"/>
          <w:sz w:val="32"/>
          <w:szCs w:val="32"/>
        </w:rPr>
        <w:t>273510</w:t>
      </w:r>
      <w:r>
        <w:rPr>
          <w:rFonts w:ascii="仿宋_GB2312" w:eastAsia="仿宋_GB2312" w:hAnsi="仿宋_GB2312" w:cs="仿宋_GB2312" w:hint="eastAsia"/>
          <w:sz w:val="32"/>
          <w:szCs w:val="32"/>
        </w:rPr>
        <w:t>元（其中：财政拨款基本支出结转结余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元，主要为无，项目支出结转结余</w:t>
      </w:r>
      <w:r>
        <w:rPr>
          <w:rFonts w:ascii="仿宋_GB2312" w:eastAsia="仿宋_GB2312" w:hAnsi="仿宋_GB2312" w:cs="仿宋_GB2312"/>
          <w:sz w:val="32"/>
          <w:szCs w:val="32"/>
        </w:rPr>
        <w:t>273510</w:t>
      </w:r>
      <w:r>
        <w:rPr>
          <w:rFonts w:ascii="仿宋_GB2312" w:eastAsia="仿宋_GB2312" w:hAnsi="仿宋_GB2312" w:cs="仿宋_GB2312" w:hint="eastAsia"/>
          <w:sz w:val="32"/>
          <w:szCs w:val="32"/>
        </w:rPr>
        <w:t>元，主要为一事一议项目）。</w:t>
      </w:r>
    </w:p>
    <w:p w:rsidR="002B078B" w:rsidRDefault="002B078B">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五、“三公”经费、会议费和培训费支出情况说明</w:t>
      </w:r>
    </w:p>
    <w:p w:rsidR="002B078B" w:rsidRDefault="002B078B">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年“三公”经费实际支出</w:t>
      </w:r>
      <w:r>
        <w:rPr>
          <w:rFonts w:ascii="仿宋_GB2312" w:eastAsia="仿宋_GB2312" w:hAnsi="仿宋_GB2312" w:cs="仿宋_GB2312"/>
          <w:sz w:val="32"/>
          <w:szCs w:val="32"/>
        </w:rPr>
        <w:t>119991.82</w:t>
      </w:r>
      <w:r>
        <w:rPr>
          <w:rFonts w:ascii="仿宋_GB2312" w:eastAsia="仿宋_GB2312" w:hAnsi="仿宋_GB2312" w:cs="仿宋_GB2312" w:hint="eastAsia"/>
          <w:sz w:val="32"/>
          <w:szCs w:val="32"/>
        </w:rPr>
        <w:t>元，其中：因公出国（境）费用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元，共组团</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，出国事由：无</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元，年末公务用车保有量为</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辆；公务用车维护费</w:t>
      </w:r>
      <w:r>
        <w:rPr>
          <w:rFonts w:ascii="仿宋_GB2312" w:eastAsia="仿宋_GB2312" w:hAnsi="仿宋_GB2312" w:cs="仿宋_GB2312"/>
          <w:sz w:val="32"/>
          <w:szCs w:val="32"/>
        </w:rPr>
        <w:t>119991.82</w:t>
      </w:r>
      <w:r>
        <w:rPr>
          <w:rFonts w:ascii="仿宋_GB2312" w:eastAsia="仿宋_GB2312" w:hAnsi="仿宋_GB2312" w:cs="仿宋_GB2312" w:hint="eastAsia"/>
          <w:sz w:val="32"/>
          <w:szCs w:val="32"/>
        </w:rPr>
        <w:t>元。</w:t>
      </w:r>
    </w:p>
    <w:p w:rsidR="002B078B" w:rsidRDefault="002B078B">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“三公”经费较上年相比多支出</w:t>
      </w:r>
      <w:r>
        <w:rPr>
          <w:rFonts w:ascii="仿宋_GB2312" w:eastAsia="仿宋_GB2312" w:hAnsi="仿宋_GB2312" w:cs="仿宋_GB2312"/>
          <w:sz w:val="32"/>
          <w:szCs w:val="32"/>
        </w:rPr>
        <w:t>39991.82</w:t>
      </w:r>
      <w:r>
        <w:rPr>
          <w:rFonts w:ascii="仿宋_GB2312" w:eastAsia="仿宋_GB2312" w:hAnsi="仿宋_GB2312" w:cs="仿宋_GB2312" w:hint="eastAsia"/>
          <w:sz w:val="32"/>
          <w:szCs w:val="32"/>
        </w:rPr>
        <w:t>元，其中：因公出国（境）费用多（少）支</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元；公务接待费多（少）支出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元；公务用车购置费多（少）支出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元；公务用车维护费多支出</w:t>
      </w:r>
      <w:r>
        <w:rPr>
          <w:rFonts w:ascii="仿宋_GB2312" w:eastAsia="仿宋_GB2312" w:hAnsi="仿宋_GB2312" w:cs="仿宋_GB2312"/>
          <w:sz w:val="32"/>
          <w:szCs w:val="32"/>
        </w:rPr>
        <w:t>39991.82</w:t>
      </w:r>
      <w:r>
        <w:rPr>
          <w:rFonts w:ascii="仿宋_GB2312" w:eastAsia="仿宋_GB2312" w:hAnsi="仿宋_GB2312" w:cs="仿宋_GB2312" w:hint="eastAsia"/>
          <w:sz w:val="32"/>
          <w:szCs w:val="32"/>
        </w:rPr>
        <w:t>元。主要原因为：确保正常运转。</w:t>
      </w:r>
    </w:p>
    <w:p w:rsidR="002B078B" w:rsidRDefault="002B078B">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年会议费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2B078B" w:rsidRDefault="002B078B">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年培训费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2B078B" w:rsidRDefault="002B078B">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六、预算执行情况说明</w:t>
      </w:r>
    </w:p>
    <w:p w:rsidR="002B078B" w:rsidRDefault="002B078B">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年本年收入</w:t>
      </w:r>
      <w:r>
        <w:rPr>
          <w:rFonts w:ascii="仿宋_GB2312" w:eastAsia="仿宋_GB2312" w:hAnsi="仿宋_GB2312" w:cs="仿宋_GB2312"/>
          <w:sz w:val="32"/>
          <w:szCs w:val="32"/>
        </w:rPr>
        <w:t>9,226,387.58</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2014</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75,805.44</w:t>
      </w:r>
      <w:r>
        <w:rPr>
          <w:rFonts w:ascii="仿宋_GB2312" w:eastAsia="仿宋_GB2312" w:hAnsi="仿宋_GB2312" w:cs="仿宋_GB2312" w:hint="eastAsia"/>
          <w:sz w:val="32"/>
          <w:szCs w:val="32"/>
        </w:rPr>
        <w:t>元，增加原因：人员经费增加。</w:t>
      </w:r>
      <w:r>
        <w:rPr>
          <w:rFonts w:ascii="仿宋_GB2312" w:eastAsia="仿宋_GB2312" w:hAnsi="仿宋_GB2312" w:cs="仿宋_GB2312"/>
          <w:sz w:val="32"/>
          <w:szCs w:val="32"/>
        </w:rPr>
        <w:t xml:space="preserve"> </w:t>
      </w:r>
    </w:p>
    <w:p w:rsidR="002B078B" w:rsidRDefault="002B078B">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年本年支出</w:t>
      </w:r>
      <w:r>
        <w:rPr>
          <w:rFonts w:ascii="仿宋_GB2312" w:eastAsia="仿宋_GB2312" w:hAnsi="仿宋_GB2312" w:cs="仿宋_GB2312"/>
          <w:sz w:val="32"/>
          <w:szCs w:val="32"/>
        </w:rPr>
        <w:t>8,952,877.58</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2014</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197,704.56</w:t>
      </w:r>
      <w:r>
        <w:rPr>
          <w:rFonts w:ascii="仿宋_GB2312" w:eastAsia="仿宋_GB2312" w:hAnsi="仿宋_GB2312" w:cs="仿宋_GB2312" w:hint="eastAsia"/>
          <w:sz w:val="32"/>
          <w:szCs w:val="32"/>
        </w:rPr>
        <w:t>元，减少原因：减少办公费用，人员变动。</w:t>
      </w:r>
    </w:p>
    <w:p w:rsidR="002B078B" w:rsidRDefault="002B078B">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年财政拨款支出</w:t>
      </w:r>
      <w:bookmarkStart w:id="1" w:name="_GoBack"/>
      <w:r>
        <w:rPr>
          <w:rFonts w:ascii="仿宋_GB2312" w:eastAsia="仿宋_GB2312" w:hAnsi="仿宋_GB2312" w:cs="仿宋_GB2312"/>
          <w:sz w:val="32"/>
          <w:szCs w:val="32"/>
        </w:rPr>
        <w:t>8952877.58</w:t>
      </w:r>
      <w:r>
        <w:rPr>
          <w:rFonts w:ascii="仿宋_GB2312" w:eastAsia="仿宋_GB2312" w:hAnsi="仿宋_GB2312" w:cs="仿宋_GB2312" w:hint="eastAsia"/>
          <w:sz w:val="32"/>
          <w:szCs w:val="32"/>
        </w:rPr>
        <w:t>元</w:t>
      </w:r>
      <w:bookmarkEnd w:id="1"/>
      <w:r>
        <w:rPr>
          <w:rFonts w:ascii="仿宋_GB2312" w:eastAsia="仿宋_GB2312" w:hAnsi="仿宋_GB2312" w:cs="仿宋_GB2312" w:hint="eastAsia"/>
          <w:sz w:val="32"/>
          <w:szCs w:val="32"/>
        </w:rPr>
        <w:t>，年初预算数</w:t>
      </w:r>
      <w:r>
        <w:rPr>
          <w:rFonts w:ascii="仿宋_GB2312" w:eastAsia="仿宋_GB2312" w:hAnsi="仿宋_GB2312" w:cs="仿宋_GB2312"/>
          <w:sz w:val="32"/>
          <w:szCs w:val="32"/>
        </w:rPr>
        <w:t xml:space="preserve">    7,190,730.58</w:t>
      </w:r>
      <w:r>
        <w:rPr>
          <w:rFonts w:ascii="仿宋_GB2312" w:eastAsia="仿宋_GB2312" w:hAnsi="仿宋_GB2312" w:cs="仿宋_GB2312" w:hint="eastAsia"/>
          <w:sz w:val="32"/>
          <w:szCs w:val="32"/>
        </w:rPr>
        <w:t>元，差异原因：人员工资增加和项目增加。</w:t>
      </w:r>
    </w:p>
    <w:p w:rsidR="002B078B" w:rsidRDefault="002B078B">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七、决算公开其他重要事项情况说明</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（一）机关运行经费支出情况</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年塔什库尔干塔吉克自治县阿巴提镇人民政府机关运行经费支出</w:t>
      </w:r>
      <w:r>
        <w:rPr>
          <w:rFonts w:ascii="仿宋_GB2312" w:eastAsia="仿宋_GB2312" w:hAnsi="仿宋_GB2312" w:cs="仿宋_GB2312"/>
          <w:sz w:val="32"/>
          <w:szCs w:val="32"/>
        </w:rPr>
        <w:t>558597</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2014</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37379.96</w:t>
      </w:r>
      <w:r>
        <w:rPr>
          <w:rFonts w:ascii="仿宋_GB2312" w:eastAsia="仿宋_GB2312" w:hAnsi="仿宋_GB2312" w:cs="仿宋_GB2312" w:hint="eastAsia"/>
          <w:sz w:val="32"/>
          <w:szCs w:val="32"/>
        </w:rPr>
        <w:t>元，减少</w:t>
      </w:r>
      <w:r>
        <w:rPr>
          <w:rFonts w:ascii="仿宋_GB2312" w:eastAsia="仿宋_GB2312" w:hAnsi="仿宋_GB2312" w:cs="仿宋_GB2312"/>
          <w:sz w:val="32"/>
          <w:szCs w:val="32"/>
        </w:rPr>
        <w:t xml:space="preserve">6.27% </w:t>
      </w:r>
      <w:r>
        <w:rPr>
          <w:rFonts w:ascii="仿宋_GB2312" w:eastAsia="仿宋_GB2312" w:hAnsi="仿宋_GB2312" w:cs="仿宋_GB2312" w:hint="eastAsia"/>
          <w:sz w:val="32"/>
          <w:szCs w:val="32"/>
        </w:rPr>
        <w:t>，主要原因是：减少了日常办公费用的支出。</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（二）政府采购支出情况</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年，塔什库尔干县塔吉克阿巴提镇人民政府政府采购支出总额</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元。喀什地区为偏远地区，参与招投标的供应商基本为中小微企业。</w:t>
      </w:r>
      <w:r>
        <w:rPr>
          <w:rFonts w:ascii="仿宋_GB2312" w:eastAsia="仿宋_GB2312" w:hAnsi="仿宋_GB2312" w:cs="仿宋_GB2312"/>
          <w:sz w:val="32"/>
          <w:szCs w:val="32"/>
        </w:rPr>
        <w:t xml:space="preserve">   </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（三）国有资产占用情况</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日，本单位共有车辆</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辆，其他车辆</w:t>
      </w:r>
      <w:r>
        <w:rPr>
          <w:rFonts w:ascii="仿宋_GB2312" w:eastAsia="仿宋_GB2312" w:hAnsi="仿宋_GB2312" w:cs="仿宋_GB2312"/>
          <w:sz w:val="32"/>
          <w:szCs w:val="32"/>
        </w:rPr>
        <w:t xml:space="preserve">0 </w:t>
      </w:r>
      <w:r>
        <w:rPr>
          <w:rFonts w:ascii="仿宋_GB2312" w:eastAsia="仿宋_GB2312" w:hAnsi="仿宋_GB2312" w:cs="仿宋_GB2312" w:hint="eastAsia"/>
          <w:sz w:val="32"/>
          <w:szCs w:val="32"/>
        </w:rPr>
        <w:t>辆，其他用车主要是无，单位价值在</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万元以上的设备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台（套），价值</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（四）民生项目、重点支出项目绩效评价结果</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年，塔什库尔干县塔吉克阿巴提镇人民政府共组织对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个项目进行了预算绩效评价，涉及一般公共预算当年财政拨款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元。绩效评价结果：无。</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（五）事业收入明细、经营收入明细</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按收入项目分别列示：无。</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八、专业名词解释</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（一）财政拨款收入：指单位本年度从本级财政部门取得得财政拨款。</w:t>
      </w:r>
      <w:r>
        <w:rPr>
          <w:rFonts w:ascii="仿宋_GB2312" w:eastAsia="仿宋_GB2312" w:hAnsi="仿宋_GB2312" w:cs="仿宋_GB2312"/>
          <w:sz w:val="32"/>
          <w:szCs w:val="32"/>
        </w:rPr>
        <w:t xml:space="preserve"> </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（二）事业收入：指事业单位开展专业业务活动及辅助活动所取得的收入。</w:t>
      </w:r>
      <w:r>
        <w:rPr>
          <w:rFonts w:ascii="仿宋_GB2312" w:eastAsia="仿宋_GB2312" w:hAnsi="仿宋_GB2312" w:cs="仿宋_GB2312"/>
          <w:sz w:val="32"/>
          <w:szCs w:val="32"/>
        </w:rPr>
        <w:t xml:space="preserve"> </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（三）经营收入：指事业单位在专业业务活动及其辅助活动之外开展非独立核算经营活动取得的收入。</w:t>
      </w:r>
      <w:r>
        <w:rPr>
          <w:rFonts w:ascii="仿宋_GB2312" w:eastAsia="仿宋_GB2312" w:hAnsi="仿宋_GB2312" w:cs="仿宋_GB2312"/>
          <w:sz w:val="32"/>
          <w:szCs w:val="32"/>
        </w:rPr>
        <w:t xml:space="preserve"> </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（四）其他收入：指除上述“财政拨款收入”、“事业收入”、“经营收入”等以外的收入。</w:t>
      </w:r>
      <w:r>
        <w:rPr>
          <w:rFonts w:ascii="仿宋_GB2312" w:eastAsia="仿宋_GB2312" w:hAnsi="仿宋_GB2312" w:cs="仿宋_GB2312"/>
          <w:sz w:val="32"/>
          <w:szCs w:val="32"/>
        </w:rPr>
        <w:t xml:space="preserve"> </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hAnsi="仿宋_GB2312" w:cs="仿宋_GB2312"/>
          <w:sz w:val="32"/>
          <w:szCs w:val="32"/>
        </w:rPr>
        <w:t xml:space="preserve"> </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（六）年初结转和结余：指以前年度尚未完成、结转到本年按有关规定继续使用的资金。</w:t>
      </w:r>
      <w:r>
        <w:rPr>
          <w:rFonts w:ascii="仿宋_GB2312" w:eastAsia="仿宋_GB2312" w:hAnsi="仿宋_GB2312" w:cs="仿宋_GB2312"/>
          <w:sz w:val="32"/>
          <w:szCs w:val="32"/>
        </w:rPr>
        <w:t xml:space="preserve"> </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（七）结余分配：指事业单位按规定提取的职工福利基</w:t>
      </w:r>
    </w:p>
    <w:p w:rsidR="002B078B" w:rsidRDefault="002B078B">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金、事业基金和缴纳的所得税，以及建设单位按规定应交回的基本建设竣工项目结余资金。</w:t>
      </w:r>
      <w:r>
        <w:rPr>
          <w:rFonts w:ascii="仿宋_GB2312" w:eastAsia="仿宋_GB2312" w:hAnsi="仿宋_GB2312" w:cs="仿宋_GB2312"/>
          <w:sz w:val="32"/>
          <w:szCs w:val="32"/>
        </w:rPr>
        <w:t xml:space="preserve"> </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（八）年末结转和结余：指本年度或以前年度预算安排、</w:t>
      </w:r>
    </w:p>
    <w:p w:rsidR="002B078B" w:rsidRDefault="002B078B">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因客观条件发生变化无法按原计划实施，需要延迟到以后年度按有关规定继续使用的资金。</w:t>
      </w:r>
      <w:r>
        <w:rPr>
          <w:rFonts w:ascii="仿宋_GB2312" w:eastAsia="仿宋_GB2312" w:hAnsi="仿宋_GB2312" w:cs="仿宋_GB2312"/>
          <w:sz w:val="32"/>
          <w:szCs w:val="32"/>
        </w:rPr>
        <w:t xml:space="preserve"> </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（九）基本支出：指为保障机构正常运转、完成日常工作任务而发生的人员支出和公用支出。</w:t>
      </w:r>
      <w:r>
        <w:rPr>
          <w:rFonts w:ascii="仿宋_GB2312" w:eastAsia="仿宋_GB2312" w:hAnsi="仿宋_GB2312" w:cs="仿宋_GB2312"/>
          <w:sz w:val="32"/>
          <w:szCs w:val="32"/>
        </w:rPr>
        <w:t xml:space="preserve"> </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（十）项目支出：指在基本支出之外为完成特定行政任务和事业发展目标所发生的支出。</w:t>
      </w:r>
      <w:r>
        <w:rPr>
          <w:rFonts w:ascii="仿宋_GB2312" w:eastAsia="仿宋_GB2312" w:hAnsi="仿宋_GB2312" w:cs="仿宋_GB2312"/>
          <w:sz w:val="32"/>
          <w:szCs w:val="32"/>
        </w:rPr>
        <w:t xml:space="preserve"> </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（十一）经营支出：指事业单位在专业业务活动及其辅助活动之外开展非独立核算经营活动发生的支出。</w:t>
      </w:r>
      <w:r>
        <w:rPr>
          <w:rFonts w:ascii="仿宋_GB2312" w:eastAsia="仿宋_GB2312" w:hAnsi="仿宋_GB2312" w:cs="仿宋_GB2312"/>
          <w:sz w:val="32"/>
          <w:szCs w:val="32"/>
        </w:rPr>
        <w:t xml:space="preserve"> </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Pr>
          <w:rFonts w:ascii="仿宋_GB2312" w:eastAsia="仿宋_GB2312" w:hAnsi="仿宋_GB2312" w:cs="仿宋_GB2312"/>
          <w:sz w:val="32"/>
          <w:szCs w:val="32"/>
        </w:rPr>
        <w:t xml:space="preserve"> </w:t>
      </w:r>
    </w:p>
    <w:p w:rsidR="002B078B" w:rsidRDefault="002B078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2B078B" w:rsidRDefault="002B078B">
      <w:pPr>
        <w:spacing w:line="560" w:lineRule="exact"/>
        <w:ind w:firstLineChars="200" w:firstLine="640"/>
        <w:rPr>
          <w:rFonts w:ascii="仿宋_GB2312" w:eastAsia="仿宋_GB2312" w:hAnsi="仿宋_GB2312" w:cs="仿宋_GB2312"/>
          <w:sz w:val="32"/>
          <w:szCs w:val="32"/>
        </w:rPr>
      </w:pPr>
    </w:p>
    <w:sectPr w:rsidR="002B078B" w:rsidSect="006B5A4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78B" w:rsidRDefault="002B078B" w:rsidP="006B5A42">
      <w:r>
        <w:separator/>
      </w:r>
    </w:p>
  </w:endnote>
  <w:endnote w:type="continuationSeparator" w:id="0">
    <w:p w:rsidR="002B078B" w:rsidRDefault="002B078B" w:rsidP="006B5A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78B" w:rsidRDefault="002B078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78B" w:rsidRDefault="002B07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2B078B" w:rsidRDefault="002B078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78B" w:rsidRDefault="002B07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78B" w:rsidRDefault="002B078B" w:rsidP="006B5A42">
      <w:r>
        <w:separator/>
      </w:r>
    </w:p>
  </w:footnote>
  <w:footnote w:type="continuationSeparator" w:id="0">
    <w:p w:rsidR="002B078B" w:rsidRDefault="002B078B" w:rsidP="006B5A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78B" w:rsidRDefault="002B07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78B" w:rsidRDefault="002B078B" w:rsidP="006B564B">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78B" w:rsidRDefault="002B078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57B7E"/>
    <w:rsid w:val="000703F5"/>
    <w:rsid w:val="000775E8"/>
    <w:rsid w:val="00086A97"/>
    <w:rsid w:val="00091F7F"/>
    <w:rsid w:val="00094D69"/>
    <w:rsid w:val="000A5DE3"/>
    <w:rsid w:val="000A65DB"/>
    <w:rsid w:val="000A7D6D"/>
    <w:rsid w:val="000B07D0"/>
    <w:rsid w:val="000B1596"/>
    <w:rsid w:val="000B5213"/>
    <w:rsid w:val="000C3B20"/>
    <w:rsid w:val="000E45CF"/>
    <w:rsid w:val="000E7FFD"/>
    <w:rsid w:val="0010183B"/>
    <w:rsid w:val="00140E78"/>
    <w:rsid w:val="00142BCE"/>
    <w:rsid w:val="00147040"/>
    <w:rsid w:val="00151463"/>
    <w:rsid w:val="00170582"/>
    <w:rsid w:val="00185230"/>
    <w:rsid w:val="001870FE"/>
    <w:rsid w:val="001943AB"/>
    <w:rsid w:val="001B7F78"/>
    <w:rsid w:val="001D09C9"/>
    <w:rsid w:val="001E2DA4"/>
    <w:rsid w:val="001E4658"/>
    <w:rsid w:val="001E7C6A"/>
    <w:rsid w:val="001F2B9D"/>
    <w:rsid w:val="001F33C0"/>
    <w:rsid w:val="001F6EF5"/>
    <w:rsid w:val="0020099B"/>
    <w:rsid w:val="00205C3B"/>
    <w:rsid w:val="00242FE4"/>
    <w:rsid w:val="002600A2"/>
    <w:rsid w:val="00262C89"/>
    <w:rsid w:val="00265B72"/>
    <w:rsid w:val="002666BC"/>
    <w:rsid w:val="002743C3"/>
    <w:rsid w:val="00287A2E"/>
    <w:rsid w:val="002A0566"/>
    <w:rsid w:val="002B078B"/>
    <w:rsid w:val="002B5B38"/>
    <w:rsid w:val="002C37F3"/>
    <w:rsid w:val="002C677C"/>
    <w:rsid w:val="002C740B"/>
    <w:rsid w:val="002D02F4"/>
    <w:rsid w:val="00303B2E"/>
    <w:rsid w:val="003158E9"/>
    <w:rsid w:val="00331D3A"/>
    <w:rsid w:val="00333969"/>
    <w:rsid w:val="003472C5"/>
    <w:rsid w:val="00347996"/>
    <w:rsid w:val="00350B5B"/>
    <w:rsid w:val="0035257D"/>
    <w:rsid w:val="003601E6"/>
    <w:rsid w:val="003632BC"/>
    <w:rsid w:val="0036672E"/>
    <w:rsid w:val="00386681"/>
    <w:rsid w:val="003A77FF"/>
    <w:rsid w:val="003B0831"/>
    <w:rsid w:val="003B594E"/>
    <w:rsid w:val="003C2E54"/>
    <w:rsid w:val="003D0C72"/>
    <w:rsid w:val="004011AD"/>
    <w:rsid w:val="0040177E"/>
    <w:rsid w:val="00406AB0"/>
    <w:rsid w:val="00417715"/>
    <w:rsid w:val="00420614"/>
    <w:rsid w:val="0043072D"/>
    <w:rsid w:val="00434EEE"/>
    <w:rsid w:val="0045212A"/>
    <w:rsid w:val="00457BD9"/>
    <w:rsid w:val="004743B3"/>
    <w:rsid w:val="004771F0"/>
    <w:rsid w:val="00486188"/>
    <w:rsid w:val="00487059"/>
    <w:rsid w:val="004A08C1"/>
    <w:rsid w:val="004A28B1"/>
    <w:rsid w:val="004B6AAB"/>
    <w:rsid w:val="004C42B9"/>
    <w:rsid w:val="004D2787"/>
    <w:rsid w:val="004D48D7"/>
    <w:rsid w:val="004D6F93"/>
    <w:rsid w:val="004E6BF8"/>
    <w:rsid w:val="0050291C"/>
    <w:rsid w:val="005272D8"/>
    <w:rsid w:val="00532879"/>
    <w:rsid w:val="00552B99"/>
    <w:rsid w:val="00565025"/>
    <w:rsid w:val="005669B0"/>
    <w:rsid w:val="005722C7"/>
    <w:rsid w:val="005766BD"/>
    <w:rsid w:val="00592401"/>
    <w:rsid w:val="00595CD5"/>
    <w:rsid w:val="005A03D4"/>
    <w:rsid w:val="005A0EA5"/>
    <w:rsid w:val="005D008D"/>
    <w:rsid w:val="005D5345"/>
    <w:rsid w:val="005D6922"/>
    <w:rsid w:val="005E06E5"/>
    <w:rsid w:val="00636D9F"/>
    <w:rsid w:val="00642F1B"/>
    <w:rsid w:val="006435D7"/>
    <w:rsid w:val="006537AC"/>
    <w:rsid w:val="00655733"/>
    <w:rsid w:val="006711C8"/>
    <w:rsid w:val="00672B4C"/>
    <w:rsid w:val="006773BD"/>
    <w:rsid w:val="00687879"/>
    <w:rsid w:val="00696752"/>
    <w:rsid w:val="006A1621"/>
    <w:rsid w:val="006A2219"/>
    <w:rsid w:val="006A56FC"/>
    <w:rsid w:val="006A7356"/>
    <w:rsid w:val="006B564B"/>
    <w:rsid w:val="006B5A42"/>
    <w:rsid w:val="006C22ED"/>
    <w:rsid w:val="006D4B96"/>
    <w:rsid w:val="006F1159"/>
    <w:rsid w:val="006F13E9"/>
    <w:rsid w:val="006F3090"/>
    <w:rsid w:val="006F7FA8"/>
    <w:rsid w:val="00706C17"/>
    <w:rsid w:val="007226FB"/>
    <w:rsid w:val="007235EE"/>
    <w:rsid w:val="0073556B"/>
    <w:rsid w:val="0074140F"/>
    <w:rsid w:val="007568A5"/>
    <w:rsid w:val="00774810"/>
    <w:rsid w:val="00782159"/>
    <w:rsid w:val="00793D15"/>
    <w:rsid w:val="007978CD"/>
    <w:rsid w:val="007A2BDC"/>
    <w:rsid w:val="007D75E2"/>
    <w:rsid w:val="007F238C"/>
    <w:rsid w:val="008012F4"/>
    <w:rsid w:val="008104D1"/>
    <w:rsid w:val="00815033"/>
    <w:rsid w:val="00833CD5"/>
    <w:rsid w:val="00842279"/>
    <w:rsid w:val="00844D3A"/>
    <w:rsid w:val="00847706"/>
    <w:rsid w:val="00854186"/>
    <w:rsid w:val="008664F8"/>
    <w:rsid w:val="00877032"/>
    <w:rsid w:val="00880D0D"/>
    <w:rsid w:val="008872A2"/>
    <w:rsid w:val="00895A64"/>
    <w:rsid w:val="008A0DC9"/>
    <w:rsid w:val="008B02AA"/>
    <w:rsid w:val="008C5ABD"/>
    <w:rsid w:val="008D28A9"/>
    <w:rsid w:val="008E26A2"/>
    <w:rsid w:val="008F0614"/>
    <w:rsid w:val="009078E5"/>
    <w:rsid w:val="00910498"/>
    <w:rsid w:val="00912ADD"/>
    <w:rsid w:val="00921F8C"/>
    <w:rsid w:val="0094324E"/>
    <w:rsid w:val="00954B4B"/>
    <w:rsid w:val="00982777"/>
    <w:rsid w:val="00986E5F"/>
    <w:rsid w:val="009968E8"/>
    <w:rsid w:val="009A0DFF"/>
    <w:rsid w:val="009A7D21"/>
    <w:rsid w:val="009C453B"/>
    <w:rsid w:val="009C7F6B"/>
    <w:rsid w:val="009F1B75"/>
    <w:rsid w:val="009F39C7"/>
    <w:rsid w:val="009F6D25"/>
    <w:rsid w:val="00A013AA"/>
    <w:rsid w:val="00A32422"/>
    <w:rsid w:val="00A3418E"/>
    <w:rsid w:val="00A407D1"/>
    <w:rsid w:val="00A45B14"/>
    <w:rsid w:val="00A51734"/>
    <w:rsid w:val="00A65801"/>
    <w:rsid w:val="00A97E66"/>
    <w:rsid w:val="00AA1759"/>
    <w:rsid w:val="00AA3003"/>
    <w:rsid w:val="00AA309F"/>
    <w:rsid w:val="00AC0ED9"/>
    <w:rsid w:val="00AC139B"/>
    <w:rsid w:val="00AC4897"/>
    <w:rsid w:val="00AD7784"/>
    <w:rsid w:val="00AF26DB"/>
    <w:rsid w:val="00B0409B"/>
    <w:rsid w:val="00B1230E"/>
    <w:rsid w:val="00B164C4"/>
    <w:rsid w:val="00B21656"/>
    <w:rsid w:val="00B230C7"/>
    <w:rsid w:val="00B24563"/>
    <w:rsid w:val="00B3773F"/>
    <w:rsid w:val="00B635BA"/>
    <w:rsid w:val="00B73E96"/>
    <w:rsid w:val="00B751D5"/>
    <w:rsid w:val="00B87F87"/>
    <w:rsid w:val="00B919A9"/>
    <w:rsid w:val="00BB2497"/>
    <w:rsid w:val="00BB372B"/>
    <w:rsid w:val="00BB5A61"/>
    <w:rsid w:val="00BF4AA8"/>
    <w:rsid w:val="00C15174"/>
    <w:rsid w:val="00C17D9A"/>
    <w:rsid w:val="00C24D8B"/>
    <w:rsid w:val="00C4155A"/>
    <w:rsid w:val="00C43174"/>
    <w:rsid w:val="00C45F21"/>
    <w:rsid w:val="00C519BC"/>
    <w:rsid w:val="00C55E43"/>
    <w:rsid w:val="00C605BD"/>
    <w:rsid w:val="00C61DC5"/>
    <w:rsid w:val="00C62423"/>
    <w:rsid w:val="00C90FB0"/>
    <w:rsid w:val="00C955CC"/>
    <w:rsid w:val="00CA6F46"/>
    <w:rsid w:val="00CB3117"/>
    <w:rsid w:val="00CE1862"/>
    <w:rsid w:val="00CE37ED"/>
    <w:rsid w:val="00CF162F"/>
    <w:rsid w:val="00D05A9C"/>
    <w:rsid w:val="00D16906"/>
    <w:rsid w:val="00D45D0C"/>
    <w:rsid w:val="00D4613F"/>
    <w:rsid w:val="00D5318C"/>
    <w:rsid w:val="00D554FC"/>
    <w:rsid w:val="00D81E3D"/>
    <w:rsid w:val="00D91C3D"/>
    <w:rsid w:val="00D949F7"/>
    <w:rsid w:val="00DA057C"/>
    <w:rsid w:val="00DA16BE"/>
    <w:rsid w:val="00DB13AB"/>
    <w:rsid w:val="00DB2FC5"/>
    <w:rsid w:val="00DE344D"/>
    <w:rsid w:val="00DE619D"/>
    <w:rsid w:val="00DE62BB"/>
    <w:rsid w:val="00E17893"/>
    <w:rsid w:val="00E339F2"/>
    <w:rsid w:val="00E345B7"/>
    <w:rsid w:val="00E64489"/>
    <w:rsid w:val="00E774D0"/>
    <w:rsid w:val="00E8388E"/>
    <w:rsid w:val="00EA5F52"/>
    <w:rsid w:val="00EA7BCE"/>
    <w:rsid w:val="00EB563F"/>
    <w:rsid w:val="00EB7DD0"/>
    <w:rsid w:val="00EC1979"/>
    <w:rsid w:val="00EC282F"/>
    <w:rsid w:val="00ED396F"/>
    <w:rsid w:val="00ED7C8E"/>
    <w:rsid w:val="00EE2E07"/>
    <w:rsid w:val="00EE66B1"/>
    <w:rsid w:val="00EF3B2C"/>
    <w:rsid w:val="00EF7B17"/>
    <w:rsid w:val="00F0364D"/>
    <w:rsid w:val="00F06CB4"/>
    <w:rsid w:val="00F16C5D"/>
    <w:rsid w:val="00F2288F"/>
    <w:rsid w:val="00F453E0"/>
    <w:rsid w:val="00F627E2"/>
    <w:rsid w:val="00F81C9E"/>
    <w:rsid w:val="00F820FC"/>
    <w:rsid w:val="00FA08FE"/>
    <w:rsid w:val="00FB61FC"/>
    <w:rsid w:val="00FC1406"/>
    <w:rsid w:val="00FC67EF"/>
    <w:rsid w:val="00FF0357"/>
    <w:rsid w:val="00FF5D03"/>
    <w:rsid w:val="01AD397D"/>
    <w:rsid w:val="08D752AE"/>
    <w:rsid w:val="0E4C55D8"/>
    <w:rsid w:val="15B86730"/>
    <w:rsid w:val="1B42118C"/>
    <w:rsid w:val="1DC56D6E"/>
    <w:rsid w:val="211947A3"/>
    <w:rsid w:val="24296947"/>
    <w:rsid w:val="248904C9"/>
    <w:rsid w:val="26970DD3"/>
    <w:rsid w:val="27225F24"/>
    <w:rsid w:val="2B731C96"/>
    <w:rsid w:val="301727CF"/>
    <w:rsid w:val="37CA36A1"/>
    <w:rsid w:val="38CE6A2D"/>
    <w:rsid w:val="3BE13DD0"/>
    <w:rsid w:val="3E1B6E60"/>
    <w:rsid w:val="41404DF8"/>
    <w:rsid w:val="44DB5B41"/>
    <w:rsid w:val="47061B1A"/>
    <w:rsid w:val="490A3DFA"/>
    <w:rsid w:val="4A42178E"/>
    <w:rsid w:val="51EC3D95"/>
    <w:rsid w:val="54111CAF"/>
    <w:rsid w:val="58023205"/>
    <w:rsid w:val="5810251C"/>
    <w:rsid w:val="5D7A5A5A"/>
    <w:rsid w:val="5F7D469C"/>
    <w:rsid w:val="615D0827"/>
    <w:rsid w:val="631A1035"/>
    <w:rsid w:val="63C51FAA"/>
    <w:rsid w:val="6AE76CBB"/>
    <w:rsid w:val="6EBC24F2"/>
    <w:rsid w:val="71246BEE"/>
    <w:rsid w:val="76523DF5"/>
    <w:rsid w:val="780B62E5"/>
    <w:rsid w:val="7A6647C1"/>
    <w:rsid w:val="7AA200A0"/>
    <w:rsid w:val="7CEA567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A42"/>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6B5A42"/>
    <w:pPr>
      <w:ind w:leftChars="2500" w:left="100"/>
    </w:pPr>
    <w:rPr>
      <w:kern w:val="0"/>
    </w:rPr>
  </w:style>
  <w:style w:type="character" w:customStyle="1" w:styleId="DateChar">
    <w:name w:val="Date Char"/>
    <w:basedOn w:val="DefaultParagraphFont"/>
    <w:link w:val="Date"/>
    <w:uiPriority w:val="99"/>
    <w:semiHidden/>
    <w:locked/>
    <w:rsid w:val="006B5A42"/>
    <w:rPr>
      <w:rFonts w:cs="Times New Roman"/>
      <w:sz w:val="21"/>
    </w:rPr>
  </w:style>
  <w:style w:type="paragraph" w:styleId="BalloonText">
    <w:name w:val="Balloon Text"/>
    <w:basedOn w:val="Normal"/>
    <w:link w:val="BalloonTextChar"/>
    <w:uiPriority w:val="99"/>
    <w:semiHidden/>
    <w:rsid w:val="006B5A42"/>
    <w:rPr>
      <w:sz w:val="18"/>
      <w:szCs w:val="18"/>
    </w:rPr>
  </w:style>
  <w:style w:type="character" w:customStyle="1" w:styleId="BalloonTextChar">
    <w:name w:val="Balloon Text Char"/>
    <w:basedOn w:val="DefaultParagraphFont"/>
    <w:link w:val="BalloonText"/>
    <w:uiPriority w:val="99"/>
    <w:locked/>
    <w:rsid w:val="006B5A42"/>
    <w:rPr>
      <w:rFonts w:cs="Times New Roman"/>
      <w:kern w:val="2"/>
      <w:sz w:val="18"/>
    </w:rPr>
  </w:style>
  <w:style w:type="paragraph" w:styleId="Footer">
    <w:name w:val="footer"/>
    <w:basedOn w:val="Normal"/>
    <w:link w:val="FooterChar"/>
    <w:uiPriority w:val="99"/>
    <w:rsid w:val="006B5A4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B5A42"/>
    <w:rPr>
      <w:rFonts w:cs="Times New Roman"/>
      <w:kern w:val="2"/>
      <w:sz w:val="18"/>
    </w:rPr>
  </w:style>
  <w:style w:type="paragraph" w:styleId="Header">
    <w:name w:val="header"/>
    <w:basedOn w:val="Normal"/>
    <w:link w:val="HeaderChar"/>
    <w:uiPriority w:val="99"/>
    <w:rsid w:val="006B5A4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B5A42"/>
    <w:rPr>
      <w:rFonts w:cs="Times New Roman"/>
      <w:kern w:val="2"/>
      <w:sz w:val="18"/>
    </w:rPr>
  </w:style>
  <w:style w:type="character" w:styleId="PageNumber">
    <w:name w:val="page number"/>
    <w:basedOn w:val="DefaultParagraphFont"/>
    <w:uiPriority w:val="99"/>
    <w:rsid w:val="006B5A42"/>
    <w:rPr>
      <w:rFonts w:cs="Times New Roman"/>
    </w:rPr>
  </w:style>
  <w:style w:type="table" w:styleId="TableGrid">
    <w:name w:val="Table Grid"/>
    <w:basedOn w:val="TableNormal"/>
    <w:uiPriority w:val="99"/>
    <w:rsid w:val="006B5A42"/>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7</Pages>
  <Words>499</Words>
  <Characters>2849</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43</cp:revision>
  <cp:lastPrinted>2016-08-03T02:49:00Z</cp:lastPrinted>
  <dcterms:created xsi:type="dcterms:W3CDTF">2016-08-02T09:43:00Z</dcterms:created>
  <dcterms:modified xsi:type="dcterms:W3CDTF">2019-01-15T14:31:00Z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