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7DB" w:rsidRDefault="00E257DB">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3</w:t>
      </w:r>
      <w:r>
        <w:rPr>
          <w:rFonts w:ascii="仿宋_GB2312" w:eastAsia="仿宋_GB2312" w:cs="仿宋_GB2312" w:hint="eastAsia"/>
          <w:sz w:val="32"/>
          <w:szCs w:val="32"/>
        </w:rPr>
        <w:t>：</w:t>
      </w:r>
    </w:p>
    <w:p w:rsidR="00E257DB" w:rsidRDefault="00E257DB">
      <w:pPr>
        <w:jc w:val="center"/>
        <w:rPr>
          <w:rFonts w:ascii="仿宋_GB2312" w:eastAsia="仿宋_GB2312" w:hAnsi="宋体" w:cs="仿宋_GB2312"/>
          <w:sz w:val="44"/>
          <w:szCs w:val="44"/>
        </w:rPr>
      </w:pPr>
      <w:r>
        <w:rPr>
          <w:rFonts w:ascii="仿宋_GB2312" w:eastAsia="仿宋_GB2312" w:hAnsi="宋体" w:cs="仿宋_GB2312"/>
          <w:sz w:val="44"/>
          <w:szCs w:val="44"/>
        </w:rPr>
        <w:t>2015</w:t>
      </w:r>
      <w:r>
        <w:rPr>
          <w:rFonts w:ascii="仿宋_GB2312" w:eastAsia="仿宋_GB2312" w:hAnsi="宋体" w:cs="仿宋_GB2312" w:hint="eastAsia"/>
          <w:sz w:val="44"/>
          <w:szCs w:val="44"/>
        </w:rPr>
        <w:t>年塔什库尔干县达布达尔乡人民政府</w:t>
      </w:r>
    </w:p>
    <w:p w:rsidR="00E257DB" w:rsidRDefault="00E257DB">
      <w:pPr>
        <w:jc w:val="center"/>
        <w:rPr>
          <w:rFonts w:ascii="仿宋_GB2312" w:eastAsia="仿宋_GB2312" w:hAnsi="宋体"/>
          <w:sz w:val="44"/>
          <w:szCs w:val="44"/>
        </w:rPr>
      </w:pPr>
      <w:r>
        <w:rPr>
          <w:rFonts w:ascii="仿宋_GB2312" w:eastAsia="仿宋_GB2312" w:hAnsi="宋体" w:cs="仿宋_GB2312" w:hint="eastAsia"/>
          <w:sz w:val="44"/>
          <w:szCs w:val="44"/>
        </w:rPr>
        <w:t>部门决算说明</w:t>
      </w:r>
    </w:p>
    <w:p w:rsidR="00E257DB" w:rsidRDefault="00E257DB">
      <w:pPr>
        <w:spacing w:line="560" w:lineRule="exact"/>
        <w:jc w:val="center"/>
        <w:rPr>
          <w:rFonts w:ascii="仿宋_GB2312" w:eastAsia="仿宋_GB2312" w:hAnsi="宋体"/>
          <w:b/>
          <w:bCs/>
          <w:sz w:val="32"/>
          <w:szCs w:val="32"/>
        </w:rPr>
      </w:pPr>
    </w:p>
    <w:p w:rsidR="00E257DB" w:rsidRDefault="00E257DB">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E257DB" w:rsidRDefault="00E257D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塔什库尔干县达布达尔乡人民政府单位性质为行政单位全额拨款，执行会计制度为行政会计制度。独立编制机构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E257DB" w:rsidRDefault="00E257DB">
      <w:pPr>
        <w:numPr>
          <w:ilvl w:val="0"/>
          <w:numId w:val="1"/>
        </w:numPr>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主要职能：</w:t>
      </w:r>
    </w:p>
    <w:p w:rsidR="00E257DB" w:rsidRDefault="00E257DB">
      <w:pPr>
        <w:spacing w:line="560" w:lineRule="exact"/>
        <w:ind w:firstLineChars="200" w:firstLine="640"/>
        <w:rPr>
          <w:rFonts w:ascii="仿宋_GB2312" w:eastAsia="仿宋_GB2312"/>
          <w:sz w:val="32"/>
          <w:szCs w:val="32"/>
        </w:rPr>
      </w:pPr>
      <w:r>
        <w:rPr>
          <w:rFonts w:ascii="仿宋_GB2312" w:eastAsia="仿宋_GB2312" w:hint="eastAsia"/>
          <w:sz w:val="32"/>
          <w:szCs w:val="32"/>
        </w:rPr>
        <w:t>落实国家政策，严格依法行政，发挥经济管理职能，加强政策引导，制定发展规划，服务市场主体和营造发展环境，搞好市场监管，大力促进社会事业发展，发展镇村经济、文化和社会事业，提供公共服务。</w:t>
      </w:r>
    </w:p>
    <w:p w:rsidR="00E257DB" w:rsidRDefault="00E257DB">
      <w:pPr>
        <w:spacing w:line="56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、执行本级人民代表大会的决议和上级国家行政机关的决定和命令，发布决定和命令。</w:t>
      </w:r>
    </w:p>
    <w:p w:rsidR="00E257DB" w:rsidRDefault="00E257DB">
      <w:pPr>
        <w:spacing w:line="560" w:lineRule="exact"/>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、执行本行政区域内的经济和社会发展计划、预算，管理本行政区域内的经济、教育、科学、文化、卫生、体育事业和财政、民政、公安、司法行政、计划生育等行政工作。</w:t>
      </w:r>
    </w:p>
    <w:p w:rsidR="00E257DB" w:rsidRDefault="00E257DB">
      <w:pPr>
        <w:spacing w:line="56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、保护社会主义的全民所有的财产和劳动群众集体所有的财产，保护公民私人所有的合法财产。</w:t>
      </w:r>
    </w:p>
    <w:p w:rsidR="00E257DB" w:rsidRDefault="00E257DB">
      <w:pPr>
        <w:spacing w:line="56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、保护各种经济组织的合法权益。</w:t>
      </w:r>
    </w:p>
    <w:p w:rsidR="00E257DB" w:rsidRDefault="00E257DB">
      <w:pPr>
        <w:spacing w:line="560" w:lineRule="exact"/>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、办理上级人民政府交办的其他事项。</w:t>
      </w:r>
    </w:p>
    <w:p w:rsidR="00E257DB" w:rsidRDefault="00E257DB">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50</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49</w:t>
      </w:r>
      <w:r>
        <w:rPr>
          <w:rFonts w:ascii="仿宋_GB2312" w:eastAsia="仿宋_GB2312" w:hAnsi="宋体" w:cs="仿宋_GB2312" w:hint="eastAsia"/>
          <w:sz w:val="32"/>
          <w:szCs w:val="32"/>
        </w:rPr>
        <w:t>人，退休</w:t>
      </w:r>
      <w:r>
        <w:rPr>
          <w:rFonts w:ascii="仿宋_GB2312" w:eastAsia="仿宋_GB2312" w:hAnsi="宋体" w:cs="仿宋_GB2312"/>
          <w:sz w:val="32"/>
          <w:szCs w:val="32"/>
        </w:rPr>
        <w:t>23</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72</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49</w:t>
      </w:r>
      <w:r>
        <w:rPr>
          <w:rFonts w:ascii="仿宋_GB2312" w:eastAsia="仿宋_GB2312" w:hAnsi="宋体" w:cs="仿宋_GB2312" w:hint="eastAsia"/>
          <w:sz w:val="32"/>
          <w:szCs w:val="32"/>
        </w:rPr>
        <w:t>人，退休</w:t>
      </w:r>
      <w:r>
        <w:rPr>
          <w:rFonts w:ascii="仿宋_GB2312" w:eastAsia="仿宋_GB2312" w:hAnsi="宋体" w:cs="仿宋_GB2312"/>
          <w:sz w:val="32"/>
          <w:szCs w:val="32"/>
        </w:rPr>
        <w:t>23</w:t>
      </w:r>
      <w:r>
        <w:rPr>
          <w:rFonts w:ascii="仿宋_GB2312" w:eastAsia="仿宋_GB2312" w:hAnsi="宋体" w:cs="仿宋_GB2312" w:hint="eastAsia"/>
          <w:sz w:val="32"/>
          <w:szCs w:val="32"/>
        </w:rPr>
        <w:t>人。</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塔什库尔干县达不达乡人民政府</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98"/>
        <w:gridCol w:w="5565"/>
        <w:gridCol w:w="1459"/>
      </w:tblGrid>
      <w:tr w:rsidR="00E257DB">
        <w:tc>
          <w:tcPr>
            <w:tcW w:w="1498" w:type="dxa"/>
          </w:tcPr>
          <w:p w:rsidR="00E257DB" w:rsidRDefault="00E257DB">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565" w:type="dxa"/>
          </w:tcPr>
          <w:p w:rsidR="00E257DB" w:rsidRDefault="00E257DB">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459" w:type="dxa"/>
          </w:tcPr>
          <w:p w:rsidR="00E257DB" w:rsidRDefault="00E257DB">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E257DB">
        <w:tc>
          <w:tcPr>
            <w:tcW w:w="1498" w:type="dxa"/>
          </w:tcPr>
          <w:p w:rsidR="00E257DB" w:rsidRDefault="00E257DB">
            <w:pPr>
              <w:spacing w:line="560" w:lineRule="exact"/>
              <w:jc w:val="center"/>
              <w:rPr>
                <w:rFonts w:ascii="仿宋_GB2312" w:eastAsia="仿宋_GB2312"/>
                <w:sz w:val="32"/>
                <w:szCs w:val="32"/>
              </w:rPr>
            </w:pPr>
            <w:r>
              <w:rPr>
                <w:rFonts w:ascii="仿宋_GB2312" w:eastAsia="仿宋_GB2312"/>
                <w:sz w:val="32"/>
                <w:szCs w:val="32"/>
              </w:rPr>
              <w:t>1</w:t>
            </w:r>
          </w:p>
        </w:tc>
        <w:tc>
          <w:tcPr>
            <w:tcW w:w="5565" w:type="dxa"/>
          </w:tcPr>
          <w:p w:rsidR="00E257DB" w:rsidRDefault="00E257DB">
            <w:pPr>
              <w:spacing w:line="560" w:lineRule="exact"/>
              <w:rPr>
                <w:rFonts w:ascii="仿宋_GB2312" w:eastAsia="仿宋_GB2312"/>
                <w:sz w:val="32"/>
                <w:szCs w:val="32"/>
              </w:rPr>
            </w:pPr>
            <w:r>
              <w:rPr>
                <w:rFonts w:ascii="仿宋_GB2312" w:eastAsia="仿宋_GB2312" w:hAnsi="宋体" w:cs="仿宋_GB2312" w:hint="eastAsia"/>
                <w:sz w:val="32"/>
                <w:szCs w:val="32"/>
              </w:rPr>
              <w:t>塔什库尔干县达布达尔乡人民政府</w:t>
            </w:r>
          </w:p>
        </w:tc>
        <w:tc>
          <w:tcPr>
            <w:tcW w:w="1459" w:type="dxa"/>
          </w:tcPr>
          <w:p w:rsidR="00E257DB" w:rsidRDefault="00E257DB">
            <w:pPr>
              <w:spacing w:line="560" w:lineRule="exact"/>
              <w:rPr>
                <w:rFonts w:ascii="仿宋_GB2312" w:eastAsia="仿宋_GB2312"/>
                <w:sz w:val="32"/>
                <w:szCs w:val="32"/>
              </w:rPr>
            </w:pPr>
          </w:p>
        </w:tc>
      </w:tr>
    </w:tbl>
    <w:p w:rsidR="00E257DB" w:rsidRDefault="00E257DB">
      <w:pPr>
        <w:snapToGrid w:val="0"/>
        <w:spacing w:line="560" w:lineRule="exact"/>
        <w:ind w:firstLineChars="200" w:firstLine="643"/>
        <w:rPr>
          <w:rFonts w:ascii="仿宋_GB2312" w:eastAsia="仿宋_GB2312" w:hAnsi="宋体"/>
          <w:b/>
          <w:bCs/>
          <w:sz w:val="32"/>
          <w:szCs w:val="32"/>
        </w:rPr>
      </w:pPr>
      <w:bookmarkStart w:id="0" w:name="YS060102"/>
    </w:p>
    <w:p w:rsidR="00E257DB" w:rsidRDefault="00E257D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塔什库尔干县达布达尔乡人民政府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一、收入支出决算总表</w:t>
      </w:r>
      <w:r w:rsidRPr="003B2A51">
        <w:rPr>
          <w:rFonts w:ascii="仿宋_GB2312" w:eastAsia="仿宋_GB2312" w:hAnsi="宋体" w:cs="仿宋_GB2312"/>
          <w:sz w:val="32"/>
          <w:szCs w:val="32"/>
        </w:rPr>
        <w:t xml:space="preserve"> </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二、财政拨款收入支出决算总表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三、收入支出决算表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四、收入决算表</w:t>
      </w:r>
      <w:r w:rsidRPr="003B2A51">
        <w:rPr>
          <w:rFonts w:ascii="仿宋_GB2312" w:eastAsia="仿宋_GB2312" w:hAnsi="宋体" w:cs="仿宋_GB2312"/>
          <w:sz w:val="32"/>
          <w:szCs w:val="32"/>
        </w:rPr>
        <w:t xml:space="preserve"> </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五、支出决算表</w:t>
      </w:r>
      <w:r w:rsidRPr="003B2A51">
        <w:rPr>
          <w:rFonts w:ascii="仿宋_GB2312" w:eastAsia="仿宋_GB2312" w:hAnsi="宋体" w:cs="仿宋_GB2312"/>
          <w:sz w:val="32"/>
          <w:szCs w:val="32"/>
        </w:rPr>
        <w:t xml:space="preserve"> </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六、支出决算明细表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七、基本支出决算明细表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八、项目支出决算明细表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九、项目收入支出决算表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十、行政事业类项目收入支出决算表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十一、基本建设类项目收入支出决算表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十二、一般公共预算财政拨款收入支出决算表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十三、一般公共预算财政拨款支出决算明细表</w:t>
      </w:r>
      <w:r w:rsidRPr="003B2A51">
        <w:rPr>
          <w:rFonts w:ascii="仿宋_GB2312" w:eastAsia="仿宋_GB2312" w:hAnsi="宋体" w:cs="仿宋_GB2312"/>
          <w:sz w:val="32"/>
          <w:szCs w:val="32"/>
        </w:rPr>
        <w:t xml:space="preserve"> </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十四、一般公共预算财政拨款基本支出决算表</w:t>
      </w:r>
      <w:r w:rsidRPr="003B2A51">
        <w:rPr>
          <w:rFonts w:ascii="仿宋_GB2312" w:eastAsia="仿宋_GB2312" w:hAnsi="宋体" w:cs="仿宋_GB2312"/>
          <w:sz w:val="32"/>
          <w:szCs w:val="32"/>
        </w:rPr>
        <w:t xml:space="preserve"> </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十五、一般公共预算财政拨款项目支出决算表</w:t>
      </w:r>
      <w:r w:rsidRPr="003B2A51">
        <w:rPr>
          <w:rFonts w:ascii="仿宋_GB2312" w:eastAsia="仿宋_GB2312" w:hAnsi="宋体" w:cs="仿宋_GB2312"/>
          <w:sz w:val="32"/>
          <w:szCs w:val="32"/>
        </w:rPr>
        <w:t xml:space="preserve"> </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十六、政府性基金预算财政拨款收入支出决算表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十七、政府性基金预算财政拨款支出决算明细表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十八、政府性基金预算财政拨款基本支出决算明细表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十九、政府性基金预算财政拨款项目支出决算明细表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二十、财政专户管理资金收入支出决算表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二十一、资产负债表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二十二、部门决算相关信息统计表</w:t>
      </w:r>
    </w:p>
    <w:p w:rsidR="00E257DB" w:rsidRPr="003B2A51" w:rsidRDefault="00E257DB" w:rsidP="003B2A51">
      <w:pPr>
        <w:snapToGrid w:val="0"/>
        <w:spacing w:line="560" w:lineRule="exact"/>
        <w:ind w:firstLineChars="200" w:firstLine="640"/>
        <w:rPr>
          <w:rFonts w:ascii="仿宋_GB2312" w:eastAsia="仿宋_GB2312" w:hAnsi="宋体" w:cs="仿宋_GB2312"/>
          <w:sz w:val="32"/>
          <w:szCs w:val="32"/>
        </w:rPr>
      </w:pPr>
      <w:r w:rsidRPr="003B2A51">
        <w:rPr>
          <w:rFonts w:ascii="仿宋_GB2312" w:eastAsia="仿宋_GB2312" w:hAnsi="宋体" w:cs="仿宋_GB2312" w:hint="eastAsia"/>
          <w:sz w:val="32"/>
          <w:szCs w:val="32"/>
        </w:rPr>
        <w:t>二十三、政府采购情况表</w:t>
      </w:r>
    </w:p>
    <w:p w:rsidR="00E257DB" w:rsidRDefault="00E257DB" w:rsidP="003B2A51">
      <w:pPr>
        <w:snapToGrid w:val="0"/>
        <w:spacing w:line="560" w:lineRule="exact"/>
        <w:ind w:firstLineChars="200" w:firstLine="640"/>
        <w:rPr>
          <w:rFonts w:ascii="仿宋_GB2312" w:eastAsia="仿宋_GB2312" w:hAnsi="仿宋_GB2312" w:cs="仿宋_GB2312"/>
          <w:sz w:val="32"/>
          <w:szCs w:val="32"/>
        </w:rPr>
      </w:pPr>
      <w:r w:rsidRPr="003B2A51">
        <w:rPr>
          <w:rFonts w:ascii="仿宋_GB2312" w:eastAsia="仿宋_GB2312" w:hAnsi="宋体" w:cs="仿宋_GB2312" w:hint="eastAsia"/>
          <w:sz w:val="32"/>
          <w:szCs w:val="32"/>
        </w:rPr>
        <w:t>二十四、</w:t>
      </w:r>
      <w:r w:rsidRPr="003B2A51">
        <w:rPr>
          <w:rFonts w:ascii="仿宋_GB2312" w:eastAsia="仿宋_GB2312" w:hAnsi="宋体" w:cs="仿宋_GB2312"/>
          <w:sz w:val="32"/>
          <w:szCs w:val="32"/>
        </w:rPr>
        <w:t>2015</w:t>
      </w:r>
      <w:r w:rsidRPr="003B2A51">
        <w:rPr>
          <w:rFonts w:ascii="仿宋_GB2312" w:eastAsia="仿宋_GB2312" w:hAnsi="宋体" w:cs="仿宋_GB2312" w:hint="eastAsia"/>
          <w:sz w:val="32"/>
          <w:szCs w:val="32"/>
        </w:rPr>
        <w:t>年度财政拨款“三公”经费支出表及说明</w:t>
      </w:r>
      <w:r>
        <w:rPr>
          <w:rFonts w:ascii="仿宋_GB2312" w:eastAsia="仿宋_GB2312" w:hAnsi="仿宋_GB2312" w:cs="仿宋_GB2312"/>
          <w:sz w:val="32"/>
          <w:szCs w:val="32"/>
        </w:rPr>
        <w:t xml:space="preserve"> </w:t>
      </w:r>
    </w:p>
    <w:p w:rsidR="00E257DB" w:rsidRDefault="00E257DB">
      <w:pPr>
        <w:snapToGrid w:val="0"/>
        <w:spacing w:line="560" w:lineRule="exact"/>
        <w:ind w:firstLineChars="200" w:firstLine="643"/>
        <w:rPr>
          <w:rFonts w:ascii="仿宋_GB2312" w:eastAsia="仿宋_GB2312" w:hAnsi="宋体" w:cs="仿宋_GB2312"/>
          <w:b/>
          <w:bCs/>
          <w:sz w:val="32"/>
          <w:szCs w:val="32"/>
        </w:rPr>
      </w:pPr>
    </w:p>
    <w:p w:rsidR="00E257DB" w:rsidRDefault="00E257DB">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sz w:val="32"/>
          <w:szCs w:val="32"/>
        </w:rPr>
        <w:t>塔什库尔干县达布达尔尔乡人民政府</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E257DB" w:rsidRDefault="00E257D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E257DB" w:rsidRDefault="00E257D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10326091.48</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10227226.48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8778361.48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1448865</w:t>
      </w:r>
      <w:r>
        <w:rPr>
          <w:rFonts w:ascii="仿宋_GB2312" w:eastAsia="仿宋_GB2312" w:hAnsi="宋体" w:cs="仿宋_GB2312" w:hint="eastAsia"/>
          <w:sz w:val="32"/>
          <w:szCs w:val="32"/>
        </w:rPr>
        <w:t>元。</w:t>
      </w:r>
    </w:p>
    <w:bookmarkEnd w:id="0"/>
    <w:p w:rsidR="00E257DB" w:rsidRDefault="00E257DB">
      <w:pPr>
        <w:numPr>
          <w:ilvl w:val="0"/>
          <w:numId w:val="3"/>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E257DB" w:rsidRDefault="00E257D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10326091.48</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10326091.48</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E257DB" w:rsidRDefault="00E257DB">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E257DB" w:rsidRDefault="00E257D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10227226.48</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8778361.48</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1448865</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E257DB" w:rsidRDefault="00E257DB">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E257DB" w:rsidRDefault="00E257DB">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98865</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98865</w:t>
      </w:r>
      <w:r>
        <w:rPr>
          <w:rFonts w:ascii="仿宋_GB2312" w:eastAsia="仿宋_GB2312" w:hAnsi="宋体" w:cs="仿宋_GB2312" w:hint="eastAsia"/>
          <w:sz w:val="32"/>
          <w:szCs w:val="32"/>
        </w:rPr>
        <w:t>元，主要为：村级一事一议的补助）。</w:t>
      </w:r>
    </w:p>
    <w:p w:rsidR="00E257DB" w:rsidRDefault="00E257D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E257DB" w:rsidRDefault="00E257D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81760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81760</w:t>
      </w:r>
      <w:r>
        <w:rPr>
          <w:rFonts w:ascii="仿宋_GB2312" w:eastAsia="仿宋_GB2312" w:hAnsi="宋体" w:cs="仿宋_GB2312" w:hint="eastAsia"/>
          <w:sz w:val="32"/>
          <w:szCs w:val="32"/>
        </w:rPr>
        <w:t>元。</w:t>
      </w:r>
    </w:p>
    <w:p w:rsidR="00E257DB" w:rsidRDefault="00E257D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22780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w:t>
      </w:r>
      <w:r>
        <w:rPr>
          <w:rFonts w:ascii="仿宋_GB2312" w:eastAsia="仿宋_GB2312" w:hAnsi="宋体" w:cs="仿宋_GB2312"/>
          <w:sz w:val="32"/>
          <w:szCs w:val="32"/>
        </w:rPr>
        <w:t>22780</w:t>
      </w:r>
      <w:r>
        <w:rPr>
          <w:rFonts w:ascii="仿宋_GB2312" w:eastAsia="仿宋_GB2312" w:hAnsi="宋体" w:cs="仿宋_GB2312" w:hint="eastAsia"/>
          <w:sz w:val="32"/>
          <w:szCs w:val="32"/>
        </w:rPr>
        <w:t>支出元。主要原因为：车辆老化，维修费用增加。</w:t>
      </w:r>
    </w:p>
    <w:p w:rsidR="00E257DB" w:rsidRDefault="00E257D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E257DB" w:rsidRDefault="00E257D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E257DB" w:rsidRDefault="00E257D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E257DB" w:rsidRDefault="00E257D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10326091.48</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3536384.37</w:t>
      </w:r>
      <w:r>
        <w:rPr>
          <w:rFonts w:ascii="仿宋_GB2312" w:eastAsia="仿宋_GB2312" w:hAnsi="宋体" w:cs="仿宋_GB2312" w:hint="eastAsia"/>
          <w:sz w:val="32"/>
          <w:szCs w:val="32"/>
        </w:rPr>
        <w:t>元，增加原因：有新录用人员。</w:t>
      </w:r>
    </w:p>
    <w:p w:rsidR="00E257DB" w:rsidRDefault="00E257D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10227226.48</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3437519.37</w:t>
      </w:r>
      <w:r>
        <w:rPr>
          <w:rFonts w:ascii="仿宋_GB2312" w:eastAsia="仿宋_GB2312" w:hAnsi="宋体" w:cs="仿宋_GB2312" w:hint="eastAsia"/>
          <w:sz w:val="32"/>
          <w:szCs w:val="32"/>
        </w:rPr>
        <w:t>元，增加原因：有新录用人员经费支出。</w:t>
      </w:r>
    </w:p>
    <w:p w:rsidR="00E257DB" w:rsidRDefault="00E257DB">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10227226.48</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7348356.89</w:t>
      </w:r>
      <w:r>
        <w:rPr>
          <w:rFonts w:ascii="仿宋_GB2312" w:eastAsia="仿宋_GB2312" w:hAnsi="宋体" w:cs="仿宋_GB2312" w:hint="eastAsia"/>
          <w:sz w:val="32"/>
          <w:szCs w:val="32"/>
        </w:rPr>
        <w:t>元，差异原因：新增人员经费和部分项目未纳入年初预算。</w:t>
      </w:r>
    </w:p>
    <w:p w:rsidR="00E257DB" w:rsidRDefault="00E257DB">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塔什库尔干县达布达尔乡人民政府</w:t>
      </w:r>
      <w:r>
        <w:rPr>
          <w:rFonts w:ascii="仿宋_GB2312" w:eastAsia="仿宋_GB2312" w:cs="仿宋_GB2312" w:hint="eastAsia"/>
          <w:sz w:val="32"/>
          <w:szCs w:val="32"/>
        </w:rPr>
        <w:t>机关运行经费支</w:t>
      </w:r>
      <w:r>
        <w:rPr>
          <w:rFonts w:ascii="仿宋_GB2312" w:eastAsia="仿宋_GB2312" w:cs="仿宋_GB2312"/>
          <w:sz w:val="32"/>
          <w:szCs w:val="32"/>
        </w:rPr>
        <w:t>435083.93</w:t>
      </w:r>
      <w:r>
        <w:rPr>
          <w:rFonts w:ascii="仿宋_GB2312" w:eastAsia="仿宋_GB2312" w:cs="仿宋_GB2312" w:hint="eastAsia"/>
          <w:sz w:val="32"/>
          <w:szCs w:val="32"/>
        </w:rPr>
        <w:t>出元，比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122208.14</w:t>
      </w:r>
      <w:r>
        <w:rPr>
          <w:rFonts w:ascii="仿宋_GB2312" w:eastAsia="仿宋_GB2312" w:cs="仿宋_GB2312" w:hint="eastAsia"/>
          <w:sz w:val="32"/>
          <w:szCs w:val="32"/>
        </w:rPr>
        <w:t>元，增长</w:t>
      </w:r>
      <w:r>
        <w:rPr>
          <w:rFonts w:ascii="仿宋_GB2312" w:eastAsia="仿宋_GB2312" w:cs="仿宋_GB2312"/>
          <w:sz w:val="32"/>
          <w:szCs w:val="32"/>
        </w:rPr>
        <w:t xml:space="preserve">39.06% </w:t>
      </w:r>
      <w:r>
        <w:rPr>
          <w:rFonts w:ascii="仿宋_GB2312" w:eastAsia="仿宋_GB2312" w:cs="仿宋_GB2312" w:hint="eastAsia"/>
          <w:sz w:val="32"/>
          <w:szCs w:val="32"/>
        </w:rPr>
        <w:t>，主要原因是：新增人员经费支出和车辆老化维修未发增加。</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塔什库尔干县达布达尔乡人民政府</w:t>
      </w:r>
      <w:r>
        <w:rPr>
          <w:rFonts w:ascii="仿宋_GB2312" w:eastAsia="仿宋_GB2312" w:cs="仿宋_GB2312" w:hint="eastAsia"/>
          <w:sz w:val="32"/>
          <w:szCs w:val="32"/>
        </w:rPr>
        <w:t>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2</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塔什库尔干县达布达尔乡人民政府</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w:t>
      </w:r>
      <w:bookmarkStart w:id="1" w:name="_GoBack"/>
      <w:bookmarkEnd w:id="1"/>
      <w:r>
        <w:rPr>
          <w:rFonts w:ascii="仿宋_GB2312" w:eastAsia="仿宋_GB2312" w:cs="仿宋_GB2312" w:hint="eastAsia"/>
          <w:sz w:val="32"/>
          <w:szCs w:val="32"/>
        </w:rPr>
        <w:t>收入”、“其他收入”不足以安排当年支出的情况下，使用以前年度积累的事业基金（事业单位当年收支相抵后按国家规定提取、用于弥补以后年度收支差额的基金）弥补本年度收支缺口的资金。</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E257DB" w:rsidRDefault="00E257DB">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E257DB" w:rsidRDefault="00E257DB">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E257DB" w:rsidRDefault="00E257DB">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E257DB" w:rsidRDefault="00E257DB">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E257DB" w:rsidSect="0044478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7DB" w:rsidRDefault="00E257DB" w:rsidP="0044478D">
      <w:r>
        <w:separator/>
      </w:r>
    </w:p>
  </w:endnote>
  <w:endnote w:type="continuationSeparator" w:id="0">
    <w:p w:rsidR="00E257DB" w:rsidRDefault="00E257DB" w:rsidP="004447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7DB" w:rsidRDefault="00E257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7DB" w:rsidRDefault="00E257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257DB" w:rsidRDefault="00E257DB">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7DB" w:rsidRDefault="00E257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7DB" w:rsidRDefault="00E257DB" w:rsidP="0044478D">
      <w:r>
        <w:separator/>
      </w:r>
    </w:p>
  </w:footnote>
  <w:footnote w:type="continuationSeparator" w:id="0">
    <w:p w:rsidR="00E257DB" w:rsidRDefault="00E257DB" w:rsidP="004447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7DB" w:rsidRDefault="00E257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7DB" w:rsidRDefault="00E257DB" w:rsidP="00B828E0">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7DB" w:rsidRDefault="00E257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1D5974"/>
    <w:multiLevelType w:val="multilevel"/>
    <w:tmpl w:val="2A1D5974"/>
    <w:lvl w:ilvl="0">
      <w:start w:val="1"/>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abstractNum w:abstractNumId="1">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2">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E7FFD"/>
    <w:rsid w:val="0010183B"/>
    <w:rsid w:val="00140E78"/>
    <w:rsid w:val="00142BCE"/>
    <w:rsid w:val="00147040"/>
    <w:rsid w:val="00151463"/>
    <w:rsid w:val="00170582"/>
    <w:rsid w:val="001870FE"/>
    <w:rsid w:val="001943AB"/>
    <w:rsid w:val="001A21AE"/>
    <w:rsid w:val="001C20FA"/>
    <w:rsid w:val="001D09C9"/>
    <w:rsid w:val="001E4658"/>
    <w:rsid w:val="001E6C4B"/>
    <w:rsid w:val="001E7C6A"/>
    <w:rsid w:val="001F2B9D"/>
    <w:rsid w:val="001F33C0"/>
    <w:rsid w:val="001F6EF5"/>
    <w:rsid w:val="0020099B"/>
    <w:rsid w:val="002032FC"/>
    <w:rsid w:val="00205C3B"/>
    <w:rsid w:val="00236FB8"/>
    <w:rsid w:val="00242FE4"/>
    <w:rsid w:val="00262C89"/>
    <w:rsid w:val="00265B72"/>
    <w:rsid w:val="002743C3"/>
    <w:rsid w:val="00287A2E"/>
    <w:rsid w:val="0029449D"/>
    <w:rsid w:val="002B0ABC"/>
    <w:rsid w:val="002B5B38"/>
    <w:rsid w:val="002C37F3"/>
    <w:rsid w:val="002C677C"/>
    <w:rsid w:val="002C740B"/>
    <w:rsid w:val="002D02F4"/>
    <w:rsid w:val="00303B2E"/>
    <w:rsid w:val="003158E9"/>
    <w:rsid w:val="00333969"/>
    <w:rsid w:val="003472C5"/>
    <w:rsid w:val="00347996"/>
    <w:rsid w:val="003632BC"/>
    <w:rsid w:val="003B0831"/>
    <w:rsid w:val="003B2A51"/>
    <w:rsid w:val="003B594E"/>
    <w:rsid w:val="003C2E54"/>
    <w:rsid w:val="003D0C72"/>
    <w:rsid w:val="003E2F20"/>
    <w:rsid w:val="004011AD"/>
    <w:rsid w:val="0040177E"/>
    <w:rsid w:val="00404B3C"/>
    <w:rsid w:val="00406AB0"/>
    <w:rsid w:val="00417715"/>
    <w:rsid w:val="00420614"/>
    <w:rsid w:val="0043072D"/>
    <w:rsid w:val="00434EEE"/>
    <w:rsid w:val="00437CB4"/>
    <w:rsid w:val="0044478D"/>
    <w:rsid w:val="0045212A"/>
    <w:rsid w:val="00457BD9"/>
    <w:rsid w:val="004743B3"/>
    <w:rsid w:val="00486188"/>
    <w:rsid w:val="00487059"/>
    <w:rsid w:val="004A08C1"/>
    <w:rsid w:val="004A28B1"/>
    <w:rsid w:val="004B6AAB"/>
    <w:rsid w:val="004D2787"/>
    <w:rsid w:val="004D48D7"/>
    <w:rsid w:val="004D6F93"/>
    <w:rsid w:val="0050291C"/>
    <w:rsid w:val="00525BA0"/>
    <w:rsid w:val="005272D8"/>
    <w:rsid w:val="00531872"/>
    <w:rsid w:val="00532879"/>
    <w:rsid w:val="00552B99"/>
    <w:rsid w:val="00565025"/>
    <w:rsid w:val="005766BD"/>
    <w:rsid w:val="00592401"/>
    <w:rsid w:val="00595CD5"/>
    <w:rsid w:val="005A0EA5"/>
    <w:rsid w:val="005C1FCC"/>
    <w:rsid w:val="005D008D"/>
    <w:rsid w:val="005D5345"/>
    <w:rsid w:val="005D6922"/>
    <w:rsid w:val="006010FA"/>
    <w:rsid w:val="00642F1B"/>
    <w:rsid w:val="006537AC"/>
    <w:rsid w:val="00672B4C"/>
    <w:rsid w:val="006773BD"/>
    <w:rsid w:val="00687879"/>
    <w:rsid w:val="00696752"/>
    <w:rsid w:val="006A1621"/>
    <w:rsid w:val="006A2219"/>
    <w:rsid w:val="006A56FC"/>
    <w:rsid w:val="006A7356"/>
    <w:rsid w:val="006B5946"/>
    <w:rsid w:val="006C5F42"/>
    <w:rsid w:val="006D4B96"/>
    <w:rsid w:val="006F1159"/>
    <w:rsid w:val="006F13E9"/>
    <w:rsid w:val="006F3090"/>
    <w:rsid w:val="006F4898"/>
    <w:rsid w:val="006F7FA8"/>
    <w:rsid w:val="007226FB"/>
    <w:rsid w:val="00762597"/>
    <w:rsid w:val="00774810"/>
    <w:rsid w:val="00782159"/>
    <w:rsid w:val="007830F5"/>
    <w:rsid w:val="00793D15"/>
    <w:rsid w:val="007978CD"/>
    <w:rsid w:val="007A2BDC"/>
    <w:rsid w:val="007D75E2"/>
    <w:rsid w:val="007F238C"/>
    <w:rsid w:val="008012F4"/>
    <w:rsid w:val="008104D1"/>
    <w:rsid w:val="00815033"/>
    <w:rsid w:val="00842279"/>
    <w:rsid w:val="00847706"/>
    <w:rsid w:val="00854186"/>
    <w:rsid w:val="008664F8"/>
    <w:rsid w:val="00877032"/>
    <w:rsid w:val="00880D0D"/>
    <w:rsid w:val="00881891"/>
    <w:rsid w:val="008872A2"/>
    <w:rsid w:val="00895A64"/>
    <w:rsid w:val="008A0DC9"/>
    <w:rsid w:val="008B02AA"/>
    <w:rsid w:val="008C5ABD"/>
    <w:rsid w:val="008D28A9"/>
    <w:rsid w:val="008D49BC"/>
    <w:rsid w:val="008E26A2"/>
    <w:rsid w:val="008F3C54"/>
    <w:rsid w:val="009078E5"/>
    <w:rsid w:val="00910498"/>
    <w:rsid w:val="00912ADD"/>
    <w:rsid w:val="00916A74"/>
    <w:rsid w:val="00921F8C"/>
    <w:rsid w:val="00954B4B"/>
    <w:rsid w:val="00986BF7"/>
    <w:rsid w:val="00986E5F"/>
    <w:rsid w:val="00996247"/>
    <w:rsid w:val="009A7D21"/>
    <w:rsid w:val="009C453B"/>
    <w:rsid w:val="009C5A17"/>
    <w:rsid w:val="009C7F6B"/>
    <w:rsid w:val="009F0825"/>
    <w:rsid w:val="009F1B75"/>
    <w:rsid w:val="009F39C7"/>
    <w:rsid w:val="009F6D25"/>
    <w:rsid w:val="00A32422"/>
    <w:rsid w:val="00A3418E"/>
    <w:rsid w:val="00A407D1"/>
    <w:rsid w:val="00A65801"/>
    <w:rsid w:val="00A97E66"/>
    <w:rsid w:val="00AA1759"/>
    <w:rsid w:val="00AA3003"/>
    <w:rsid w:val="00AC139B"/>
    <w:rsid w:val="00AC4897"/>
    <w:rsid w:val="00AD7784"/>
    <w:rsid w:val="00B0409B"/>
    <w:rsid w:val="00B21656"/>
    <w:rsid w:val="00B24563"/>
    <w:rsid w:val="00B635BA"/>
    <w:rsid w:val="00B80353"/>
    <w:rsid w:val="00B828E0"/>
    <w:rsid w:val="00B84629"/>
    <w:rsid w:val="00B919A9"/>
    <w:rsid w:val="00B96EDB"/>
    <w:rsid w:val="00BB2497"/>
    <w:rsid w:val="00BB372B"/>
    <w:rsid w:val="00C02FAF"/>
    <w:rsid w:val="00C15174"/>
    <w:rsid w:val="00C17D9A"/>
    <w:rsid w:val="00C4155A"/>
    <w:rsid w:val="00C45F21"/>
    <w:rsid w:val="00C519BC"/>
    <w:rsid w:val="00C605BD"/>
    <w:rsid w:val="00C61DC5"/>
    <w:rsid w:val="00C62423"/>
    <w:rsid w:val="00C955CC"/>
    <w:rsid w:val="00CA6F46"/>
    <w:rsid w:val="00CB3117"/>
    <w:rsid w:val="00CB70D0"/>
    <w:rsid w:val="00CE1862"/>
    <w:rsid w:val="00CE37ED"/>
    <w:rsid w:val="00D16906"/>
    <w:rsid w:val="00D4613F"/>
    <w:rsid w:val="00D5318C"/>
    <w:rsid w:val="00D554FC"/>
    <w:rsid w:val="00D67D5F"/>
    <w:rsid w:val="00D77DCB"/>
    <w:rsid w:val="00D81E3D"/>
    <w:rsid w:val="00D949F7"/>
    <w:rsid w:val="00DA057C"/>
    <w:rsid w:val="00DA16BE"/>
    <w:rsid w:val="00DB13AB"/>
    <w:rsid w:val="00DB2FC5"/>
    <w:rsid w:val="00DE344D"/>
    <w:rsid w:val="00DE619D"/>
    <w:rsid w:val="00E257DB"/>
    <w:rsid w:val="00E339F2"/>
    <w:rsid w:val="00E774D0"/>
    <w:rsid w:val="00E8388E"/>
    <w:rsid w:val="00EA5F52"/>
    <w:rsid w:val="00EB563F"/>
    <w:rsid w:val="00EB7DD0"/>
    <w:rsid w:val="00EC1979"/>
    <w:rsid w:val="00EC282F"/>
    <w:rsid w:val="00EC5BCA"/>
    <w:rsid w:val="00ED7C8E"/>
    <w:rsid w:val="00EE2E07"/>
    <w:rsid w:val="00EE66B1"/>
    <w:rsid w:val="00EF3B2C"/>
    <w:rsid w:val="00EF52E2"/>
    <w:rsid w:val="00EF7B17"/>
    <w:rsid w:val="00F0364D"/>
    <w:rsid w:val="00F06CB4"/>
    <w:rsid w:val="00F16C5D"/>
    <w:rsid w:val="00F31D74"/>
    <w:rsid w:val="00F42E9A"/>
    <w:rsid w:val="00F453E0"/>
    <w:rsid w:val="00F627E2"/>
    <w:rsid w:val="00F81C9E"/>
    <w:rsid w:val="00F81DEB"/>
    <w:rsid w:val="00F820FC"/>
    <w:rsid w:val="00FA08FE"/>
    <w:rsid w:val="00FB61FC"/>
    <w:rsid w:val="00FC1406"/>
    <w:rsid w:val="00FF5D03"/>
    <w:rsid w:val="268C6F9A"/>
    <w:rsid w:val="28A621ED"/>
    <w:rsid w:val="294D34AE"/>
    <w:rsid w:val="3C962C15"/>
    <w:rsid w:val="47B47B3D"/>
    <w:rsid w:val="5E040897"/>
    <w:rsid w:val="5E227E84"/>
    <w:rsid w:val="608705F3"/>
    <w:rsid w:val="62A22355"/>
    <w:rsid w:val="6A08711A"/>
    <w:rsid w:val="6EFD2699"/>
    <w:rsid w:val="6F3D4111"/>
    <w:rsid w:val="76595B5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78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4478D"/>
    <w:pPr>
      <w:ind w:leftChars="2500" w:left="100"/>
    </w:pPr>
    <w:rPr>
      <w:kern w:val="0"/>
    </w:rPr>
  </w:style>
  <w:style w:type="character" w:customStyle="1" w:styleId="DateChar">
    <w:name w:val="Date Char"/>
    <w:basedOn w:val="DefaultParagraphFont"/>
    <w:link w:val="Date"/>
    <w:uiPriority w:val="99"/>
    <w:semiHidden/>
    <w:locked/>
    <w:rsid w:val="0044478D"/>
    <w:rPr>
      <w:rFonts w:cs="Times New Roman"/>
      <w:sz w:val="21"/>
    </w:rPr>
  </w:style>
  <w:style w:type="paragraph" w:styleId="BalloonText">
    <w:name w:val="Balloon Text"/>
    <w:basedOn w:val="Normal"/>
    <w:link w:val="BalloonTextChar"/>
    <w:uiPriority w:val="99"/>
    <w:semiHidden/>
    <w:rsid w:val="0044478D"/>
    <w:rPr>
      <w:sz w:val="18"/>
      <w:szCs w:val="18"/>
    </w:rPr>
  </w:style>
  <w:style w:type="character" w:customStyle="1" w:styleId="BalloonTextChar">
    <w:name w:val="Balloon Text Char"/>
    <w:basedOn w:val="DefaultParagraphFont"/>
    <w:link w:val="BalloonText"/>
    <w:uiPriority w:val="99"/>
    <w:locked/>
    <w:rsid w:val="0044478D"/>
    <w:rPr>
      <w:rFonts w:cs="Times New Roman"/>
      <w:kern w:val="2"/>
      <w:sz w:val="18"/>
    </w:rPr>
  </w:style>
  <w:style w:type="paragraph" w:styleId="Footer">
    <w:name w:val="footer"/>
    <w:basedOn w:val="Normal"/>
    <w:link w:val="FooterChar"/>
    <w:uiPriority w:val="99"/>
    <w:rsid w:val="0044478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4478D"/>
    <w:rPr>
      <w:rFonts w:cs="Times New Roman"/>
      <w:kern w:val="2"/>
      <w:sz w:val="18"/>
    </w:rPr>
  </w:style>
  <w:style w:type="paragraph" w:styleId="Header">
    <w:name w:val="header"/>
    <w:basedOn w:val="Normal"/>
    <w:link w:val="HeaderChar"/>
    <w:uiPriority w:val="99"/>
    <w:rsid w:val="0044478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4478D"/>
    <w:rPr>
      <w:rFonts w:cs="Times New Roman"/>
      <w:kern w:val="2"/>
      <w:sz w:val="18"/>
    </w:rPr>
  </w:style>
  <w:style w:type="character" w:styleId="PageNumber">
    <w:name w:val="page number"/>
    <w:basedOn w:val="DefaultParagraphFont"/>
    <w:uiPriority w:val="99"/>
    <w:rsid w:val="0044478D"/>
    <w:rPr>
      <w:rFonts w:cs="Times New Roman"/>
    </w:rPr>
  </w:style>
  <w:style w:type="table" w:styleId="TableGrid">
    <w:name w:val="Table Grid"/>
    <w:basedOn w:val="TableNormal"/>
    <w:uiPriority w:val="99"/>
    <w:rsid w:val="0044478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484</Words>
  <Characters>2759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58</cp:revision>
  <cp:lastPrinted>2016-08-03T02:49:00Z</cp:lastPrinted>
  <dcterms:created xsi:type="dcterms:W3CDTF">2016-08-02T09:43:00Z</dcterms:created>
  <dcterms:modified xsi:type="dcterms:W3CDTF">2019-01-15T14:29:00Z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