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B9A" w:rsidRDefault="001E5B9A">
      <w:pPr>
        <w:jc w:val="center"/>
        <w:rPr>
          <w:rFonts w:ascii="仿宋_GB2312" w:eastAsia="仿宋_GB2312" w:hAnsi="宋体" w:cs="仿宋_GB2312"/>
          <w:sz w:val="44"/>
          <w:szCs w:val="44"/>
        </w:rPr>
      </w:pPr>
    </w:p>
    <w:p w:rsidR="001E5B9A" w:rsidRDefault="001E5B9A">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年喀什地区塔什库尔干县提孜那甫乡人民政府部门决算说明</w:t>
      </w:r>
    </w:p>
    <w:p w:rsidR="001E5B9A" w:rsidRDefault="001E5B9A">
      <w:pPr>
        <w:spacing w:line="560" w:lineRule="exact"/>
        <w:jc w:val="center"/>
        <w:rPr>
          <w:rFonts w:ascii="仿宋_GB2312" w:eastAsia="仿宋_GB2312" w:hAnsi="宋体"/>
          <w:sz w:val="44"/>
          <w:szCs w:val="44"/>
        </w:rPr>
      </w:pPr>
    </w:p>
    <w:p w:rsidR="001E5B9A" w:rsidRDefault="001E5B9A">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1E5B9A" w:rsidRDefault="001E5B9A">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塔什库尔干县提孜那甫乡人民政府单位性质为行政单位全额拨款，执行会计制度为行政会计制度。独立编制机构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w:t>
      </w:r>
      <w:bookmarkStart w:id="0" w:name="_GoBack"/>
      <w:bookmarkEnd w:id="0"/>
      <w:r>
        <w:rPr>
          <w:rFonts w:ascii="仿宋_GB2312" w:eastAsia="仿宋_GB2312" w:hAnsi="宋体" w:cs="仿宋_GB2312" w:hint="eastAsia"/>
          <w:sz w:val="32"/>
          <w:szCs w:val="32"/>
        </w:rPr>
        <w:t>年无变动，变动原因：无变动。</w:t>
      </w:r>
    </w:p>
    <w:p w:rsidR="001E5B9A" w:rsidRDefault="001E5B9A">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一、主要职能：</w:t>
      </w: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1E5B9A" w:rsidRDefault="001E5B9A">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1E5B9A" w:rsidRDefault="001E5B9A">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1E5B9A" w:rsidRDefault="001E5B9A">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1E5B9A" w:rsidRDefault="001E5B9A">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1E5B9A" w:rsidRDefault="001E5B9A">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1E5B9A" w:rsidRDefault="001E5B9A">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42</w:t>
      </w:r>
      <w:r>
        <w:rPr>
          <w:rFonts w:ascii="仿宋_GB2312" w:eastAsia="仿宋_GB2312" w:hAnsi="宋体" w:cs="仿宋_GB2312" w:hint="eastAsia"/>
          <w:sz w:val="32"/>
          <w:szCs w:val="32"/>
        </w:rPr>
        <w:t>人，退休</w:t>
      </w:r>
      <w:r>
        <w:rPr>
          <w:rFonts w:ascii="仿宋_GB2312" w:eastAsia="仿宋_GB2312" w:hAnsi="宋体" w:cs="仿宋_GB2312"/>
          <w:sz w:val="32"/>
          <w:szCs w:val="32"/>
        </w:rPr>
        <w:t>25</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42</w:t>
      </w:r>
      <w:r>
        <w:rPr>
          <w:rFonts w:ascii="仿宋_GB2312" w:eastAsia="仿宋_GB2312" w:hAnsi="宋体" w:cs="仿宋_GB2312" w:hint="eastAsia"/>
          <w:sz w:val="32"/>
          <w:szCs w:val="32"/>
        </w:rPr>
        <w:t>人，退休</w:t>
      </w:r>
      <w:r>
        <w:rPr>
          <w:rFonts w:ascii="仿宋_GB2312" w:eastAsia="仿宋_GB2312" w:hAnsi="宋体" w:cs="仿宋_GB2312"/>
          <w:sz w:val="32"/>
          <w:szCs w:val="32"/>
        </w:rPr>
        <w:t>25</w:t>
      </w:r>
      <w:r>
        <w:rPr>
          <w:rFonts w:ascii="仿宋_GB2312" w:eastAsia="仿宋_GB2312" w:hAnsi="宋体" w:cs="仿宋_GB2312" w:hint="eastAsia"/>
          <w:sz w:val="32"/>
          <w:szCs w:val="32"/>
        </w:rPr>
        <w:t>人。</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纳入塔什库尔干县提孜那甫乡人民政府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8"/>
        <w:gridCol w:w="5134"/>
        <w:gridCol w:w="2250"/>
      </w:tblGrid>
      <w:tr w:rsidR="001E5B9A">
        <w:tc>
          <w:tcPr>
            <w:tcW w:w="1138" w:type="dxa"/>
          </w:tcPr>
          <w:p w:rsidR="001E5B9A" w:rsidRDefault="001E5B9A">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134" w:type="dxa"/>
          </w:tcPr>
          <w:p w:rsidR="001E5B9A" w:rsidRDefault="001E5B9A" w:rsidP="006760AC">
            <w:pPr>
              <w:spacing w:line="560" w:lineRule="exact"/>
              <w:ind w:firstLineChars="350" w:firstLine="1120"/>
              <w:rPr>
                <w:rFonts w:ascii="仿宋_GB2312" w:eastAsia="仿宋_GB2312"/>
                <w:sz w:val="32"/>
                <w:szCs w:val="32"/>
              </w:rPr>
            </w:pPr>
            <w:r>
              <w:rPr>
                <w:rFonts w:ascii="仿宋_GB2312" w:eastAsia="仿宋_GB2312" w:cs="仿宋_GB2312" w:hint="eastAsia"/>
                <w:sz w:val="32"/>
                <w:szCs w:val="32"/>
              </w:rPr>
              <w:t>单位名称</w:t>
            </w:r>
          </w:p>
        </w:tc>
        <w:tc>
          <w:tcPr>
            <w:tcW w:w="2250" w:type="dxa"/>
          </w:tcPr>
          <w:p w:rsidR="001E5B9A" w:rsidRDefault="001E5B9A">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1E5B9A">
        <w:trPr>
          <w:trHeight w:val="795"/>
        </w:trPr>
        <w:tc>
          <w:tcPr>
            <w:tcW w:w="1138" w:type="dxa"/>
          </w:tcPr>
          <w:p w:rsidR="001E5B9A" w:rsidRDefault="001E5B9A">
            <w:pPr>
              <w:spacing w:line="560" w:lineRule="exact"/>
              <w:rPr>
                <w:rFonts w:ascii="仿宋_GB2312" w:eastAsia="仿宋_GB2312"/>
                <w:sz w:val="32"/>
                <w:szCs w:val="32"/>
              </w:rPr>
            </w:pPr>
            <w:r>
              <w:rPr>
                <w:rFonts w:ascii="仿宋_GB2312" w:eastAsia="仿宋_GB2312"/>
                <w:sz w:val="32"/>
                <w:szCs w:val="32"/>
              </w:rPr>
              <w:t>1</w:t>
            </w:r>
          </w:p>
        </w:tc>
        <w:tc>
          <w:tcPr>
            <w:tcW w:w="5134" w:type="dxa"/>
          </w:tcPr>
          <w:p w:rsidR="001E5B9A" w:rsidRDefault="001E5B9A">
            <w:pPr>
              <w:spacing w:line="560" w:lineRule="exact"/>
              <w:rPr>
                <w:rFonts w:ascii="仿宋_GB2312" w:eastAsia="仿宋_GB2312"/>
                <w:sz w:val="32"/>
                <w:szCs w:val="32"/>
              </w:rPr>
            </w:pPr>
            <w:r>
              <w:rPr>
                <w:rFonts w:ascii="仿宋_GB2312" w:eastAsia="仿宋_GB2312" w:cs="仿宋_GB2312" w:hint="eastAsia"/>
                <w:sz w:val="32"/>
                <w:szCs w:val="32"/>
              </w:rPr>
              <w:t>塔什库尔干县提孜那甫乡人民政府</w:t>
            </w:r>
          </w:p>
        </w:tc>
        <w:tc>
          <w:tcPr>
            <w:tcW w:w="2250" w:type="dxa"/>
          </w:tcPr>
          <w:p w:rsidR="001E5B9A" w:rsidRDefault="001E5B9A">
            <w:pPr>
              <w:spacing w:line="560" w:lineRule="exact"/>
              <w:rPr>
                <w:rFonts w:ascii="仿宋_GB2312" w:eastAsia="仿宋_GB2312"/>
                <w:sz w:val="32"/>
                <w:szCs w:val="32"/>
              </w:rPr>
            </w:pPr>
          </w:p>
        </w:tc>
      </w:tr>
    </w:tbl>
    <w:p w:rsidR="001E5B9A" w:rsidRDefault="001E5B9A">
      <w:pPr>
        <w:snapToGrid w:val="0"/>
        <w:spacing w:line="560" w:lineRule="exact"/>
        <w:ind w:firstLineChars="200" w:firstLine="643"/>
        <w:rPr>
          <w:rFonts w:ascii="仿宋_GB2312" w:eastAsia="仿宋_GB2312" w:hAnsi="宋体"/>
          <w:b/>
          <w:bCs/>
          <w:sz w:val="32"/>
          <w:szCs w:val="32"/>
        </w:rPr>
      </w:pPr>
      <w:bookmarkStart w:id="1" w:name="YS060102"/>
    </w:p>
    <w:p w:rsidR="001E5B9A" w:rsidRDefault="001E5B9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第二部分塔什库尔干县提孜那甫乡人民政府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一、收入支出决算总表</w:t>
      </w:r>
      <w:r w:rsidRPr="00142FB4">
        <w:rPr>
          <w:rFonts w:ascii="仿宋_GB2312" w:eastAsia="仿宋_GB2312" w:hAnsi="宋体" w:cs="仿宋_GB2312"/>
          <w:sz w:val="32"/>
          <w:szCs w:val="32"/>
        </w:rPr>
        <w:t xml:space="preserve"> </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二、财政拨款收入支出决算总表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三、收入支出决算表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四、收入决算表</w:t>
      </w:r>
      <w:r w:rsidRPr="00142FB4">
        <w:rPr>
          <w:rFonts w:ascii="仿宋_GB2312" w:eastAsia="仿宋_GB2312" w:hAnsi="宋体" w:cs="仿宋_GB2312"/>
          <w:sz w:val="32"/>
          <w:szCs w:val="32"/>
        </w:rPr>
        <w:t xml:space="preserve"> </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五、支出决算表</w:t>
      </w:r>
      <w:r w:rsidRPr="00142FB4">
        <w:rPr>
          <w:rFonts w:ascii="仿宋_GB2312" w:eastAsia="仿宋_GB2312" w:hAnsi="宋体" w:cs="仿宋_GB2312"/>
          <w:sz w:val="32"/>
          <w:szCs w:val="32"/>
        </w:rPr>
        <w:t xml:space="preserve"> </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六、支出决算明细表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七、基本支出决算明细表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八、项目支出决算明细表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九、项目收入支出决算表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十、行政事业类项目收入支出决算表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十一、基本建设类项目收入支出决算表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十二、一般公共预算财政拨款收入支出决算表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十三、一般公共预算财政拨款支出决算明细表</w:t>
      </w:r>
      <w:r w:rsidRPr="00142FB4">
        <w:rPr>
          <w:rFonts w:ascii="仿宋_GB2312" w:eastAsia="仿宋_GB2312" w:hAnsi="宋体" w:cs="仿宋_GB2312"/>
          <w:sz w:val="32"/>
          <w:szCs w:val="32"/>
        </w:rPr>
        <w:t xml:space="preserve"> </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十四、一般公共预算财政拨款基本支出决算表</w:t>
      </w:r>
      <w:r w:rsidRPr="00142FB4">
        <w:rPr>
          <w:rFonts w:ascii="仿宋_GB2312" w:eastAsia="仿宋_GB2312" w:hAnsi="宋体" w:cs="仿宋_GB2312"/>
          <w:sz w:val="32"/>
          <w:szCs w:val="32"/>
        </w:rPr>
        <w:t xml:space="preserve"> </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十五、一般公共预算财政拨款项目支出决算表</w:t>
      </w:r>
      <w:r w:rsidRPr="00142FB4">
        <w:rPr>
          <w:rFonts w:ascii="仿宋_GB2312" w:eastAsia="仿宋_GB2312" w:hAnsi="宋体" w:cs="仿宋_GB2312"/>
          <w:sz w:val="32"/>
          <w:szCs w:val="32"/>
        </w:rPr>
        <w:t xml:space="preserve"> </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十六、政府性基金预算财政拨款收入支出决算表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十七、政府性基金预算财政拨款支出决算明细表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十八、政府性基金预算财政拨款基本支出决算明细表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十九、政府性基金预算财政拨款项目支出决算明细表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二十、财政专户管理资金收入支出决算表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二十一、资产负债表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二十二、部门决算相关信息统计表</w:t>
      </w:r>
    </w:p>
    <w:p w:rsidR="001E5B9A" w:rsidRPr="00142FB4"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二十三、政府采购情况表</w:t>
      </w:r>
    </w:p>
    <w:p w:rsidR="001E5B9A" w:rsidRDefault="001E5B9A" w:rsidP="00142FB4">
      <w:pPr>
        <w:snapToGrid w:val="0"/>
        <w:spacing w:line="560" w:lineRule="exact"/>
        <w:ind w:firstLineChars="200" w:firstLine="640"/>
        <w:rPr>
          <w:rFonts w:ascii="仿宋_GB2312" w:eastAsia="仿宋_GB2312" w:hAnsi="宋体" w:cs="仿宋_GB2312"/>
          <w:sz w:val="32"/>
          <w:szCs w:val="32"/>
        </w:rPr>
      </w:pPr>
      <w:r w:rsidRPr="00142FB4">
        <w:rPr>
          <w:rFonts w:ascii="仿宋_GB2312" w:eastAsia="仿宋_GB2312" w:hAnsi="宋体" w:cs="仿宋_GB2312" w:hint="eastAsia"/>
          <w:sz w:val="32"/>
          <w:szCs w:val="32"/>
        </w:rPr>
        <w:t>二十四、</w:t>
      </w:r>
      <w:r w:rsidRPr="00142FB4">
        <w:rPr>
          <w:rFonts w:ascii="仿宋_GB2312" w:eastAsia="仿宋_GB2312" w:hAnsi="宋体" w:cs="仿宋_GB2312"/>
          <w:sz w:val="32"/>
          <w:szCs w:val="32"/>
        </w:rPr>
        <w:t>2015</w:t>
      </w:r>
      <w:r w:rsidRPr="00142FB4">
        <w:rPr>
          <w:rFonts w:ascii="仿宋_GB2312" w:eastAsia="仿宋_GB2312" w:hAnsi="宋体" w:cs="仿宋_GB2312" w:hint="eastAsia"/>
          <w:sz w:val="32"/>
          <w:szCs w:val="32"/>
        </w:rPr>
        <w:t>年度财政拨款“三公”经费支出表及说明</w:t>
      </w:r>
    </w:p>
    <w:p w:rsidR="001E5B9A" w:rsidRPr="00142FB4" w:rsidRDefault="001E5B9A" w:rsidP="00142FB4">
      <w:pPr>
        <w:snapToGrid w:val="0"/>
        <w:spacing w:line="560" w:lineRule="exact"/>
        <w:ind w:firstLineChars="200" w:firstLine="643"/>
        <w:rPr>
          <w:rFonts w:ascii="仿宋_GB2312" w:eastAsia="仿宋_GB2312" w:hAnsi="宋体" w:cs="仿宋_GB2312"/>
          <w:b/>
          <w:bCs/>
          <w:sz w:val="32"/>
          <w:szCs w:val="32"/>
        </w:rPr>
      </w:pPr>
    </w:p>
    <w:p w:rsidR="001E5B9A" w:rsidRDefault="001E5B9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第三部分塔什库尔干县提孜那甫乡人民政府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1E5B9A" w:rsidRDefault="001E5B9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1E5B9A" w:rsidRDefault="001E5B9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8036930.59</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7841315.59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7645700.59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195615</w:t>
      </w:r>
      <w:r>
        <w:rPr>
          <w:rFonts w:ascii="仿宋_GB2312" w:eastAsia="仿宋_GB2312" w:hAnsi="宋体" w:cs="仿宋_GB2312" w:hint="eastAsia"/>
          <w:sz w:val="32"/>
          <w:szCs w:val="32"/>
        </w:rPr>
        <w:t>元。</w:t>
      </w:r>
    </w:p>
    <w:bookmarkEnd w:id="1"/>
    <w:p w:rsidR="001E5B9A" w:rsidRDefault="001E5B9A">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1E5B9A" w:rsidRDefault="001E5B9A">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8036930.59</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8036930.59</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E5B9A" w:rsidRDefault="001E5B9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1E5B9A" w:rsidRDefault="001E5B9A">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7841315.59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7645700.59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195615</w:t>
      </w:r>
      <w:r>
        <w:rPr>
          <w:rFonts w:ascii="仿宋_GB2312" w:eastAsia="仿宋_GB2312" w:hAnsi="宋体" w:cs="仿宋_GB2312" w:hint="eastAsia"/>
          <w:sz w:val="32"/>
          <w:szCs w:val="32"/>
        </w:rPr>
        <w:t>元</w:t>
      </w:r>
      <w:r>
        <w:rPr>
          <w:rFonts w:ascii="仿宋_GB2312" w:eastAsia="仿宋_GB2312" w:hAnsi="宋体" w:cs="仿宋_GB2312"/>
          <w:sz w:val="32"/>
          <w:szCs w:val="32"/>
        </w:rPr>
        <w:t>,</w:t>
      </w:r>
      <w:r>
        <w:rPr>
          <w:rFonts w:ascii="仿宋_GB2312" w:eastAsia="仿宋_GB2312" w:hAnsi="宋体" w:cs="仿宋_GB2312" w:hint="eastAsia"/>
          <w:sz w:val="32"/>
          <w:szCs w:val="32"/>
        </w:rPr>
        <w:t>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1E5B9A" w:rsidRDefault="001E5B9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1E5B9A" w:rsidRDefault="001E5B9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195,615</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195615</w:t>
      </w:r>
      <w:r>
        <w:rPr>
          <w:rFonts w:ascii="仿宋_GB2312" w:eastAsia="仿宋_GB2312" w:hAnsi="宋体" w:cs="仿宋_GB2312" w:hint="eastAsia"/>
          <w:sz w:val="32"/>
          <w:szCs w:val="32"/>
        </w:rPr>
        <w:t>元，主要为一事一议项目</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1E5B9A" w:rsidRDefault="001E5B9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1E5B9A" w:rsidRDefault="001E5B9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32085</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32085</w:t>
      </w:r>
      <w:r>
        <w:rPr>
          <w:rFonts w:ascii="仿宋_GB2312" w:eastAsia="仿宋_GB2312" w:hAnsi="宋体" w:cs="仿宋_GB2312" w:hint="eastAsia"/>
          <w:sz w:val="32"/>
          <w:szCs w:val="32"/>
        </w:rPr>
        <w:t>元。</w:t>
      </w:r>
    </w:p>
    <w:p w:rsidR="001E5B9A" w:rsidRDefault="001E5B9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“三公”经费较上年相比少支出</w:t>
      </w:r>
      <w:r>
        <w:rPr>
          <w:rFonts w:ascii="仿宋_GB2312" w:eastAsia="仿宋_GB2312" w:hAnsi="宋体" w:cs="仿宋_GB2312"/>
          <w:sz w:val="32"/>
          <w:szCs w:val="32"/>
        </w:rPr>
        <w:t>57655</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元；公务用车维护费少支出</w:t>
      </w:r>
      <w:r>
        <w:rPr>
          <w:rFonts w:ascii="仿宋_GB2312" w:eastAsia="仿宋_GB2312" w:hAnsi="宋体" w:cs="仿宋_GB2312"/>
          <w:sz w:val="32"/>
          <w:szCs w:val="32"/>
        </w:rPr>
        <w:t>57655</w:t>
      </w:r>
      <w:r>
        <w:rPr>
          <w:rFonts w:ascii="仿宋_GB2312" w:eastAsia="仿宋_GB2312" w:hAnsi="宋体" w:cs="仿宋_GB2312" w:hint="eastAsia"/>
          <w:sz w:val="32"/>
          <w:szCs w:val="32"/>
        </w:rPr>
        <w:t>元。主要原因为：减少对公务用车费用。</w:t>
      </w:r>
    </w:p>
    <w:p w:rsidR="001E5B9A" w:rsidRDefault="001E5B9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1E5B9A" w:rsidRDefault="001E5B9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19735.50</w:t>
      </w:r>
      <w:r>
        <w:rPr>
          <w:rFonts w:ascii="仿宋_GB2312" w:eastAsia="仿宋_GB2312" w:hAnsi="宋体" w:cs="仿宋_GB2312" w:hint="eastAsia"/>
          <w:sz w:val="32"/>
          <w:szCs w:val="32"/>
        </w:rPr>
        <w:t>元，主要是：乡镇人员在县或地区参加各类培训的费用。</w:t>
      </w:r>
    </w:p>
    <w:p w:rsidR="001E5B9A" w:rsidRDefault="001E5B9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1E5B9A" w:rsidRDefault="001E5B9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8036930.59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823284.43</w:t>
      </w:r>
      <w:r>
        <w:rPr>
          <w:rFonts w:ascii="仿宋_GB2312" w:eastAsia="仿宋_GB2312" w:hAnsi="宋体" w:cs="仿宋_GB2312" w:hint="eastAsia"/>
          <w:sz w:val="32"/>
          <w:szCs w:val="32"/>
        </w:rPr>
        <w:t>元，增加原因：增加人员</w:t>
      </w:r>
      <w:r>
        <w:rPr>
          <w:rFonts w:ascii="仿宋_GB2312" w:eastAsia="仿宋_GB2312" w:hAnsi="宋体" w:cs="仿宋_GB2312"/>
          <w:sz w:val="32"/>
          <w:szCs w:val="32"/>
        </w:rPr>
        <w:t>,</w:t>
      </w:r>
      <w:r>
        <w:rPr>
          <w:rFonts w:ascii="仿宋_GB2312" w:eastAsia="仿宋_GB2312" w:hAnsi="宋体" w:cs="仿宋_GB2312" w:hint="eastAsia"/>
          <w:sz w:val="32"/>
          <w:szCs w:val="32"/>
        </w:rPr>
        <w:t>部分项目增加。</w:t>
      </w:r>
    </w:p>
    <w:p w:rsidR="001E5B9A" w:rsidRDefault="001E5B9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7841315.59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627669.43</w:t>
      </w:r>
      <w:r>
        <w:rPr>
          <w:rFonts w:ascii="仿宋_GB2312" w:eastAsia="仿宋_GB2312" w:hAnsi="宋体" w:cs="仿宋_GB2312" w:hint="eastAsia"/>
          <w:sz w:val="32"/>
          <w:szCs w:val="32"/>
        </w:rPr>
        <w:t>元，增加原因：增加人员</w:t>
      </w:r>
      <w:r>
        <w:rPr>
          <w:rFonts w:ascii="仿宋_GB2312" w:eastAsia="仿宋_GB2312" w:hAnsi="宋体" w:cs="仿宋_GB2312"/>
          <w:sz w:val="32"/>
          <w:szCs w:val="32"/>
        </w:rPr>
        <w:t>,</w:t>
      </w:r>
      <w:r>
        <w:rPr>
          <w:rFonts w:ascii="仿宋_GB2312" w:eastAsia="仿宋_GB2312" w:hAnsi="宋体" w:cs="仿宋_GB2312" w:hint="eastAsia"/>
          <w:sz w:val="32"/>
          <w:szCs w:val="32"/>
        </w:rPr>
        <w:t>部分项目增加。</w:t>
      </w:r>
    </w:p>
    <w:p w:rsidR="001E5B9A" w:rsidRDefault="001E5B9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7841315.59</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 xml:space="preserve">    6358936.04</w:t>
      </w:r>
      <w:r>
        <w:rPr>
          <w:rFonts w:ascii="仿宋_GB2312" w:eastAsia="仿宋_GB2312" w:hAnsi="宋体" w:cs="仿宋_GB2312" w:hint="eastAsia"/>
          <w:sz w:val="32"/>
          <w:szCs w:val="32"/>
        </w:rPr>
        <w:t>元，差异原因：增加工资人员</w:t>
      </w:r>
      <w:r>
        <w:rPr>
          <w:rFonts w:ascii="仿宋_GB2312" w:eastAsia="仿宋_GB2312" w:hAnsi="宋体" w:cs="仿宋_GB2312"/>
          <w:sz w:val="32"/>
          <w:szCs w:val="32"/>
        </w:rPr>
        <w:t>,</w:t>
      </w:r>
      <w:r>
        <w:rPr>
          <w:rFonts w:ascii="仿宋_GB2312" w:eastAsia="仿宋_GB2312" w:hAnsi="宋体" w:cs="仿宋_GB2312" w:hint="eastAsia"/>
          <w:sz w:val="32"/>
          <w:szCs w:val="32"/>
        </w:rPr>
        <w:t>项目支出未做预算。</w:t>
      </w:r>
    </w:p>
    <w:p w:rsidR="001E5B9A" w:rsidRDefault="001E5B9A">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年塔什库尔干县提孜那甫乡人民政府机关运行经费支出</w:t>
      </w:r>
      <w:r>
        <w:rPr>
          <w:rFonts w:ascii="仿宋_GB2312" w:eastAsia="仿宋_GB2312" w:cs="仿宋_GB2312"/>
          <w:sz w:val="32"/>
          <w:szCs w:val="32"/>
        </w:rPr>
        <w:t>314112.49</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282740.37</w:t>
      </w:r>
      <w:r>
        <w:rPr>
          <w:rFonts w:ascii="仿宋_GB2312" w:eastAsia="仿宋_GB2312" w:cs="仿宋_GB2312" w:hint="eastAsia"/>
          <w:sz w:val="32"/>
          <w:szCs w:val="32"/>
        </w:rPr>
        <w:t>元，减少</w:t>
      </w:r>
      <w:r>
        <w:rPr>
          <w:rFonts w:ascii="仿宋_GB2312" w:eastAsia="仿宋_GB2312" w:cs="仿宋_GB2312"/>
          <w:sz w:val="32"/>
          <w:szCs w:val="32"/>
        </w:rPr>
        <w:t>47.37%</w:t>
      </w:r>
      <w:r>
        <w:rPr>
          <w:rFonts w:ascii="仿宋_GB2312" w:eastAsia="仿宋_GB2312" w:cs="仿宋_GB2312" w:hint="eastAsia"/>
          <w:sz w:val="32"/>
          <w:szCs w:val="32"/>
        </w:rPr>
        <w:t>，主要原因是：</w:t>
      </w:r>
      <w:r>
        <w:rPr>
          <w:rFonts w:ascii="仿宋_GB2312" w:eastAsia="仿宋_GB2312" w:hAnsi="宋体" w:cs="仿宋_GB2312" w:hint="eastAsia"/>
          <w:sz w:val="32"/>
          <w:szCs w:val="32"/>
        </w:rPr>
        <w:t>严格控制经费支出。</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年，塔什库尔干县提孜那甫乡人民政府政府采购支出总额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辆，其他用车主要是畜牧站一辆车，单位价值在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年，塔什库尔干县提孜那甫乡人民政府共组织对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1E5B9A" w:rsidRDefault="001E5B9A">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1E5B9A" w:rsidRDefault="001E5B9A">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1E5B9A" w:rsidRDefault="001E5B9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1E5B9A" w:rsidRDefault="001E5B9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1E5B9A" w:rsidSect="009F47E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9A" w:rsidRDefault="001E5B9A" w:rsidP="009F47E4">
      <w:r>
        <w:separator/>
      </w:r>
    </w:p>
  </w:endnote>
  <w:endnote w:type="continuationSeparator" w:id="0">
    <w:p w:rsidR="001E5B9A" w:rsidRDefault="001E5B9A" w:rsidP="009F47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9A" w:rsidRDefault="001E5B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9A" w:rsidRDefault="001E5B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1E5B9A" w:rsidRDefault="001E5B9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9A" w:rsidRDefault="001E5B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9A" w:rsidRDefault="001E5B9A" w:rsidP="009F47E4">
      <w:r>
        <w:separator/>
      </w:r>
    </w:p>
  </w:footnote>
  <w:footnote w:type="continuationSeparator" w:id="0">
    <w:p w:rsidR="001E5B9A" w:rsidRDefault="001E5B9A" w:rsidP="009F47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9A" w:rsidRDefault="001E5B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9A" w:rsidRDefault="001E5B9A" w:rsidP="00142FB4">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9A" w:rsidRDefault="001E5B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5275"/>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2FB4"/>
    <w:rsid w:val="00147040"/>
    <w:rsid w:val="00151463"/>
    <w:rsid w:val="00170582"/>
    <w:rsid w:val="00172403"/>
    <w:rsid w:val="001870FE"/>
    <w:rsid w:val="001943AB"/>
    <w:rsid w:val="001D09C9"/>
    <w:rsid w:val="001E4658"/>
    <w:rsid w:val="001E5B9A"/>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50B5B"/>
    <w:rsid w:val="003632BC"/>
    <w:rsid w:val="003B0831"/>
    <w:rsid w:val="003B594E"/>
    <w:rsid w:val="003C2E54"/>
    <w:rsid w:val="003D0C72"/>
    <w:rsid w:val="004011AD"/>
    <w:rsid w:val="0040177E"/>
    <w:rsid w:val="00406AB0"/>
    <w:rsid w:val="00417715"/>
    <w:rsid w:val="00420614"/>
    <w:rsid w:val="0042409F"/>
    <w:rsid w:val="0043072D"/>
    <w:rsid w:val="00434EEE"/>
    <w:rsid w:val="0045212A"/>
    <w:rsid w:val="00457BD9"/>
    <w:rsid w:val="004743B3"/>
    <w:rsid w:val="00486188"/>
    <w:rsid w:val="00487059"/>
    <w:rsid w:val="004A08C1"/>
    <w:rsid w:val="004A28B1"/>
    <w:rsid w:val="004B6AAB"/>
    <w:rsid w:val="004D2787"/>
    <w:rsid w:val="004D48D7"/>
    <w:rsid w:val="004D6F93"/>
    <w:rsid w:val="004D788E"/>
    <w:rsid w:val="0050291C"/>
    <w:rsid w:val="005272D8"/>
    <w:rsid w:val="00532879"/>
    <w:rsid w:val="00552B99"/>
    <w:rsid w:val="00565025"/>
    <w:rsid w:val="005766BD"/>
    <w:rsid w:val="00592401"/>
    <w:rsid w:val="00595CD5"/>
    <w:rsid w:val="005A0EA5"/>
    <w:rsid w:val="005D008D"/>
    <w:rsid w:val="005D5345"/>
    <w:rsid w:val="005D6922"/>
    <w:rsid w:val="006079F5"/>
    <w:rsid w:val="00642F1B"/>
    <w:rsid w:val="006537AC"/>
    <w:rsid w:val="00672B4C"/>
    <w:rsid w:val="006760AC"/>
    <w:rsid w:val="006773BD"/>
    <w:rsid w:val="00687879"/>
    <w:rsid w:val="00696752"/>
    <w:rsid w:val="006A1621"/>
    <w:rsid w:val="006A2219"/>
    <w:rsid w:val="006A56FC"/>
    <w:rsid w:val="006A7356"/>
    <w:rsid w:val="006D4B96"/>
    <w:rsid w:val="006F1159"/>
    <w:rsid w:val="006F13E9"/>
    <w:rsid w:val="006F3090"/>
    <w:rsid w:val="006F7FA8"/>
    <w:rsid w:val="00702F41"/>
    <w:rsid w:val="007226FB"/>
    <w:rsid w:val="00770947"/>
    <w:rsid w:val="00774810"/>
    <w:rsid w:val="00782159"/>
    <w:rsid w:val="00787FA8"/>
    <w:rsid w:val="00793D15"/>
    <w:rsid w:val="007978CD"/>
    <w:rsid w:val="007A2BDC"/>
    <w:rsid w:val="007D75E2"/>
    <w:rsid w:val="007F238C"/>
    <w:rsid w:val="008012F4"/>
    <w:rsid w:val="008104D1"/>
    <w:rsid w:val="00815033"/>
    <w:rsid w:val="00842279"/>
    <w:rsid w:val="00844D3A"/>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40A5C"/>
    <w:rsid w:val="00954B4B"/>
    <w:rsid w:val="00986E5F"/>
    <w:rsid w:val="009A7D21"/>
    <w:rsid w:val="009C453B"/>
    <w:rsid w:val="009C7F6B"/>
    <w:rsid w:val="009F1B75"/>
    <w:rsid w:val="009F39C7"/>
    <w:rsid w:val="009F47E4"/>
    <w:rsid w:val="009F6D25"/>
    <w:rsid w:val="00A013AA"/>
    <w:rsid w:val="00A32422"/>
    <w:rsid w:val="00A3418E"/>
    <w:rsid w:val="00A407D1"/>
    <w:rsid w:val="00A65801"/>
    <w:rsid w:val="00A97E66"/>
    <w:rsid w:val="00AA1759"/>
    <w:rsid w:val="00AA3003"/>
    <w:rsid w:val="00AC139B"/>
    <w:rsid w:val="00AC4897"/>
    <w:rsid w:val="00AD7784"/>
    <w:rsid w:val="00B0409B"/>
    <w:rsid w:val="00B21656"/>
    <w:rsid w:val="00B24563"/>
    <w:rsid w:val="00B635BA"/>
    <w:rsid w:val="00B919A9"/>
    <w:rsid w:val="00BB2497"/>
    <w:rsid w:val="00BB372B"/>
    <w:rsid w:val="00C15174"/>
    <w:rsid w:val="00C17D9A"/>
    <w:rsid w:val="00C4155A"/>
    <w:rsid w:val="00C45F21"/>
    <w:rsid w:val="00C519BC"/>
    <w:rsid w:val="00C55E43"/>
    <w:rsid w:val="00C605BD"/>
    <w:rsid w:val="00C61DC5"/>
    <w:rsid w:val="00C62423"/>
    <w:rsid w:val="00C955CC"/>
    <w:rsid w:val="00CA6F46"/>
    <w:rsid w:val="00CB3117"/>
    <w:rsid w:val="00CB7B9F"/>
    <w:rsid w:val="00CE1862"/>
    <w:rsid w:val="00CE37ED"/>
    <w:rsid w:val="00D16906"/>
    <w:rsid w:val="00D4613F"/>
    <w:rsid w:val="00D51D1A"/>
    <w:rsid w:val="00D5318C"/>
    <w:rsid w:val="00D554FC"/>
    <w:rsid w:val="00D81E3D"/>
    <w:rsid w:val="00D949F7"/>
    <w:rsid w:val="00DA057C"/>
    <w:rsid w:val="00DA16BE"/>
    <w:rsid w:val="00DB13AB"/>
    <w:rsid w:val="00DB2FC5"/>
    <w:rsid w:val="00DE344D"/>
    <w:rsid w:val="00DE619D"/>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F5D03"/>
    <w:rsid w:val="01233B4A"/>
    <w:rsid w:val="0172523E"/>
    <w:rsid w:val="039940A4"/>
    <w:rsid w:val="06581D1D"/>
    <w:rsid w:val="0826160A"/>
    <w:rsid w:val="0A90056E"/>
    <w:rsid w:val="0BDB1731"/>
    <w:rsid w:val="0C90558C"/>
    <w:rsid w:val="11082E3C"/>
    <w:rsid w:val="18904CC6"/>
    <w:rsid w:val="1A2F4A71"/>
    <w:rsid w:val="1D1C16A6"/>
    <w:rsid w:val="1D297B96"/>
    <w:rsid w:val="1E2C45C9"/>
    <w:rsid w:val="264018D7"/>
    <w:rsid w:val="2A1C030C"/>
    <w:rsid w:val="33C206DA"/>
    <w:rsid w:val="34521142"/>
    <w:rsid w:val="35A01F77"/>
    <w:rsid w:val="37EA2775"/>
    <w:rsid w:val="38CE2935"/>
    <w:rsid w:val="396242CA"/>
    <w:rsid w:val="39D404E2"/>
    <w:rsid w:val="3AB40683"/>
    <w:rsid w:val="3AF10320"/>
    <w:rsid w:val="3CD40577"/>
    <w:rsid w:val="3D673A36"/>
    <w:rsid w:val="403542F5"/>
    <w:rsid w:val="41991466"/>
    <w:rsid w:val="433C45E7"/>
    <w:rsid w:val="451F26C5"/>
    <w:rsid w:val="485A19EA"/>
    <w:rsid w:val="5108685F"/>
    <w:rsid w:val="516738C2"/>
    <w:rsid w:val="522A4274"/>
    <w:rsid w:val="524E54CF"/>
    <w:rsid w:val="54FB6E93"/>
    <w:rsid w:val="55C005E3"/>
    <w:rsid w:val="561007EA"/>
    <w:rsid w:val="56CB0E04"/>
    <w:rsid w:val="616A6209"/>
    <w:rsid w:val="61D40083"/>
    <w:rsid w:val="61F7311E"/>
    <w:rsid w:val="63E03A0D"/>
    <w:rsid w:val="640B5EFA"/>
    <w:rsid w:val="6617643D"/>
    <w:rsid w:val="66DB7F53"/>
    <w:rsid w:val="674D0391"/>
    <w:rsid w:val="6BCB2CF3"/>
    <w:rsid w:val="6BDF5C27"/>
    <w:rsid w:val="6C174B71"/>
    <w:rsid w:val="701D592F"/>
    <w:rsid w:val="70FB5B26"/>
    <w:rsid w:val="7315575E"/>
    <w:rsid w:val="745652B4"/>
    <w:rsid w:val="749C31D2"/>
    <w:rsid w:val="777A426D"/>
    <w:rsid w:val="78456BF7"/>
    <w:rsid w:val="795328B8"/>
    <w:rsid w:val="7D6E07B2"/>
    <w:rsid w:val="7DEF32B0"/>
    <w:rsid w:val="7DFE7190"/>
    <w:rsid w:val="7FFC1DB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7E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9F47E4"/>
    <w:pPr>
      <w:ind w:leftChars="2500" w:left="100"/>
    </w:pPr>
    <w:rPr>
      <w:kern w:val="0"/>
    </w:rPr>
  </w:style>
  <w:style w:type="character" w:customStyle="1" w:styleId="DateChar">
    <w:name w:val="Date Char"/>
    <w:basedOn w:val="DefaultParagraphFont"/>
    <w:link w:val="Date"/>
    <w:uiPriority w:val="99"/>
    <w:semiHidden/>
    <w:locked/>
    <w:rsid w:val="009F47E4"/>
    <w:rPr>
      <w:rFonts w:cs="Times New Roman"/>
      <w:sz w:val="21"/>
    </w:rPr>
  </w:style>
  <w:style w:type="paragraph" w:styleId="BalloonText">
    <w:name w:val="Balloon Text"/>
    <w:basedOn w:val="Normal"/>
    <w:link w:val="BalloonTextChar"/>
    <w:uiPriority w:val="99"/>
    <w:semiHidden/>
    <w:rsid w:val="009F47E4"/>
    <w:rPr>
      <w:sz w:val="18"/>
      <w:szCs w:val="18"/>
    </w:rPr>
  </w:style>
  <w:style w:type="character" w:customStyle="1" w:styleId="BalloonTextChar">
    <w:name w:val="Balloon Text Char"/>
    <w:basedOn w:val="DefaultParagraphFont"/>
    <w:link w:val="BalloonText"/>
    <w:uiPriority w:val="99"/>
    <w:locked/>
    <w:rsid w:val="009F47E4"/>
    <w:rPr>
      <w:rFonts w:cs="Times New Roman"/>
      <w:kern w:val="2"/>
      <w:sz w:val="18"/>
    </w:rPr>
  </w:style>
  <w:style w:type="paragraph" w:styleId="Footer">
    <w:name w:val="footer"/>
    <w:basedOn w:val="Normal"/>
    <w:link w:val="FooterChar"/>
    <w:uiPriority w:val="99"/>
    <w:rsid w:val="009F47E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F47E4"/>
    <w:rPr>
      <w:rFonts w:cs="Times New Roman"/>
      <w:kern w:val="2"/>
      <w:sz w:val="18"/>
    </w:rPr>
  </w:style>
  <w:style w:type="paragraph" w:styleId="Header">
    <w:name w:val="header"/>
    <w:basedOn w:val="Normal"/>
    <w:link w:val="HeaderChar"/>
    <w:uiPriority w:val="99"/>
    <w:rsid w:val="009F47E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F47E4"/>
    <w:rPr>
      <w:rFonts w:cs="Times New Roman"/>
      <w:kern w:val="2"/>
      <w:sz w:val="18"/>
    </w:rPr>
  </w:style>
  <w:style w:type="character" w:styleId="PageNumber">
    <w:name w:val="page number"/>
    <w:basedOn w:val="DefaultParagraphFont"/>
    <w:uiPriority w:val="99"/>
    <w:rsid w:val="009F47E4"/>
    <w:rPr>
      <w:rFonts w:cs="Times New Roman"/>
    </w:rPr>
  </w:style>
  <w:style w:type="table" w:styleId="TableGrid">
    <w:name w:val="Table Grid"/>
    <w:basedOn w:val="TableNormal"/>
    <w:uiPriority w:val="99"/>
    <w:rsid w:val="009F47E4"/>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485</Words>
  <Characters>2768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23</cp:revision>
  <cp:lastPrinted>2016-08-03T02:49:00Z</cp:lastPrinted>
  <dcterms:created xsi:type="dcterms:W3CDTF">2016-08-02T09:43:00Z</dcterms:created>
  <dcterms:modified xsi:type="dcterms:W3CDTF">2019-01-12T11:51:00Z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