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588" w:rsidRDefault="00777588" w:rsidP="008C057D">
      <w:pPr>
        <w:rPr>
          <w:rFonts w:ascii="仿宋_GB2312" w:eastAsia="仿宋_GB2312" w:cs="仿宋_GB2312"/>
          <w:sz w:val="32"/>
          <w:szCs w:val="32"/>
        </w:rPr>
      </w:pPr>
    </w:p>
    <w:p w:rsidR="00777588" w:rsidRDefault="00777588" w:rsidP="008C057D">
      <w:pPr>
        <w:rPr>
          <w:rFonts w:ascii="仿宋_GB2312" w:eastAsia="仿宋_GB2312" w:cs="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777588" w:rsidRDefault="00777588" w:rsidP="008C057D">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年塔什库尔干县塔吉克阿巴提镇人民政府部门决算说明</w:t>
      </w:r>
    </w:p>
    <w:p w:rsidR="00777588" w:rsidRDefault="00777588" w:rsidP="008C057D">
      <w:pPr>
        <w:spacing w:line="560" w:lineRule="exact"/>
        <w:rPr>
          <w:rFonts w:ascii="宋体" w:cs="宋体"/>
          <w:b/>
          <w:bCs/>
          <w:sz w:val="44"/>
          <w:szCs w:val="44"/>
        </w:rPr>
      </w:pPr>
    </w:p>
    <w:p w:rsidR="00777588" w:rsidRDefault="00777588" w:rsidP="00067C7B">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777588" w:rsidRDefault="00777588" w:rsidP="00067C7B">
      <w:pPr>
        <w:spacing w:line="560" w:lineRule="exact"/>
        <w:ind w:firstLineChars="200" w:firstLine="640"/>
        <w:rPr>
          <w:rFonts w:ascii="仿宋_GB2312" w:eastAsia="仿宋_GB2312" w:hAnsi="宋体"/>
          <w:bCs/>
          <w:sz w:val="32"/>
          <w:szCs w:val="32"/>
        </w:rPr>
      </w:pPr>
      <w:r>
        <w:rPr>
          <w:rFonts w:ascii="仿宋_GB2312" w:eastAsia="仿宋_GB2312" w:hAnsi="宋体" w:cs="仿宋_GB2312" w:hint="eastAsia"/>
          <w:bCs/>
          <w:sz w:val="32"/>
          <w:szCs w:val="32"/>
        </w:rPr>
        <w:t>塔什库尔干县塔吉克阿巴提镇人民政府单位性质为行政单位全额拨款，执行会计制度为行政会计制度。独立编制机构</w:t>
      </w:r>
      <w:r>
        <w:rPr>
          <w:rFonts w:ascii="仿宋_GB2312" w:eastAsia="仿宋_GB2312" w:hAnsi="宋体" w:cs="仿宋_GB2312"/>
          <w:bCs/>
          <w:sz w:val="32"/>
          <w:szCs w:val="32"/>
        </w:rPr>
        <w:t>1</w:t>
      </w:r>
      <w:r>
        <w:rPr>
          <w:rFonts w:ascii="仿宋_GB2312" w:eastAsia="仿宋_GB2312" w:hAnsi="宋体" w:cs="仿宋_GB2312" w:hint="eastAsia"/>
          <w:bCs/>
          <w:sz w:val="32"/>
          <w:szCs w:val="32"/>
        </w:rPr>
        <w:t>个，独立编制机构与上年无变动，变动原因：无变动。</w:t>
      </w:r>
    </w:p>
    <w:p w:rsidR="00777588" w:rsidRDefault="00777588" w:rsidP="00067C7B">
      <w:pPr>
        <w:spacing w:line="560" w:lineRule="exact"/>
        <w:ind w:right="147" w:firstLineChars="200" w:firstLine="640"/>
        <w:rPr>
          <w:rFonts w:ascii="仿宋_GB2312" w:eastAsia="仿宋_GB2312" w:hAnsi="宋体" w:cs="仿宋_GB2312"/>
          <w:sz w:val="32"/>
          <w:szCs w:val="32"/>
        </w:rPr>
      </w:pPr>
      <w:r>
        <w:rPr>
          <w:rFonts w:ascii="仿宋_GB2312" w:eastAsia="仿宋_GB2312" w:hAnsi="宋体" w:cs="仿宋_GB2312" w:hint="eastAsia"/>
          <w:bCs/>
          <w:sz w:val="32"/>
          <w:szCs w:val="32"/>
        </w:rPr>
        <w:t>一、主要职能：落实国家政策，严格依法行政，</w:t>
      </w:r>
      <w:r>
        <w:rPr>
          <w:rFonts w:ascii="仿宋_GB2312" w:eastAsia="仿宋_GB2312" w:hAnsi="宋体" w:cs="仿宋_GB2312" w:hint="eastAsia"/>
          <w:sz w:val="32"/>
          <w:szCs w:val="32"/>
        </w:rPr>
        <w:t>发挥经济管理职能，加强政策引导，制定发展规划，服务市场主体和营造发展环境，搞好市场监管，大力促进社会事业发展，发展镇村经济，文化和社会事业，提供公共服务。</w:t>
      </w:r>
    </w:p>
    <w:p w:rsidR="00777588" w:rsidRDefault="00777588" w:rsidP="00067C7B">
      <w:pPr>
        <w:spacing w:line="560" w:lineRule="exact"/>
        <w:ind w:firstLineChars="150" w:firstLine="4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777588" w:rsidRDefault="00777588" w:rsidP="00067C7B">
      <w:pPr>
        <w:spacing w:line="560" w:lineRule="exact"/>
        <w:ind w:firstLineChars="150" w:firstLine="4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777588" w:rsidRDefault="00777588" w:rsidP="00067C7B">
      <w:pPr>
        <w:spacing w:line="560" w:lineRule="exact"/>
        <w:ind w:firstLineChars="150" w:firstLine="4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、保护社会主义的全民所有的财产和劳动群众集体所有的财产，保护公民私人所有的合法财产，保障公民的人身权利、民主权利和其他权利。</w:t>
      </w:r>
    </w:p>
    <w:p w:rsidR="00777588" w:rsidRDefault="00777588" w:rsidP="008C057D">
      <w:pPr>
        <w:numPr>
          <w:ilvl w:val="0"/>
          <w:numId w:val="1"/>
        </w:numPr>
        <w:spacing w:line="560" w:lineRule="exact"/>
        <w:rPr>
          <w:rFonts w:ascii="仿宋_GB2312" w:eastAsia="仿宋_GB2312"/>
          <w:sz w:val="32"/>
          <w:szCs w:val="32"/>
        </w:rPr>
      </w:pPr>
      <w:r>
        <w:rPr>
          <w:rFonts w:ascii="仿宋_GB2312" w:eastAsia="仿宋_GB2312" w:hint="eastAsia"/>
          <w:sz w:val="32"/>
          <w:szCs w:val="32"/>
        </w:rPr>
        <w:t>保护各种经济组织的合法权益。</w:t>
      </w:r>
    </w:p>
    <w:p w:rsidR="00777588" w:rsidRDefault="00777588" w:rsidP="00067C7B">
      <w:pPr>
        <w:spacing w:line="560" w:lineRule="exact"/>
        <w:ind w:leftChars="76" w:left="160" w:firstLineChars="100" w:firstLine="320"/>
        <w:rPr>
          <w:rFonts w:ascii="仿宋_GB2312" w:eastAsia="仿宋_GB2312" w:hAnsi="宋体" w:cs="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777588" w:rsidRDefault="00777588" w:rsidP="008C057D">
      <w:pPr>
        <w:spacing w:line="560" w:lineRule="exact"/>
        <w:rPr>
          <w:rFonts w:ascii="仿宋_GB2312" w:eastAsia="仿宋_GB2312" w:hAnsi="宋体"/>
          <w:sz w:val="32"/>
          <w:szCs w:val="32"/>
        </w:rPr>
      </w:pPr>
      <w:r>
        <w:rPr>
          <w:rFonts w:ascii="仿宋_GB2312" w:eastAsia="仿宋_GB2312" w:hAnsi="宋体" w:cs="仿宋_GB2312" w:hint="eastAsia"/>
          <w:sz w:val="32"/>
          <w:szCs w:val="32"/>
        </w:rPr>
        <w:t>二、机构人员情况：编制人数</w:t>
      </w:r>
      <w:r>
        <w:rPr>
          <w:rFonts w:ascii="仿宋_GB2312" w:eastAsia="仿宋_GB2312" w:hAnsi="宋体" w:cs="仿宋_GB2312"/>
          <w:sz w:val="32"/>
          <w:szCs w:val="32"/>
        </w:rPr>
        <w:t>55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57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57</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57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bCs/>
          <w:sz w:val="32"/>
          <w:szCs w:val="32"/>
        </w:rPr>
        <w:t>塔什库尔干县塔吉克阿巴提镇人民政府</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777588" w:rsidRDefault="00777588" w:rsidP="00067C7B">
      <w:pPr>
        <w:spacing w:line="560" w:lineRule="exact"/>
        <w:ind w:firstLineChars="200" w:firstLine="640"/>
        <w:rPr>
          <w:rFonts w:ascii="仿宋_GB2312" w:eastAsia="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50"/>
        <w:gridCol w:w="5100"/>
        <w:gridCol w:w="2172"/>
      </w:tblGrid>
      <w:tr w:rsidR="00777588">
        <w:tc>
          <w:tcPr>
            <w:tcW w:w="1250" w:type="dxa"/>
          </w:tcPr>
          <w:p w:rsidR="00777588" w:rsidRDefault="00777588" w:rsidP="008C057D">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100" w:type="dxa"/>
          </w:tcPr>
          <w:p w:rsidR="00777588" w:rsidRDefault="00777588" w:rsidP="00067C7B">
            <w:pPr>
              <w:spacing w:line="560" w:lineRule="exact"/>
              <w:ind w:firstLineChars="350" w:firstLine="1120"/>
              <w:rPr>
                <w:rFonts w:ascii="仿宋_GB2312" w:eastAsia="仿宋_GB2312"/>
                <w:sz w:val="32"/>
                <w:szCs w:val="32"/>
              </w:rPr>
            </w:pPr>
            <w:r>
              <w:rPr>
                <w:rFonts w:ascii="仿宋_GB2312" w:eastAsia="仿宋_GB2312" w:cs="仿宋_GB2312" w:hint="eastAsia"/>
                <w:sz w:val="32"/>
                <w:szCs w:val="32"/>
              </w:rPr>
              <w:t>单位名称</w:t>
            </w:r>
          </w:p>
        </w:tc>
        <w:tc>
          <w:tcPr>
            <w:tcW w:w="2172" w:type="dxa"/>
          </w:tcPr>
          <w:p w:rsidR="00777588" w:rsidRDefault="00777588" w:rsidP="008C057D">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777588">
        <w:tc>
          <w:tcPr>
            <w:tcW w:w="1250" w:type="dxa"/>
          </w:tcPr>
          <w:p w:rsidR="00777588" w:rsidRDefault="00777588" w:rsidP="008C057D">
            <w:pPr>
              <w:spacing w:line="560" w:lineRule="exact"/>
              <w:rPr>
                <w:rFonts w:ascii="仿宋_GB2312" w:eastAsia="仿宋_GB2312"/>
                <w:sz w:val="32"/>
                <w:szCs w:val="32"/>
              </w:rPr>
            </w:pPr>
            <w:r>
              <w:rPr>
                <w:rFonts w:ascii="仿宋_GB2312" w:eastAsia="仿宋_GB2312"/>
                <w:sz w:val="32"/>
                <w:szCs w:val="32"/>
              </w:rPr>
              <w:t>1</w:t>
            </w:r>
          </w:p>
        </w:tc>
        <w:tc>
          <w:tcPr>
            <w:tcW w:w="5100" w:type="dxa"/>
          </w:tcPr>
          <w:p w:rsidR="00777588" w:rsidRDefault="00777588" w:rsidP="008C057D">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int="eastAsia"/>
                <w:sz w:val="32"/>
                <w:szCs w:val="32"/>
              </w:rPr>
              <w:t>阿巴提镇人民政府</w:t>
            </w:r>
          </w:p>
        </w:tc>
        <w:tc>
          <w:tcPr>
            <w:tcW w:w="2172" w:type="dxa"/>
          </w:tcPr>
          <w:p w:rsidR="00777588" w:rsidRDefault="00777588" w:rsidP="008C057D">
            <w:pPr>
              <w:spacing w:line="560" w:lineRule="exact"/>
              <w:rPr>
                <w:rFonts w:ascii="仿宋_GB2312" w:eastAsia="仿宋_GB2312"/>
                <w:sz w:val="32"/>
                <w:szCs w:val="32"/>
              </w:rPr>
            </w:pPr>
            <w:r>
              <w:rPr>
                <w:rFonts w:ascii="仿宋_GB2312" w:eastAsia="仿宋_GB2312" w:hint="eastAsia"/>
                <w:sz w:val="32"/>
                <w:szCs w:val="32"/>
              </w:rPr>
              <w:t>行政机关</w:t>
            </w:r>
          </w:p>
        </w:tc>
      </w:tr>
      <w:tr w:rsidR="00777588">
        <w:tc>
          <w:tcPr>
            <w:tcW w:w="1250" w:type="dxa"/>
          </w:tcPr>
          <w:p w:rsidR="00777588" w:rsidRDefault="00777588" w:rsidP="008C057D">
            <w:pPr>
              <w:spacing w:line="560" w:lineRule="exact"/>
              <w:rPr>
                <w:rFonts w:ascii="仿宋_GB2312" w:eastAsia="仿宋_GB2312"/>
                <w:sz w:val="32"/>
                <w:szCs w:val="32"/>
              </w:rPr>
            </w:pPr>
            <w:r>
              <w:rPr>
                <w:rFonts w:ascii="仿宋_GB2312" w:eastAsia="仿宋_GB2312"/>
                <w:sz w:val="32"/>
                <w:szCs w:val="32"/>
              </w:rPr>
              <w:t>2</w:t>
            </w:r>
          </w:p>
        </w:tc>
        <w:tc>
          <w:tcPr>
            <w:tcW w:w="5100" w:type="dxa"/>
          </w:tcPr>
          <w:p w:rsidR="00777588" w:rsidRDefault="00777588" w:rsidP="008C057D">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int="eastAsia"/>
                <w:sz w:val="32"/>
                <w:szCs w:val="32"/>
              </w:rPr>
              <w:t>阿巴提镇农经站</w:t>
            </w:r>
          </w:p>
        </w:tc>
        <w:tc>
          <w:tcPr>
            <w:tcW w:w="2172" w:type="dxa"/>
          </w:tcPr>
          <w:p w:rsidR="00777588" w:rsidRDefault="00777588" w:rsidP="008C057D">
            <w:pPr>
              <w:spacing w:line="560" w:lineRule="exact"/>
              <w:rPr>
                <w:rFonts w:ascii="仿宋_GB2312" w:eastAsia="仿宋_GB2312"/>
                <w:sz w:val="32"/>
                <w:szCs w:val="32"/>
              </w:rPr>
            </w:pPr>
          </w:p>
        </w:tc>
      </w:tr>
      <w:tr w:rsidR="00777588">
        <w:tc>
          <w:tcPr>
            <w:tcW w:w="1250" w:type="dxa"/>
          </w:tcPr>
          <w:p w:rsidR="00777588" w:rsidRDefault="00777588" w:rsidP="008C057D">
            <w:pPr>
              <w:spacing w:line="560" w:lineRule="exact"/>
              <w:rPr>
                <w:rFonts w:ascii="仿宋_GB2312" w:eastAsia="仿宋_GB2312"/>
                <w:sz w:val="32"/>
                <w:szCs w:val="32"/>
              </w:rPr>
            </w:pPr>
            <w:r>
              <w:rPr>
                <w:rFonts w:ascii="仿宋_GB2312" w:eastAsia="仿宋_GB2312"/>
                <w:sz w:val="32"/>
                <w:szCs w:val="32"/>
              </w:rPr>
              <w:t>3</w:t>
            </w:r>
          </w:p>
        </w:tc>
        <w:tc>
          <w:tcPr>
            <w:tcW w:w="5100" w:type="dxa"/>
          </w:tcPr>
          <w:p w:rsidR="00777588" w:rsidRDefault="00777588" w:rsidP="008C057D">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int="eastAsia"/>
                <w:sz w:val="32"/>
                <w:szCs w:val="32"/>
              </w:rPr>
              <w:t>阿巴提镇畜牧站</w:t>
            </w:r>
          </w:p>
        </w:tc>
        <w:tc>
          <w:tcPr>
            <w:tcW w:w="2172" w:type="dxa"/>
          </w:tcPr>
          <w:p w:rsidR="00777588" w:rsidRDefault="00777588" w:rsidP="008C057D">
            <w:pPr>
              <w:spacing w:line="560" w:lineRule="exact"/>
              <w:rPr>
                <w:rFonts w:ascii="仿宋_GB2312" w:eastAsia="仿宋_GB2312"/>
                <w:sz w:val="32"/>
                <w:szCs w:val="32"/>
              </w:rPr>
            </w:pPr>
          </w:p>
        </w:tc>
      </w:tr>
    </w:tbl>
    <w:p w:rsidR="00777588" w:rsidRDefault="00777588" w:rsidP="007F74D3">
      <w:pPr>
        <w:snapToGrid w:val="0"/>
        <w:spacing w:line="560" w:lineRule="exact"/>
        <w:ind w:firstLineChars="200" w:firstLine="643"/>
        <w:rPr>
          <w:rFonts w:ascii="仿宋_GB2312" w:eastAsia="仿宋_GB2312" w:hAnsi="宋体"/>
          <w:b/>
          <w:bCs/>
          <w:sz w:val="32"/>
          <w:szCs w:val="32"/>
        </w:rPr>
      </w:pPr>
      <w:bookmarkStart w:id="0" w:name="YS060102"/>
    </w:p>
    <w:p w:rsidR="00777588" w:rsidRDefault="00777588" w:rsidP="00067C7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塔什库尔干县塔吉克阿巴提镇</w:t>
      </w:r>
      <w:r>
        <w:rPr>
          <w:rFonts w:ascii="仿宋_GB2312" w:eastAsia="仿宋_GB2312" w:hAnsi="宋体" w:cs="仿宋_GB2312" w:hint="eastAsia"/>
          <w:b/>
          <w:bCs/>
          <w:sz w:val="32"/>
          <w:szCs w:val="32"/>
        </w:rPr>
        <w:t>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777588" w:rsidRDefault="00777588" w:rsidP="008C057D">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777588" w:rsidRDefault="00777588" w:rsidP="008C057D">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777588" w:rsidRDefault="00777588" w:rsidP="008C057D">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777588" w:rsidRDefault="00777588" w:rsidP="00067C7B">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777588" w:rsidRDefault="00777588" w:rsidP="00067C7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777588" w:rsidRDefault="00777588" w:rsidP="00067C7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777588" w:rsidRDefault="00777588" w:rsidP="00067C7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777588" w:rsidRDefault="00777588" w:rsidP="00067C7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777588" w:rsidRDefault="00777588" w:rsidP="00067C7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塔什库尔干县塔吉克阿巴提镇人民政府</w:t>
      </w:r>
      <w:r>
        <w:rPr>
          <w:rFonts w:ascii="仿宋_GB2312" w:eastAsia="仿宋_GB2312" w:hAnsi="宋体" w:cs="仿宋_GB2312"/>
          <w:b/>
          <w:sz w:val="32"/>
          <w:szCs w:val="32"/>
        </w:rPr>
        <w:t>2</w:t>
      </w:r>
      <w:r>
        <w:rPr>
          <w:rFonts w:ascii="仿宋_GB2312" w:eastAsia="仿宋_GB2312" w:hAnsi="宋体" w:cs="仿宋_GB2312"/>
          <w:b/>
          <w:bCs/>
          <w:sz w:val="32"/>
          <w:szCs w:val="32"/>
        </w:rPr>
        <w:t>016</w:t>
      </w:r>
      <w:r>
        <w:rPr>
          <w:rFonts w:ascii="仿宋_GB2312" w:eastAsia="仿宋_GB2312" w:hAnsi="宋体" w:cs="仿宋_GB2312" w:hint="eastAsia"/>
          <w:b/>
          <w:bCs/>
          <w:sz w:val="32"/>
          <w:szCs w:val="32"/>
        </w:rPr>
        <w:t>年度部门决算情况说明</w:t>
      </w:r>
    </w:p>
    <w:p w:rsidR="00777588" w:rsidRDefault="00777588" w:rsidP="00067C7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777588" w:rsidRDefault="00777588" w:rsidP="007F74D3">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19472867.45</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19746377.45</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9065578.95</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10680798.5</w:t>
      </w:r>
      <w:r>
        <w:rPr>
          <w:rFonts w:ascii="仿宋_GB2312" w:eastAsia="仿宋_GB2312" w:hAnsi="宋体" w:cs="仿宋_GB2312" w:hint="eastAsia"/>
          <w:sz w:val="32"/>
          <w:szCs w:val="32"/>
        </w:rPr>
        <w:t>元。</w:t>
      </w:r>
    </w:p>
    <w:bookmarkEnd w:id="0"/>
    <w:p w:rsidR="00777588" w:rsidRDefault="00777588" w:rsidP="008C057D">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777588" w:rsidRPr="00067C7B" w:rsidRDefault="00777588" w:rsidP="00067C7B">
      <w:pPr>
        <w:snapToGrid w:val="0"/>
        <w:spacing w:line="560" w:lineRule="exact"/>
        <w:ind w:leftChars="70" w:left="147" w:firstLineChars="150" w:firstLine="480"/>
        <w:rPr>
          <w:rFonts w:ascii="仿宋_GB2312" w:eastAsia="仿宋_GB2312" w:hAnsi="宋体"/>
          <w:sz w:val="32"/>
          <w:szCs w:val="32"/>
        </w:rPr>
      </w:pPr>
      <w:r w:rsidRPr="00067C7B">
        <w:rPr>
          <w:rFonts w:ascii="仿宋_GB2312" w:eastAsia="仿宋_GB2312" w:hAnsi="宋体" w:cs="仿宋_GB2312"/>
          <w:sz w:val="32"/>
          <w:szCs w:val="32"/>
        </w:rPr>
        <w:t>2016</w:t>
      </w:r>
      <w:r w:rsidRPr="00067C7B">
        <w:rPr>
          <w:rFonts w:ascii="仿宋_GB2312" w:eastAsia="仿宋_GB2312" w:hAnsi="宋体" w:cs="仿宋_GB2312" w:hint="eastAsia"/>
          <w:sz w:val="32"/>
          <w:szCs w:val="32"/>
        </w:rPr>
        <w:t>年本年收入合计</w:t>
      </w:r>
      <w:r w:rsidRPr="00067C7B">
        <w:rPr>
          <w:rFonts w:ascii="仿宋_GB2312" w:eastAsia="仿宋_GB2312" w:hAnsi="宋体" w:cs="仿宋_GB2312"/>
          <w:sz w:val="32"/>
          <w:szCs w:val="32"/>
        </w:rPr>
        <w:t>19472867.45</w:t>
      </w:r>
      <w:r w:rsidRPr="00067C7B">
        <w:rPr>
          <w:rFonts w:ascii="仿宋_GB2312" w:eastAsia="仿宋_GB2312" w:hAnsi="宋体" w:cs="仿宋_GB2312" w:hint="eastAsia"/>
          <w:sz w:val="32"/>
          <w:szCs w:val="32"/>
        </w:rPr>
        <w:t>元，其中：财政拨款收入</w:t>
      </w:r>
      <w:r w:rsidRPr="00067C7B">
        <w:rPr>
          <w:rFonts w:ascii="仿宋_GB2312" w:eastAsia="仿宋_GB2312" w:hAnsi="宋体" w:cs="仿宋_GB2312"/>
          <w:sz w:val="32"/>
          <w:szCs w:val="32"/>
        </w:rPr>
        <w:t>19472867.45</w:t>
      </w:r>
      <w:r w:rsidRPr="00067C7B">
        <w:rPr>
          <w:rFonts w:ascii="仿宋_GB2312" w:eastAsia="仿宋_GB2312" w:hAnsi="宋体" w:cs="仿宋_GB2312" w:hint="eastAsia"/>
          <w:sz w:val="32"/>
          <w:szCs w:val="32"/>
        </w:rPr>
        <w:t>元，事业收入</w:t>
      </w:r>
      <w:r w:rsidRPr="00067C7B">
        <w:rPr>
          <w:rFonts w:ascii="仿宋_GB2312" w:eastAsia="仿宋_GB2312" w:hAnsi="宋体" w:cs="仿宋_GB2312"/>
          <w:sz w:val="32"/>
          <w:szCs w:val="32"/>
        </w:rPr>
        <w:t>0</w:t>
      </w:r>
      <w:r w:rsidRPr="00067C7B">
        <w:rPr>
          <w:rFonts w:ascii="仿宋_GB2312" w:eastAsia="仿宋_GB2312" w:hAnsi="宋体" w:cs="仿宋_GB2312" w:hint="eastAsia"/>
          <w:sz w:val="32"/>
          <w:szCs w:val="32"/>
        </w:rPr>
        <w:t>元，经营收入</w:t>
      </w:r>
      <w:r w:rsidRPr="00067C7B">
        <w:rPr>
          <w:rFonts w:ascii="仿宋_GB2312" w:eastAsia="仿宋_GB2312" w:hAnsi="宋体" w:cs="仿宋_GB2312"/>
          <w:sz w:val="32"/>
          <w:szCs w:val="32"/>
        </w:rPr>
        <w:t>0</w:t>
      </w:r>
      <w:r w:rsidRPr="00067C7B">
        <w:rPr>
          <w:rFonts w:ascii="仿宋_GB2312" w:eastAsia="仿宋_GB2312" w:hAnsi="宋体" w:cs="仿宋_GB2312" w:hint="eastAsia"/>
          <w:sz w:val="32"/>
          <w:szCs w:val="32"/>
        </w:rPr>
        <w:t>元，其他收入</w:t>
      </w:r>
      <w:r w:rsidRPr="00067C7B">
        <w:rPr>
          <w:rFonts w:ascii="仿宋_GB2312" w:eastAsia="仿宋_GB2312" w:hAnsi="宋体" w:cs="仿宋_GB2312"/>
          <w:sz w:val="32"/>
          <w:szCs w:val="32"/>
        </w:rPr>
        <w:t>0</w:t>
      </w:r>
      <w:r w:rsidRPr="00067C7B">
        <w:rPr>
          <w:rFonts w:ascii="仿宋_GB2312" w:eastAsia="仿宋_GB2312" w:hAnsi="宋体" w:cs="仿宋_GB2312" w:hint="eastAsia"/>
          <w:sz w:val="32"/>
          <w:szCs w:val="32"/>
        </w:rPr>
        <w:t>元。</w:t>
      </w:r>
    </w:p>
    <w:p w:rsidR="00777588" w:rsidRDefault="00777588" w:rsidP="00067C7B">
      <w:pPr>
        <w:snapToGrid w:val="0"/>
        <w:spacing w:line="560" w:lineRule="exact"/>
        <w:ind w:leftChars="70" w:left="147" w:firstLineChars="150" w:firstLine="480"/>
        <w:rPr>
          <w:rFonts w:ascii="仿宋_GB2312" w:eastAsia="仿宋_GB2312" w:hAnsi="宋体"/>
          <w:sz w:val="32"/>
          <w:szCs w:val="32"/>
        </w:rPr>
      </w:pPr>
      <w:r w:rsidRPr="00067C7B">
        <w:rPr>
          <w:rFonts w:ascii="仿宋_GB2312" w:eastAsia="仿宋_GB2312" w:hAnsi="宋体" w:cs="仿宋_GB2312" w:hint="eastAsia"/>
          <w:sz w:val="32"/>
          <w:szCs w:val="32"/>
        </w:rPr>
        <w:t>三、支出情况说明</w:t>
      </w:r>
    </w:p>
    <w:p w:rsidR="00777588" w:rsidRDefault="00777588" w:rsidP="00067C7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19746377.45</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9065578.95</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10680798.5</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777588" w:rsidRDefault="00777588" w:rsidP="00067C7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777588" w:rsidRDefault="00777588" w:rsidP="00067C7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元，主要为无结余结转资金，项目支出结转结余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元，主要为无结余结转资金）。</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80000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80000</w:t>
      </w:r>
      <w:r>
        <w:rPr>
          <w:rFonts w:ascii="仿宋_GB2312" w:eastAsia="仿宋_GB2312" w:hAnsi="宋体" w:cs="仿宋_GB2312" w:hint="eastAsia"/>
          <w:sz w:val="32"/>
          <w:szCs w:val="32"/>
        </w:rPr>
        <w:t>元。</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39991.82</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39991.82</w:t>
      </w:r>
      <w:r>
        <w:rPr>
          <w:rFonts w:ascii="仿宋_GB2312" w:eastAsia="仿宋_GB2312" w:hAnsi="宋体" w:cs="仿宋_GB2312" w:hint="eastAsia"/>
          <w:sz w:val="32"/>
          <w:szCs w:val="32"/>
        </w:rPr>
        <w:t>元。主要原因为：严格控制车辆的运行。</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777588" w:rsidRDefault="00777588" w:rsidP="00067C7B">
      <w:pPr>
        <w:snapToGrid w:val="0"/>
        <w:spacing w:line="560" w:lineRule="exact"/>
        <w:ind w:firstLineChars="200" w:firstLine="640"/>
        <w:rPr>
          <w:rFonts w:ascii="仿宋_GB2312" w:eastAsia="仿宋_GB2312" w:hAnsi="宋体"/>
          <w:color w:val="000000"/>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64105.92</w:t>
      </w:r>
      <w:r>
        <w:rPr>
          <w:rFonts w:ascii="仿宋_GB2312" w:eastAsia="仿宋_GB2312" w:hAnsi="宋体" w:cs="仿宋_GB2312" w:hint="eastAsia"/>
          <w:sz w:val="32"/>
          <w:szCs w:val="32"/>
        </w:rPr>
        <w:t>元，主要是：</w:t>
      </w:r>
      <w:r>
        <w:rPr>
          <w:rFonts w:ascii="仿宋_GB2312" w:eastAsia="仿宋_GB2312" w:hAnsi="宋体" w:cs="仿宋_GB2312" w:hint="eastAsia"/>
          <w:color w:val="000000"/>
          <w:sz w:val="32"/>
          <w:szCs w:val="32"/>
        </w:rPr>
        <w:t>乡镇人员在县域地区参加各类培训。</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777588" w:rsidRDefault="00777588" w:rsidP="00067C7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19472867.45</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10246479.87</w:t>
      </w:r>
      <w:r>
        <w:rPr>
          <w:rFonts w:ascii="仿宋_GB2312" w:eastAsia="仿宋_GB2312" w:hAnsi="宋体" w:cs="仿宋_GB2312" w:hint="eastAsia"/>
          <w:sz w:val="32"/>
          <w:szCs w:val="32"/>
        </w:rPr>
        <w:t>元，增加原因：人员增加，项目增加。</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19746377.45</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10793499.87</w:t>
      </w:r>
      <w:r>
        <w:rPr>
          <w:rFonts w:ascii="仿宋_GB2312" w:eastAsia="仿宋_GB2312" w:hAnsi="宋体" w:cs="仿宋_GB2312" w:hint="eastAsia"/>
          <w:sz w:val="32"/>
          <w:szCs w:val="32"/>
        </w:rPr>
        <w:t>元，增加原因：人员增加，涨个人工资，项目增加。</w:t>
      </w:r>
    </w:p>
    <w:p w:rsidR="00777588" w:rsidRDefault="00777588" w:rsidP="00067C7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19746377.45</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6383305.46</w:t>
      </w:r>
      <w:r>
        <w:rPr>
          <w:rFonts w:ascii="仿宋_GB2312" w:eastAsia="仿宋_GB2312" w:hAnsi="宋体" w:cs="仿宋_GB2312" w:hint="eastAsia"/>
          <w:sz w:val="32"/>
          <w:szCs w:val="32"/>
        </w:rPr>
        <w:t>元，差异原因：增加固定资产，涨个人工资，人员增加，项目增加。</w:t>
      </w:r>
    </w:p>
    <w:p w:rsidR="00777588" w:rsidRDefault="00777588" w:rsidP="00067C7B">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777588" w:rsidRDefault="00777588" w:rsidP="00067C7B">
      <w:pPr>
        <w:spacing w:line="560" w:lineRule="exact"/>
        <w:ind w:firstLineChars="200" w:firstLine="640"/>
        <w:rPr>
          <w:rFonts w:ascii="仿宋_GB2312" w:eastAsia="仿宋_GB2312" w:hAnsi="宋体"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bCs/>
          <w:sz w:val="32"/>
          <w:szCs w:val="32"/>
        </w:rPr>
        <w:t>塔什库尔干县塔吉克阿巴提镇人民政府</w:t>
      </w:r>
      <w:r>
        <w:rPr>
          <w:rFonts w:ascii="仿宋_GB2312" w:eastAsia="仿宋_GB2312" w:cs="仿宋_GB2312" w:hint="eastAsia"/>
          <w:sz w:val="32"/>
          <w:szCs w:val="32"/>
        </w:rPr>
        <w:t>机关运行经费支出</w:t>
      </w:r>
      <w:r>
        <w:rPr>
          <w:rFonts w:ascii="仿宋_GB2312" w:eastAsia="仿宋_GB2312" w:cs="仿宋_GB2312"/>
          <w:sz w:val="32"/>
          <w:szCs w:val="32"/>
        </w:rPr>
        <w:t>944529.92</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385932.92</w:t>
      </w:r>
      <w:r>
        <w:rPr>
          <w:rFonts w:ascii="仿宋_GB2312" w:eastAsia="仿宋_GB2312" w:cs="仿宋_GB2312" w:hint="eastAsia"/>
          <w:sz w:val="32"/>
          <w:szCs w:val="32"/>
        </w:rPr>
        <w:t>元，增长</w:t>
      </w:r>
      <w:r>
        <w:rPr>
          <w:rFonts w:ascii="仿宋_GB2312" w:eastAsia="仿宋_GB2312" w:cs="仿宋_GB2312"/>
          <w:sz w:val="32"/>
          <w:szCs w:val="32"/>
        </w:rPr>
        <w:t>69.09%</w:t>
      </w:r>
      <w:r>
        <w:rPr>
          <w:rFonts w:ascii="仿宋_GB2312" w:eastAsia="仿宋_GB2312" w:cs="仿宋_GB2312" w:hint="eastAsia"/>
          <w:sz w:val="32"/>
          <w:szCs w:val="32"/>
        </w:rPr>
        <w:t>，主要原因是：</w:t>
      </w:r>
      <w:r>
        <w:rPr>
          <w:rFonts w:ascii="仿宋_GB2312" w:eastAsia="仿宋_GB2312" w:hAnsi="宋体" w:cs="仿宋_GB2312" w:hint="eastAsia"/>
          <w:sz w:val="32"/>
          <w:szCs w:val="32"/>
        </w:rPr>
        <w:t>增加日常办公费用的支出。</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bCs/>
          <w:sz w:val="32"/>
          <w:szCs w:val="32"/>
        </w:rPr>
        <w:t>塔什库尔干县塔吉克阿巴提镇人民政府</w:t>
      </w:r>
      <w:r>
        <w:rPr>
          <w:rFonts w:ascii="仿宋_GB2312" w:eastAsia="仿宋_GB2312" w:cs="仿宋_GB2312" w:hint="eastAsia"/>
          <w:sz w:val="32"/>
          <w:szCs w:val="32"/>
        </w:rPr>
        <w:t>政府采购支出总额</w:t>
      </w:r>
      <w:r>
        <w:rPr>
          <w:rFonts w:ascii="仿宋_GB2312" w:eastAsia="仿宋_GB2312" w:cs="仿宋_GB2312"/>
          <w:sz w:val="32"/>
          <w:szCs w:val="32"/>
        </w:rPr>
        <w:t>34916971.27</w:t>
      </w:r>
      <w:r>
        <w:rPr>
          <w:rFonts w:ascii="仿宋_GB2312" w:eastAsia="仿宋_GB2312" w:cs="仿宋_GB2312" w:hint="eastAsia"/>
          <w:sz w:val="32"/>
          <w:szCs w:val="32"/>
        </w:rPr>
        <w:t>元，其中政府采购货物支出</w:t>
      </w:r>
      <w:r>
        <w:rPr>
          <w:rFonts w:ascii="仿宋_GB2312" w:eastAsia="仿宋_GB2312" w:cs="仿宋_GB2312"/>
          <w:sz w:val="32"/>
          <w:szCs w:val="32"/>
        </w:rPr>
        <w:t>34911620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w:t>
      </w:r>
      <w:r>
        <w:rPr>
          <w:rFonts w:ascii="仿宋_GB2312" w:eastAsia="仿宋_GB2312" w:hAnsi="宋体" w:cs="仿宋_GB2312" w:hint="eastAsia"/>
          <w:sz w:val="32"/>
          <w:szCs w:val="32"/>
        </w:rPr>
        <w:t>。</w:t>
      </w:r>
      <w:r>
        <w:rPr>
          <w:rFonts w:ascii="仿宋_GB2312" w:eastAsia="仿宋_GB2312" w:cs="仿宋_GB2312" w:hint="eastAsia"/>
          <w:sz w:val="32"/>
          <w:szCs w:val="32"/>
        </w:rPr>
        <w:t>政府采购服务支出</w:t>
      </w:r>
      <w:r>
        <w:rPr>
          <w:rFonts w:ascii="仿宋_GB2312" w:eastAsia="仿宋_GB2312" w:cs="仿宋_GB2312"/>
          <w:sz w:val="32"/>
          <w:szCs w:val="32"/>
        </w:rPr>
        <w:t>5351.27</w:t>
      </w:r>
      <w:r>
        <w:rPr>
          <w:rFonts w:ascii="仿宋_GB2312" w:eastAsia="仿宋_GB2312" w:cs="仿宋_GB2312" w:hint="eastAsia"/>
          <w:sz w:val="32"/>
          <w:szCs w:val="32"/>
        </w:rPr>
        <w:t>元。喀什地区为偏远地区，参与招投标的供应商基本为中小微企业。</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bCs/>
          <w:sz w:val="32"/>
          <w:szCs w:val="32"/>
        </w:rPr>
        <w:t>塔什库尔干县塔吉克阿巴提镇人民政府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777588" w:rsidRDefault="00777588" w:rsidP="00067C7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按收入项目分别列示：无。</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777588" w:rsidRDefault="00777588" w:rsidP="008C057D">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777588" w:rsidRDefault="00777588" w:rsidP="00067C7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777588" w:rsidRDefault="00777588" w:rsidP="008C057D">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777588" w:rsidRDefault="00777588" w:rsidP="00067C7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777588" w:rsidRDefault="00777588" w:rsidP="007F74D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777588" w:rsidSect="00827FD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588" w:rsidRDefault="00777588" w:rsidP="00827FDD">
      <w:r>
        <w:separator/>
      </w:r>
    </w:p>
  </w:endnote>
  <w:endnote w:type="continuationSeparator" w:id="0">
    <w:p w:rsidR="00777588" w:rsidRDefault="00777588" w:rsidP="00827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588" w:rsidRDefault="007775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588" w:rsidRDefault="007775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777588" w:rsidRDefault="0077758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588" w:rsidRDefault="007775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588" w:rsidRDefault="00777588" w:rsidP="00827FDD">
      <w:r>
        <w:separator/>
      </w:r>
    </w:p>
  </w:footnote>
  <w:footnote w:type="continuationSeparator" w:id="0">
    <w:p w:rsidR="00777588" w:rsidRDefault="00777588" w:rsidP="00827F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588" w:rsidRDefault="007775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588" w:rsidRDefault="00777588" w:rsidP="00067C7B">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588" w:rsidRDefault="007775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63FD31BE"/>
    <w:multiLevelType w:val="multilevel"/>
    <w:tmpl w:val="63FD31BE"/>
    <w:lvl w:ilvl="0">
      <w:start w:val="4"/>
      <w:numFmt w:val="decimal"/>
      <w:lvlText w:val="%1、"/>
      <w:lvlJc w:val="left"/>
      <w:pPr>
        <w:ind w:left="1200" w:hanging="720"/>
      </w:pPr>
      <w:rPr>
        <w:rFonts w:cs="Times New Roman" w:hint="default"/>
      </w:rPr>
    </w:lvl>
    <w:lvl w:ilvl="1">
      <w:start w:val="1"/>
      <w:numFmt w:val="lowerLetter"/>
      <w:lvlText w:val="%2)"/>
      <w:lvlJc w:val="left"/>
      <w:pPr>
        <w:ind w:left="1320" w:hanging="420"/>
      </w:pPr>
      <w:rPr>
        <w:rFonts w:cs="Times New Roman"/>
      </w:rPr>
    </w:lvl>
    <w:lvl w:ilvl="2">
      <w:start w:val="1"/>
      <w:numFmt w:val="lowerRoman"/>
      <w:lvlText w:val="%3."/>
      <w:lvlJc w:val="right"/>
      <w:pPr>
        <w:ind w:left="1740" w:hanging="420"/>
      </w:pPr>
      <w:rPr>
        <w:rFonts w:cs="Times New Roman"/>
      </w:rPr>
    </w:lvl>
    <w:lvl w:ilvl="3">
      <w:start w:val="1"/>
      <w:numFmt w:val="decimal"/>
      <w:lvlText w:val="%4."/>
      <w:lvlJc w:val="left"/>
      <w:pPr>
        <w:ind w:left="2160" w:hanging="420"/>
      </w:pPr>
      <w:rPr>
        <w:rFonts w:cs="Times New Roman"/>
      </w:rPr>
    </w:lvl>
    <w:lvl w:ilvl="4">
      <w:start w:val="1"/>
      <w:numFmt w:val="lowerLetter"/>
      <w:lvlText w:val="%5)"/>
      <w:lvlJc w:val="left"/>
      <w:pPr>
        <w:ind w:left="2580" w:hanging="420"/>
      </w:pPr>
      <w:rPr>
        <w:rFonts w:cs="Times New Roman"/>
      </w:rPr>
    </w:lvl>
    <w:lvl w:ilvl="5">
      <w:start w:val="1"/>
      <w:numFmt w:val="lowerRoman"/>
      <w:lvlText w:val="%6."/>
      <w:lvlJc w:val="right"/>
      <w:pPr>
        <w:ind w:left="3000" w:hanging="420"/>
      </w:pPr>
      <w:rPr>
        <w:rFonts w:cs="Times New Roman"/>
      </w:rPr>
    </w:lvl>
    <w:lvl w:ilvl="6">
      <w:start w:val="1"/>
      <w:numFmt w:val="decimal"/>
      <w:lvlText w:val="%7."/>
      <w:lvlJc w:val="left"/>
      <w:pPr>
        <w:ind w:left="3420" w:hanging="420"/>
      </w:pPr>
      <w:rPr>
        <w:rFonts w:cs="Times New Roman"/>
      </w:rPr>
    </w:lvl>
    <w:lvl w:ilvl="7">
      <w:start w:val="1"/>
      <w:numFmt w:val="lowerLetter"/>
      <w:lvlText w:val="%8)"/>
      <w:lvlJc w:val="left"/>
      <w:pPr>
        <w:ind w:left="3840" w:hanging="420"/>
      </w:pPr>
      <w:rPr>
        <w:rFonts w:cs="Times New Roman"/>
      </w:rPr>
    </w:lvl>
    <w:lvl w:ilvl="8">
      <w:start w:val="1"/>
      <w:numFmt w:val="lowerRoman"/>
      <w:lvlText w:val="%9."/>
      <w:lvlJc w:val="right"/>
      <w:pPr>
        <w:ind w:left="426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4DB0"/>
    <w:rsid w:val="00006A87"/>
    <w:rsid w:val="00024B7F"/>
    <w:rsid w:val="00034248"/>
    <w:rsid w:val="00052FE0"/>
    <w:rsid w:val="00054384"/>
    <w:rsid w:val="00054DBC"/>
    <w:rsid w:val="00060338"/>
    <w:rsid w:val="00062356"/>
    <w:rsid w:val="00067C7B"/>
    <w:rsid w:val="000703F5"/>
    <w:rsid w:val="000775E8"/>
    <w:rsid w:val="00086A97"/>
    <w:rsid w:val="00091F7F"/>
    <w:rsid w:val="00094D69"/>
    <w:rsid w:val="000A5DE3"/>
    <w:rsid w:val="000A65DB"/>
    <w:rsid w:val="000B1596"/>
    <w:rsid w:val="000B5213"/>
    <w:rsid w:val="000C2939"/>
    <w:rsid w:val="000C3B20"/>
    <w:rsid w:val="000D6A66"/>
    <w:rsid w:val="000E7FFD"/>
    <w:rsid w:val="0010183B"/>
    <w:rsid w:val="00112AA8"/>
    <w:rsid w:val="00140E78"/>
    <w:rsid w:val="00142BCE"/>
    <w:rsid w:val="00147040"/>
    <w:rsid w:val="00151463"/>
    <w:rsid w:val="00157817"/>
    <w:rsid w:val="00170582"/>
    <w:rsid w:val="0018226C"/>
    <w:rsid w:val="001870FE"/>
    <w:rsid w:val="001874BD"/>
    <w:rsid w:val="001943AB"/>
    <w:rsid w:val="001B2A1F"/>
    <w:rsid w:val="001B44BC"/>
    <w:rsid w:val="001D09C9"/>
    <w:rsid w:val="001D13D5"/>
    <w:rsid w:val="001E185C"/>
    <w:rsid w:val="001E4658"/>
    <w:rsid w:val="001E7C6A"/>
    <w:rsid w:val="001F2B9D"/>
    <w:rsid w:val="001F33C0"/>
    <w:rsid w:val="001F6EF5"/>
    <w:rsid w:val="0020099B"/>
    <w:rsid w:val="00205C3B"/>
    <w:rsid w:val="00225160"/>
    <w:rsid w:val="00242FE4"/>
    <w:rsid w:val="00262C89"/>
    <w:rsid w:val="00265B72"/>
    <w:rsid w:val="002743C3"/>
    <w:rsid w:val="00277EEF"/>
    <w:rsid w:val="00287A2E"/>
    <w:rsid w:val="002A49E1"/>
    <w:rsid w:val="002A745C"/>
    <w:rsid w:val="002B37BB"/>
    <w:rsid w:val="002B5B38"/>
    <w:rsid w:val="002C37F3"/>
    <w:rsid w:val="002C677C"/>
    <w:rsid w:val="002C740B"/>
    <w:rsid w:val="002D02F4"/>
    <w:rsid w:val="00303B2E"/>
    <w:rsid w:val="003158E9"/>
    <w:rsid w:val="00333969"/>
    <w:rsid w:val="00341019"/>
    <w:rsid w:val="003472C5"/>
    <w:rsid w:val="00347996"/>
    <w:rsid w:val="00350B5B"/>
    <w:rsid w:val="003632BC"/>
    <w:rsid w:val="0038026F"/>
    <w:rsid w:val="003A38F8"/>
    <w:rsid w:val="003B0831"/>
    <w:rsid w:val="003B594E"/>
    <w:rsid w:val="003C2E54"/>
    <w:rsid w:val="003D0C72"/>
    <w:rsid w:val="004011AD"/>
    <w:rsid w:val="0040177E"/>
    <w:rsid w:val="00406AB0"/>
    <w:rsid w:val="00413F77"/>
    <w:rsid w:val="00417715"/>
    <w:rsid w:val="00420614"/>
    <w:rsid w:val="0043072D"/>
    <w:rsid w:val="00434925"/>
    <w:rsid w:val="00434EEE"/>
    <w:rsid w:val="0045212A"/>
    <w:rsid w:val="00454931"/>
    <w:rsid w:val="0045642E"/>
    <w:rsid w:val="00457BD9"/>
    <w:rsid w:val="00471A28"/>
    <w:rsid w:val="004743B3"/>
    <w:rsid w:val="00486188"/>
    <w:rsid w:val="00487059"/>
    <w:rsid w:val="004923C5"/>
    <w:rsid w:val="004A08C1"/>
    <w:rsid w:val="004A28B1"/>
    <w:rsid w:val="004B6AAB"/>
    <w:rsid w:val="004D2787"/>
    <w:rsid w:val="004D48D7"/>
    <w:rsid w:val="004D6F93"/>
    <w:rsid w:val="0050291C"/>
    <w:rsid w:val="00505AAF"/>
    <w:rsid w:val="00522BA8"/>
    <w:rsid w:val="005272D8"/>
    <w:rsid w:val="00532879"/>
    <w:rsid w:val="00542B16"/>
    <w:rsid w:val="00552B99"/>
    <w:rsid w:val="005576EA"/>
    <w:rsid w:val="00565025"/>
    <w:rsid w:val="005766BD"/>
    <w:rsid w:val="00584882"/>
    <w:rsid w:val="00592401"/>
    <w:rsid w:val="00595CD5"/>
    <w:rsid w:val="005A0EA5"/>
    <w:rsid w:val="005D008D"/>
    <w:rsid w:val="005D1B15"/>
    <w:rsid w:val="005D5345"/>
    <w:rsid w:val="005D6922"/>
    <w:rsid w:val="005E3E19"/>
    <w:rsid w:val="005E53B9"/>
    <w:rsid w:val="00621ABF"/>
    <w:rsid w:val="0062206C"/>
    <w:rsid w:val="00642F1B"/>
    <w:rsid w:val="006537AC"/>
    <w:rsid w:val="006644E4"/>
    <w:rsid w:val="00672B4C"/>
    <w:rsid w:val="006773BD"/>
    <w:rsid w:val="00687879"/>
    <w:rsid w:val="00696752"/>
    <w:rsid w:val="006A1621"/>
    <w:rsid w:val="006A2219"/>
    <w:rsid w:val="006A56FC"/>
    <w:rsid w:val="006A7356"/>
    <w:rsid w:val="006B1AAD"/>
    <w:rsid w:val="006C6493"/>
    <w:rsid w:val="006D181A"/>
    <w:rsid w:val="006D4B96"/>
    <w:rsid w:val="006F1159"/>
    <w:rsid w:val="006F13E9"/>
    <w:rsid w:val="006F3090"/>
    <w:rsid w:val="006F7FA8"/>
    <w:rsid w:val="00702259"/>
    <w:rsid w:val="00710EE8"/>
    <w:rsid w:val="007226FB"/>
    <w:rsid w:val="007505C5"/>
    <w:rsid w:val="00774810"/>
    <w:rsid w:val="00777588"/>
    <w:rsid w:val="00782159"/>
    <w:rsid w:val="00793D15"/>
    <w:rsid w:val="007978CD"/>
    <w:rsid w:val="007A2BDC"/>
    <w:rsid w:val="007B3665"/>
    <w:rsid w:val="007D75E2"/>
    <w:rsid w:val="007F238C"/>
    <w:rsid w:val="007F5B3F"/>
    <w:rsid w:val="007F74D3"/>
    <w:rsid w:val="008012F4"/>
    <w:rsid w:val="008104D1"/>
    <w:rsid w:val="00815033"/>
    <w:rsid w:val="00827FDD"/>
    <w:rsid w:val="00835CA5"/>
    <w:rsid w:val="00842279"/>
    <w:rsid w:val="00844D3A"/>
    <w:rsid w:val="00847706"/>
    <w:rsid w:val="00850823"/>
    <w:rsid w:val="00854186"/>
    <w:rsid w:val="008664F8"/>
    <w:rsid w:val="00866BE6"/>
    <w:rsid w:val="00877032"/>
    <w:rsid w:val="00880D0D"/>
    <w:rsid w:val="00883A4D"/>
    <w:rsid w:val="008872A2"/>
    <w:rsid w:val="00893492"/>
    <w:rsid w:val="00895A64"/>
    <w:rsid w:val="008A0DC9"/>
    <w:rsid w:val="008A32F5"/>
    <w:rsid w:val="008A4331"/>
    <w:rsid w:val="008B02AA"/>
    <w:rsid w:val="008C057D"/>
    <w:rsid w:val="008C05F8"/>
    <w:rsid w:val="008C4BA3"/>
    <w:rsid w:val="008C5ABD"/>
    <w:rsid w:val="008D28A9"/>
    <w:rsid w:val="008E26A2"/>
    <w:rsid w:val="009078E5"/>
    <w:rsid w:val="00910498"/>
    <w:rsid w:val="00912ADD"/>
    <w:rsid w:val="00921F8C"/>
    <w:rsid w:val="0095193C"/>
    <w:rsid w:val="00954B4B"/>
    <w:rsid w:val="00986E5F"/>
    <w:rsid w:val="009A7D21"/>
    <w:rsid w:val="009C453B"/>
    <w:rsid w:val="009C45F9"/>
    <w:rsid w:val="009C7F6B"/>
    <w:rsid w:val="009D1905"/>
    <w:rsid w:val="009D48D0"/>
    <w:rsid w:val="009F1B75"/>
    <w:rsid w:val="009F39C7"/>
    <w:rsid w:val="009F6D25"/>
    <w:rsid w:val="00A013AA"/>
    <w:rsid w:val="00A32422"/>
    <w:rsid w:val="00A3418E"/>
    <w:rsid w:val="00A407D1"/>
    <w:rsid w:val="00A65167"/>
    <w:rsid w:val="00A65801"/>
    <w:rsid w:val="00A72CB8"/>
    <w:rsid w:val="00A77118"/>
    <w:rsid w:val="00A8799B"/>
    <w:rsid w:val="00A97E66"/>
    <w:rsid w:val="00AA1759"/>
    <w:rsid w:val="00AA3003"/>
    <w:rsid w:val="00AB0395"/>
    <w:rsid w:val="00AC139B"/>
    <w:rsid w:val="00AC4897"/>
    <w:rsid w:val="00AD7784"/>
    <w:rsid w:val="00AF15A9"/>
    <w:rsid w:val="00B0409B"/>
    <w:rsid w:val="00B21656"/>
    <w:rsid w:val="00B24563"/>
    <w:rsid w:val="00B32A2D"/>
    <w:rsid w:val="00B635BA"/>
    <w:rsid w:val="00B76A9E"/>
    <w:rsid w:val="00B919A9"/>
    <w:rsid w:val="00B97B61"/>
    <w:rsid w:val="00BB02C2"/>
    <w:rsid w:val="00BB2497"/>
    <w:rsid w:val="00BB372B"/>
    <w:rsid w:val="00C067F3"/>
    <w:rsid w:val="00C15174"/>
    <w:rsid w:val="00C17D9A"/>
    <w:rsid w:val="00C4155A"/>
    <w:rsid w:val="00C45F21"/>
    <w:rsid w:val="00C47518"/>
    <w:rsid w:val="00C47647"/>
    <w:rsid w:val="00C519BC"/>
    <w:rsid w:val="00C55E43"/>
    <w:rsid w:val="00C5670D"/>
    <w:rsid w:val="00C605BD"/>
    <w:rsid w:val="00C61DC5"/>
    <w:rsid w:val="00C62423"/>
    <w:rsid w:val="00C65726"/>
    <w:rsid w:val="00C67AC3"/>
    <w:rsid w:val="00C955CC"/>
    <w:rsid w:val="00CA6F46"/>
    <w:rsid w:val="00CB3117"/>
    <w:rsid w:val="00CD72ED"/>
    <w:rsid w:val="00CE1862"/>
    <w:rsid w:val="00CE37ED"/>
    <w:rsid w:val="00CE7E70"/>
    <w:rsid w:val="00D16906"/>
    <w:rsid w:val="00D4613F"/>
    <w:rsid w:val="00D5318C"/>
    <w:rsid w:val="00D554FC"/>
    <w:rsid w:val="00D55BE0"/>
    <w:rsid w:val="00D81E3D"/>
    <w:rsid w:val="00D949F7"/>
    <w:rsid w:val="00D9529B"/>
    <w:rsid w:val="00DA057C"/>
    <w:rsid w:val="00DA16BE"/>
    <w:rsid w:val="00DA531C"/>
    <w:rsid w:val="00DA673F"/>
    <w:rsid w:val="00DB13AB"/>
    <w:rsid w:val="00DB2FC5"/>
    <w:rsid w:val="00DD3EFD"/>
    <w:rsid w:val="00DE344D"/>
    <w:rsid w:val="00DE619D"/>
    <w:rsid w:val="00E0542F"/>
    <w:rsid w:val="00E272BF"/>
    <w:rsid w:val="00E339F2"/>
    <w:rsid w:val="00E41574"/>
    <w:rsid w:val="00E456DF"/>
    <w:rsid w:val="00E60B12"/>
    <w:rsid w:val="00E774D0"/>
    <w:rsid w:val="00E8388E"/>
    <w:rsid w:val="00E85CD6"/>
    <w:rsid w:val="00EA5F52"/>
    <w:rsid w:val="00EB563F"/>
    <w:rsid w:val="00EB7DD0"/>
    <w:rsid w:val="00EC1979"/>
    <w:rsid w:val="00EC282F"/>
    <w:rsid w:val="00EC6748"/>
    <w:rsid w:val="00ED7C8E"/>
    <w:rsid w:val="00EE0C1B"/>
    <w:rsid w:val="00EE2DBA"/>
    <w:rsid w:val="00EE2E07"/>
    <w:rsid w:val="00EE66B1"/>
    <w:rsid w:val="00EF3B2C"/>
    <w:rsid w:val="00EF6F01"/>
    <w:rsid w:val="00EF7B17"/>
    <w:rsid w:val="00F0364D"/>
    <w:rsid w:val="00F06CB4"/>
    <w:rsid w:val="00F16C5D"/>
    <w:rsid w:val="00F453E0"/>
    <w:rsid w:val="00F51A83"/>
    <w:rsid w:val="00F627E2"/>
    <w:rsid w:val="00F81C9E"/>
    <w:rsid w:val="00F820FC"/>
    <w:rsid w:val="00F91E1F"/>
    <w:rsid w:val="00FA08FE"/>
    <w:rsid w:val="00FA4B13"/>
    <w:rsid w:val="00FA4ECF"/>
    <w:rsid w:val="00FB0DF5"/>
    <w:rsid w:val="00FB61FC"/>
    <w:rsid w:val="00FC09FF"/>
    <w:rsid w:val="00FC1406"/>
    <w:rsid w:val="00FE4057"/>
    <w:rsid w:val="00FF5D03"/>
    <w:rsid w:val="039F0425"/>
    <w:rsid w:val="05334394"/>
    <w:rsid w:val="0795206E"/>
    <w:rsid w:val="084B2FB1"/>
    <w:rsid w:val="099776C0"/>
    <w:rsid w:val="0B2F3613"/>
    <w:rsid w:val="0CD6544D"/>
    <w:rsid w:val="193A7ED2"/>
    <w:rsid w:val="1B2A039D"/>
    <w:rsid w:val="1B911093"/>
    <w:rsid w:val="1E977CE5"/>
    <w:rsid w:val="200177EF"/>
    <w:rsid w:val="30B2086F"/>
    <w:rsid w:val="331113EC"/>
    <w:rsid w:val="33CF715E"/>
    <w:rsid w:val="39B70FA1"/>
    <w:rsid w:val="3C027AC9"/>
    <w:rsid w:val="4092587D"/>
    <w:rsid w:val="43744D36"/>
    <w:rsid w:val="4B135B7B"/>
    <w:rsid w:val="4BBC5A22"/>
    <w:rsid w:val="501131CA"/>
    <w:rsid w:val="520B2EE7"/>
    <w:rsid w:val="55EB486D"/>
    <w:rsid w:val="57211A21"/>
    <w:rsid w:val="5B6A2AC6"/>
    <w:rsid w:val="61E426D9"/>
    <w:rsid w:val="6604456C"/>
    <w:rsid w:val="67C20FCB"/>
    <w:rsid w:val="7034023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FD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27FDD"/>
    <w:pPr>
      <w:ind w:leftChars="2500" w:left="100"/>
    </w:pPr>
    <w:rPr>
      <w:kern w:val="0"/>
    </w:rPr>
  </w:style>
  <w:style w:type="character" w:customStyle="1" w:styleId="DateChar">
    <w:name w:val="Date Char"/>
    <w:basedOn w:val="DefaultParagraphFont"/>
    <w:link w:val="Date"/>
    <w:uiPriority w:val="99"/>
    <w:semiHidden/>
    <w:locked/>
    <w:rsid w:val="00827FDD"/>
    <w:rPr>
      <w:rFonts w:cs="Times New Roman"/>
      <w:sz w:val="21"/>
    </w:rPr>
  </w:style>
  <w:style w:type="paragraph" w:styleId="BalloonText">
    <w:name w:val="Balloon Text"/>
    <w:basedOn w:val="Normal"/>
    <w:link w:val="BalloonTextChar"/>
    <w:uiPriority w:val="99"/>
    <w:semiHidden/>
    <w:rsid w:val="00827FDD"/>
    <w:rPr>
      <w:sz w:val="18"/>
      <w:szCs w:val="18"/>
    </w:rPr>
  </w:style>
  <w:style w:type="character" w:customStyle="1" w:styleId="BalloonTextChar">
    <w:name w:val="Balloon Text Char"/>
    <w:basedOn w:val="DefaultParagraphFont"/>
    <w:link w:val="BalloonText"/>
    <w:uiPriority w:val="99"/>
    <w:locked/>
    <w:rsid w:val="00827FDD"/>
    <w:rPr>
      <w:rFonts w:cs="Times New Roman"/>
      <w:kern w:val="2"/>
      <w:sz w:val="18"/>
    </w:rPr>
  </w:style>
  <w:style w:type="paragraph" w:styleId="Footer">
    <w:name w:val="footer"/>
    <w:basedOn w:val="Normal"/>
    <w:link w:val="FooterChar"/>
    <w:uiPriority w:val="99"/>
    <w:rsid w:val="00827FD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27FDD"/>
    <w:rPr>
      <w:rFonts w:cs="Times New Roman"/>
      <w:kern w:val="2"/>
      <w:sz w:val="18"/>
    </w:rPr>
  </w:style>
  <w:style w:type="paragraph" w:styleId="Header">
    <w:name w:val="header"/>
    <w:basedOn w:val="Normal"/>
    <w:link w:val="HeaderChar"/>
    <w:uiPriority w:val="99"/>
    <w:rsid w:val="00827FD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27FDD"/>
    <w:rPr>
      <w:rFonts w:cs="Times New Roman"/>
      <w:kern w:val="2"/>
      <w:sz w:val="18"/>
    </w:rPr>
  </w:style>
  <w:style w:type="character" w:styleId="PageNumber">
    <w:name w:val="page number"/>
    <w:basedOn w:val="DefaultParagraphFont"/>
    <w:uiPriority w:val="99"/>
    <w:rsid w:val="00827FDD"/>
    <w:rPr>
      <w:rFonts w:cs="Times New Roman"/>
    </w:rPr>
  </w:style>
  <w:style w:type="table" w:styleId="TableGrid">
    <w:name w:val="Table Grid"/>
    <w:basedOn w:val="TableNormal"/>
    <w:uiPriority w:val="99"/>
    <w:rsid w:val="00827FD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8</Pages>
  <Words>513</Words>
  <Characters>2926</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71</cp:revision>
  <cp:lastPrinted>2018-12-14T10:11:00Z</cp:lastPrinted>
  <dcterms:created xsi:type="dcterms:W3CDTF">2016-08-02T09:43:00Z</dcterms:created>
  <dcterms:modified xsi:type="dcterms:W3CDTF">2019-01-05T18:51:00Z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