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F2" w:rsidRDefault="00722CF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22CF2" w:rsidRDefault="00722CF2">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年塔什库尔干县瓦恰乡人民政府部门决算公开说明</w:t>
      </w:r>
    </w:p>
    <w:p w:rsidR="00722CF2" w:rsidRDefault="00722CF2">
      <w:pPr>
        <w:spacing w:line="560" w:lineRule="exact"/>
        <w:jc w:val="center"/>
        <w:rPr>
          <w:rFonts w:ascii="仿宋_GB2312" w:eastAsia="仿宋_GB2312" w:hAnsi="仿宋_GB2312" w:cs="仿宋_GB2312"/>
          <w:bCs/>
          <w:sz w:val="32"/>
          <w:szCs w:val="32"/>
        </w:rPr>
      </w:pPr>
    </w:p>
    <w:p w:rsidR="00722CF2" w:rsidRDefault="00722CF2" w:rsidP="00287CDC">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722CF2" w:rsidRDefault="00722CF2" w:rsidP="00287CD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塔什库尔干县瓦恰乡人民政府单位性质为行政单位全额拨款，执行会计制度为行政会计制度。独立编制机构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个，独立编制机构与上年无变动，变动原因：无变动。</w:t>
      </w:r>
    </w:p>
    <w:p w:rsidR="00722CF2" w:rsidRDefault="00722CF2" w:rsidP="00287CDC">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主要职能：</w:t>
      </w:r>
    </w:p>
    <w:p w:rsidR="00722CF2" w:rsidRDefault="00722CF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、贯彻执行工作方面的法律法规规章和政策，执行政策法规，将方针政策和法律法规落实到农村的基层，惠及农牧民群众。</w:t>
      </w:r>
    </w:p>
    <w:p w:rsidR="00722CF2" w:rsidRDefault="00722CF2" w:rsidP="00287CD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、推动经济发展，要着力创新管理体制和方法，提高依法管理社会的能力。</w:t>
      </w:r>
    </w:p>
    <w:p w:rsidR="00722CF2" w:rsidRDefault="00722CF2" w:rsidP="00287CD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、强化公共服务，改变过去的工作格局，把管理和服务统一起来。</w:t>
      </w:r>
    </w:p>
    <w:p w:rsidR="00722CF2" w:rsidRDefault="00722CF2" w:rsidP="00287CD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39</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39</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39</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仿宋_GB2312" w:cs="仿宋_GB2312" w:hint="eastAsia"/>
          <w:sz w:val="32"/>
          <w:szCs w:val="32"/>
        </w:rPr>
        <w:t>塔什库尔干县瓦恰乡</w:t>
      </w:r>
      <w:r>
        <w:rPr>
          <w:rFonts w:ascii="仿宋_GB2312" w:eastAsia="仿宋_GB2312" w:cs="仿宋_GB2312" w:hint="eastAsia"/>
          <w:sz w:val="32"/>
          <w:szCs w:val="32"/>
        </w:rPr>
        <w:t>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10"/>
        <w:gridCol w:w="6042"/>
        <w:gridCol w:w="1270"/>
      </w:tblGrid>
      <w:tr w:rsidR="00722CF2">
        <w:tc>
          <w:tcPr>
            <w:tcW w:w="1210" w:type="dxa"/>
          </w:tcPr>
          <w:p w:rsidR="00722CF2" w:rsidRDefault="00722CF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042" w:type="dxa"/>
          </w:tcPr>
          <w:p w:rsidR="00722CF2" w:rsidRDefault="00722CF2" w:rsidP="00287CDC">
            <w:pPr>
              <w:spacing w:line="560" w:lineRule="exact"/>
              <w:ind w:firstLineChars="400" w:firstLine="1280"/>
              <w:rPr>
                <w:rFonts w:ascii="仿宋_GB2312" w:eastAsia="仿宋_GB2312"/>
                <w:sz w:val="32"/>
                <w:szCs w:val="32"/>
              </w:rPr>
            </w:pPr>
            <w:r>
              <w:rPr>
                <w:rFonts w:ascii="仿宋_GB2312" w:eastAsia="仿宋_GB2312" w:cs="仿宋_GB2312" w:hint="eastAsia"/>
                <w:sz w:val="32"/>
                <w:szCs w:val="32"/>
              </w:rPr>
              <w:t>单位名称</w:t>
            </w:r>
          </w:p>
        </w:tc>
        <w:tc>
          <w:tcPr>
            <w:tcW w:w="1270" w:type="dxa"/>
          </w:tcPr>
          <w:p w:rsidR="00722CF2" w:rsidRDefault="00722CF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722CF2">
        <w:tc>
          <w:tcPr>
            <w:tcW w:w="1210" w:type="dxa"/>
          </w:tcPr>
          <w:p w:rsidR="00722CF2" w:rsidRDefault="00722CF2">
            <w:pPr>
              <w:spacing w:line="560" w:lineRule="exact"/>
              <w:rPr>
                <w:rFonts w:ascii="仿宋_GB2312" w:eastAsia="仿宋_GB2312"/>
                <w:sz w:val="32"/>
                <w:szCs w:val="32"/>
              </w:rPr>
            </w:pPr>
            <w:r>
              <w:rPr>
                <w:rFonts w:ascii="仿宋_GB2312" w:eastAsia="仿宋_GB2312"/>
                <w:sz w:val="32"/>
                <w:szCs w:val="32"/>
              </w:rPr>
              <w:t>1</w:t>
            </w:r>
          </w:p>
        </w:tc>
        <w:tc>
          <w:tcPr>
            <w:tcW w:w="6042" w:type="dxa"/>
          </w:tcPr>
          <w:p w:rsidR="00722CF2" w:rsidRDefault="00722CF2">
            <w:pPr>
              <w:spacing w:line="560" w:lineRule="exact"/>
              <w:rPr>
                <w:rFonts w:ascii="仿宋_GB2312" w:eastAsia="仿宋_GB2312"/>
                <w:sz w:val="32"/>
                <w:szCs w:val="32"/>
              </w:rPr>
            </w:pPr>
            <w:r>
              <w:rPr>
                <w:rFonts w:ascii="仿宋_GB2312" w:eastAsia="仿宋_GB2312" w:hAnsi="仿宋_GB2312" w:cs="仿宋_GB2312" w:hint="eastAsia"/>
                <w:sz w:val="32"/>
                <w:szCs w:val="32"/>
              </w:rPr>
              <w:t>塔什库尔干县瓦恰乡人民政府</w:t>
            </w:r>
          </w:p>
        </w:tc>
        <w:tc>
          <w:tcPr>
            <w:tcW w:w="1270" w:type="dxa"/>
          </w:tcPr>
          <w:p w:rsidR="00722CF2" w:rsidRDefault="00722CF2">
            <w:pPr>
              <w:spacing w:line="560" w:lineRule="exact"/>
              <w:rPr>
                <w:rFonts w:ascii="仿宋_GB2312" w:eastAsia="仿宋_GB2312"/>
                <w:sz w:val="32"/>
                <w:szCs w:val="32"/>
              </w:rPr>
            </w:pPr>
          </w:p>
        </w:tc>
      </w:tr>
      <w:tr w:rsidR="00722CF2">
        <w:tc>
          <w:tcPr>
            <w:tcW w:w="1210" w:type="dxa"/>
          </w:tcPr>
          <w:p w:rsidR="00722CF2" w:rsidRDefault="00722CF2">
            <w:pPr>
              <w:spacing w:line="560" w:lineRule="exact"/>
              <w:rPr>
                <w:rFonts w:ascii="仿宋_GB2312" w:eastAsia="仿宋_GB2312"/>
                <w:sz w:val="32"/>
                <w:szCs w:val="32"/>
              </w:rPr>
            </w:pPr>
            <w:r>
              <w:rPr>
                <w:rFonts w:ascii="仿宋_GB2312" w:eastAsia="仿宋_GB2312"/>
                <w:sz w:val="32"/>
                <w:szCs w:val="32"/>
              </w:rPr>
              <w:t>2</w:t>
            </w:r>
          </w:p>
        </w:tc>
        <w:tc>
          <w:tcPr>
            <w:tcW w:w="6042" w:type="dxa"/>
          </w:tcPr>
          <w:p w:rsidR="00722CF2" w:rsidRDefault="00722CF2">
            <w:pPr>
              <w:spacing w:line="560" w:lineRule="exact"/>
              <w:rPr>
                <w:rFonts w:ascii="仿宋_GB2312" w:eastAsia="仿宋_GB2312"/>
                <w:sz w:val="32"/>
                <w:szCs w:val="32"/>
              </w:rPr>
            </w:pPr>
            <w:r>
              <w:rPr>
                <w:rFonts w:ascii="仿宋_GB2312" w:eastAsia="仿宋_GB2312" w:hint="eastAsia"/>
                <w:sz w:val="32"/>
                <w:szCs w:val="32"/>
              </w:rPr>
              <w:t>塔什库尔干县瓦恰乡农经站</w:t>
            </w:r>
          </w:p>
        </w:tc>
        <w:tc>
          <w:tcPr>
            <w:tcW w:w="1270" w:type="dxa"/>
          </w:tcPr>
          <w:p w:rsidR="00722CF2" w:rsidRDefault="00722CF2">
            <w:pPr>
              <w:spacing w:line="560" w:lineRule="exact"/>
              <w:rPr>
                <w:rFonts w:ascii="仿宋_GB2312" w:eastAsia="仿宋_GB2312"/>
                <w:sz w:val="32"/>
                <w:szCs w:val="32"/>
              </w:rPr>
            </w:pPr>
          </w:p>
        </w:tc>
      </w:tr>
      <w:tr w:rsidR="00722CF2">
        <w:tc>
          <w:tcPr>
            <w:tcW w:w="1210" w:type="dxa"/>
          </w:tcPr>
          <w:p w:rsidR="00722CF2" w:rsidRDefault="00722CF2">
            <w:pPr>
              <w:spacing w:line="560" w:lineRule="exact"/>
              <w:rPr>
                <w:rFonts w:ascii="仿宋_GB2312" w:eastAsia="仿宋_GB2312"/>
                <w:sz w:val="32"/>
                <w:szCs w:val="32"/>
              </w:rPr>
            </w:pPr>
            <w:r>
              <w:rPr>
                <w:rFonts w:ascii="仿宋_GB2312" w:eastAsia="仿宋_GB2312"/>
                <w:sz w:val="32"/>
                <w:szCs w:val="32"/>
              </w:rPr>
              <w:t>3</w:t>
            </w:r>
          </w:p>
        </w:tc>
        <w:tc>
          <w:tcPr>
            <w:tcW w:w="6042" w:type="dxa"/>
          </w:tcPr>
          <w:p w:rsidR="00722CF2" w:rsidRDefault="00722CF2">
            <w:pPr>
              <w:spacing w:line="560" w:lineRule="exact"/>
              <w:rPr>
                <w:rFonts w:ascii="仿宋_GB2312" w:eastAsia="仿宋_GB2312"/>
                <w:sz w:val="32"/>
                <w:szCs w:val="32"/>
              </w:rPr>
            </w:pPr>
            <w:r>
              <w:rPr>
                <w:rFonts w:ascii="仿宋_GB2312" w:eastAsia="仿宋_GB2312" w:hint="eastAsia"/>
                <w:sz w:val="32"/>
                <w:szCs w:val="32"/>
              </w:rPr>
              <w:t>塔什库尔干县瓦恰乡畜牧站</w:t>
            </w:r>
          </w:p>
        </w:tc>
        <w:tc>
          <w:tcPr>
            <w:tcW w:w="1270" w:type="dxa"/>
          </w:tcPr>
          <w:p w:rsidR="00722CF2" w:rsidRDefault="00722CF2">
            <w:pPr>
              <w:spacing w:line="560" w:lineRule="exact"/>
              <w:rPr>
                <w:rFonts w:ascii="仿宋_GB2312" w:eastAsia="仿宋_GB2312"/>
                <w:sz w:val="32"/>
                <w:szCs w:val="32"/>
              </w:rPr>
            </w:pPr>
          </w:p>
        </w:tc>
      </w:tr>
    </w:tbl>
    <w:p w:rsidR="00722CF2" w:rsidRDefault="00722CF2" w:rsidP="00AC7B06">
      <w:pPr>
        <w:snapToGrid w:val="0"/>
        <w:spacing w:line="560" w:lineRule="exact"/>
        <w:ind w:firstLineChars="200" w:firstLine="643"/>
        <w:rPr>
          <w:rFonts w:ascii="仿宋_GB2312" w:eastAsia="仿宋_GB2312" w:hAnsi="宋体"/>
          <w:b/>
          <w:bCs/>
          <w:sz w:val="32"/>
          <w:szCs w:val="32"/>
        </w:rPr>
      </w:pPr>
      <w:bookmarkStart w:id="0" w:name="YS060102"/>
    </w:p>
    <w:p w:rsidR="00722CF2" w:rsidRDefault="00722CF2" w:rsidP="00287CD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仿宋_GB2312" w:cs="仿宋_GB2312" w:hint="eastAsia"/>
          <w:b/>
          <w:bCs/>
          <w:sz w:val="32"/>
          <w:szCs w:val="32"/>
        </w:rPr>
        <w:t>塔什库尔干县瓦恰乡</w:t>
      </w:r>
      <w:r>
        <w:rPr>
          <w:rFonts w:ascii="仿宋_GB2312" w:eastAsia="仿宋_GB2312" w:hAnsi="宋体" w:cs="仿宋_GB2312" w:hint="eastAsia"/>
          <w:b/>
          <w:bCs/>
          <w:sz w:val="32"/>
          <w:szCs w:val="32"/>
        </w:rPr>
        <w:t>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722CF2" w:rsidRDefault="00722CF2">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22CF2" w:rsidRDefault="00722CF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22CF2" w:rsidRDefault="00722CF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22CF2" w:rsidRDefault="00722CF2" w:rsidP="00287CDC">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22CF2" w:rsidRDefault="00722CF2" w:rsidP="00287C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22CF2" w:rsidRDefault="00722CF2" w:rsidP="00287C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22CF2" w:rsidRDefault="00722CF2" w:rsidP="00287C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22CF2" w:rsidRDefault="00722CF2" w:rsidP="00287C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22CF2" w:rsidRDefault="00722CF2" w:rsidP="00287C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22CF2" w:rsidRDefault="00722CF2" w:rsidP="00287CD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仿宋_GB2312" w:cs="仿宋_GB2312" w:hint="eastAsia"/>
          <w:b/>
          <w:bCs/>
          <w:sz w:val="32"/>
          <w:szCs w:val="32"/>
        </w:rPr>
        <w:t>塔什库尔干县瓦恰乡</w:t>
      </w:r>
      <w:r>
        <w:rPr>
          <w:rFonts w:ascii="仿宋_GB2312" w:eastAsia="仿宋_GB2312" w:hAnsi="宋体" w:cs="仿宋_GB2312" w:hint="eastAsia"/>
          <w:b/>
          <w:bCs/>
          <w:sz w:val="32"/>
          <w:szCs w:val="32"/>
        </w:rPr>
        <w:t>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722CF2" w:rsidRDefault="00722CF2" w:rsidP="00287CD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722CF2" w:rsidRDefault="00722CF2" w:rsidP="00AC7B0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15949595.31</w:t>
      </w:r>
      <w:r>
        <w:rPr>
          <w:rFonts w:ascii="仿宋_GB2312" w:eastAsia="仿宋_GB2312" w:hAnsi="宋体" w:cs="仿宋_GB2312" w:hint="eastAsia"/>
          <w:sz w:val="32"/>
          <w:szCs w:val="32"/>
        </w:rPr>
        <w:t>，支出合计</w:t>
      </w:r>
      <w:r>
        <w:rPr>
          <w:rFonts w:ascii="仿宋_GB2312" w:eastAsia="仿宋_GB2312" w:hAnsi="宋体" w:cs="仿宋_GB2312"/>
          <w:sz w:val="32"/>
          <w:szCs w:val="32"/>
        </w:rPr>
        <w:t>16084675.31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8273852.81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7810822.5</w:t>
      </w:r>
      <w:r>
        <w:rPr>
          <w:rFonts w:ascii="仿宋_GB2312" w:eastAsia="仿宋_GB2312" w:hAnsi="宋体" w:cs="仿宋_GB2312" w:hint="eastAsia"/>
          <w:sz w:val="32"/>
          <w:szCs w:val="32"/>
        </w:rPr>
        <w:t>元。</w:t>
      </w:r>
    </w:p>
    <w:bookmarkEnd w:id="0"/>
    <w:p w:rsidR="00722CF2" w:rsidRDefault="00722CF2">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722CF2" w:rsidRDefault="00722CF2" w:rsidP="00287CD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15949595.31</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15949595.31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22CF2" w:rsidRDefault="00722CF2" w:rsidP="00287CD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16084675.31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8273852.81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7810822.5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四、年末结转结余情况说明</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元，主要为无变化，项目支出结转结余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元，主要为无变化）。</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五、“三公”经费、会议费和培训费支出情况说明</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8400</w:t>
      </w:r>
      <w:r>
        <w:rPr>
          <w:rFonts w:ascii="仿宋_GB2312" w:eastAsia="仿宋_GB2312" w:hAnsi="宋体" w:cs="仿宋_GB2312" w:hint="eastAsia"/>
          <w:sz w:val="32"/>
          <w:szCs w:val="32"/>
        </w:rPr>
        <w:t>元，主要是：乡镇人员在县域地区参加各类培训的费用。</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六、预算执行情况说明</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15949595.31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5463242.7</w:t>
      </w:r>
      <w:r>
        <w:rPr>
          <w:rFonts w:ascii="仿宋_GB2312" w:eastAsia="仿宋_GB2312" w:hAnsi="宋体" w:cs="仿宋_GB2312" w:hint="eastAsia"/>
          <w:sz w:val="32"/>
          <w:szCs w:val="32"/>
        </w:rPr>
        <w:t>元，增加原因：人员增加，项目增加。</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16084675.31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5733402.7</w:t>
      </w:r>
      <w:r>
        <w:rPr>
          <w:rFonts w:ascii="仿宋_GB2312" w:eastAsia="仿宋_GB2312" w:hAnsi="宋体" w:cs="仿宋_GB2312" w:hint="eastAsia"/>
          <w:sz w:val="32"/>
          <w:szCs w:val="32"/>
        </w:rPr>
        <w:t>元，增加原因：人员增加，项目增加。</w:t>
      </w:r>
    </w:p>
    <w:p w:rsidR="00722CF2" w:rsidRDefault="00722CF2" w:rsidP="00287C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16084675.31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4626697.96</w:t>
      </w:r>
      <w:r>
        <w:rPr>
          <w:rFonts w:ascii="仿宋_GB2312" w:eastAsia="仿宋_GB2312" w:hAnsi="宋体" w:cs="仿宋_GB2312" w:hint="eastAsia"/>
          <w:sz w:val="32"/>
          <w:szCs w:val="32"/>
        </w:rPr>
        <w:t>元，差异原因：增加固定资产，新增人员，增加项目。</w:t>
      </w:r>
    </w:p>
    <w:p w:rsidR="00722CF2" w:rsidRDefault="00722CF2">
      <w:pPr>
        <w:snapToGrid w:val="0"/>
        <w:spacing w:line="560" w:lineRule="exact"/>
        <w:rPr>
          <w:rFonts w:ascii="仿宋_GB2312" w:eastAsia="仿宋_GB2312"/>
          <w:sz w:val="32"/>
          <w:szCs w:val="32"/>
        </w:rPr>
      </w:pPr>
      <w:r>
        <w:rPr>
          <w:rFonts w:ascii="仿宋_GB2312" w:eastAsia="仿宋_GB2312" w:cs="仿宋_GB2312" w:hint="eastAsia"/>
          <w:sz w:val="32"/>
          <w:szCs w:val="32"/>
        </w:rPr>
        <w:t>七、决算公开其他重要事项情况说明</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仿宋_GB2312" w:cs="仿宋_GB2312" w:hint="eastAsia"/>
          <w:sz w:val="32"/>
          <w:szCs w:val="32"/>
        </w:rPr>
        <w:t>塔什库尔干县瓦恰乡</w:t>
      </w:r>
      <w:r>
        <w:rPr>
          <w:rFonts w:ascii="仿宋_GB2312" w:eastAsia="仿宋_GB2312" w:cs="仿宋_GB2312" w:hint="eastAsia"/>
          <w:sz w:val="32"/>
          <w:szCs w:val="32"/>
        </w:rPr>
        <w:t>人民政府机关运行经费支出</w:t>
      </w:r>
      <w:r>
        <w:rPr>
          <w:rFonts w:ascii="仿宋_GB2312" w:eastAsia="仿宋_GB2312" w:cs="仿宋_GB2312"/>
          <w:sz w:val="32"/>
          <w:szCs w:val="32"/>
        </w:rPr>
        <w:t>682725.7</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216161</w:t>
      </w:r>
      <w:r>
        <w:rPr>
          <w:rFonts w:ascii="仿宋_GB2312" w:eastAsia="仿宋_GB2312" w:cs="仿宋_GB2312" w:hint="eastAsia"/>
          <w:sz w:val="32"/>
          <w:szCs w:val="32"/>
        </w:rPr>
        <w:t>元，增长</w:t>
      </w:r>
      <w:r>
        <w:rPr>
          <w:rFonts w:ascii="仿宋_GB2312" w:eastAsia="仿宋_GB2312" w:cs="仿宋_GB2312"/>
          <w:sz w:val="32"/>
          <w:szCs w:val="32"/>
        </w:rPr>
        <w:t>46.33%</w:t>
      </w:r>
      <w:r>
        <w:rPr>
          <w:rFonts w:ascii="仿宋_GB2312" w:eastAsia="仿宋_GB2312" w:cs="仿宋_GB2312" w:hint="eastAsia"/>
          <w:sz w:val="32"/>
          <w:szCs w:val="32"/>
        </w:rPr>
        <w:t>，主要原因是：增加人员，</w:t>
      </w:r>
      <w:r>
        <w:rPr>
          <w:rFonts w:ascii="仿宋_GB2312" w:eastAsia="仿宋_GB2312" w:hAnsi="宋体" w:cs="仿宋_GB2312" w:hint="eastAsia"/>
          <w:sz w:val="32"/>
          <w:szCs w:val="32"/>
        </w:rPr>
        <w:t>增加办公费，取暖费</w:t>
      </w:r>
      <w:bookmarkStart w:id="1" w:name="_GoBack"/>
      <w:bookmarkEnd w:id="1"/>
      <w:r>
        <w:rPr>
          <w:rFonts w:ascii="仿宋_GB2312" w:eastAsia="仿宋_GB2312" w:hAnsi="宋体" w:cs="仿宋_GB2312" w:hint="eastAsia"/>
          <w:sz w:val="32"/>
          <w:szCs w:val="32"/>
        </w:rPr>
        <w:t>支出。</w:t>
      </w:r>
    </w:p>
    <w:p w:rsidR="00722CF2" w:rsidRDefault="00722CF2">
      <w:pPr>
        <w:spacing w:line="560" w:lineRule="exact"/>
        <w:rPr>
          <w:rFonts w:ascii="仿宋_GB2312" w:eastAsia="仿宋_GB2312"/>
          <w:sz w:val="32"/>
          <w:szCs w:val="32"/>
        </w:rPr>
      </w:pPr>
      <w:r>
        <w:rPr>
          <w:rFonts w:ascii="仿宋_GB2312" w:eastAsia="仿宋_GB2312" w:cs="仿宋_GB2312" w:hint="eastAsia"/>
          <w:sz w:val="32"/>
          <w:szCs w:val="32"/>
        </w:rPr>
        <w:t>（二）政府采购支出情况</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仿宋_GB2312" w:cs="仿宋_GB2312" w:hint="eastAsia"/>
          <w:sz w:val="32"/>
          <w:szCs w:val="32"/>
        </w:rPr>
        <w:t>塔什库尔干塔吉克自治县瓦恰乡</w:t>
      </w:r>
      <w:r>
        <w:rPr>
          <w:rFonts w:ascii="仿宋_GB2312" w:eastAsia="仿宋_GB2312" w:cs="仿宋_GB2312" w:hint="eastAsia"/>
          <w:sz w:val="32"/>
          <w:szCs w:val="32"/>
        </w:rPr>
        <w:t>人民政府政府采购支出总额</w:t>
      </w:r>
      <w:r>
        <w:rPr>
          <w:rFonts w:ascii="仿宋_GB2312" w:eastAsia="仿宋_GB2312" w:cs="仿宋_GB2312"/>
          <w:sz w:val="32"/>
          <w:szCs w:val="32"/>
        </w:rPr>
        <w:t>105060.17</w:t>
      </w:r>
      <w:r>
        <w:rPr>
          <w:rFonts w:ascii="仿宋_GB2312" w:eastAsia="仿宋_GB2312" w:cs="仿宋_GB2312" w:hint="eastAsia"/>
          <w:sz w:val="32"/>
          <w:szCs w:val="32"/>
        </w:rPr>
        <w:t>元，其中政府采购货物支出</w:t>
      </w:r>
      <w:r>
        <w:rPr>
          <w:rFonts w:ascii="仿宋_GB2312" w:eastAsia="仿宋_GB2312" w:cs="仿宋_GB2312"/>
          <w:sz w:val="32"/>
          <w:szCs w:val="32"/>
        </w:rPr>
        <w:t>99600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5460.17</w:t>
      </w:r>
      <w:r>
        <w:rPr>
          <w:rFonts w:ascii="仿宋_GB2312" w:eastAsia="仿宋_GB2312" w:cs="仿宋_GB2312" w:hint="eastAsia"/>
          <w:sz w:val="32"/>
          <w:szCs w:val="32"/>
        </w:rPr>
        <w:t>元。喀什地区为偏远地区，参与招投标的供应商基本为中小微企业。</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722CF2" w:rsidRDefault="00722CF2" w:rsidP="00287CDC">
      <w:pPr>
        <w:numPr>
          <w:ilvl w:val="0"/>
          <w:numId w:val="4"/>
        </w:num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民生项目、重点支出项目绩效评价结果</w:t>
      </w:r>
    </w:p>
    <w:p w:rsidR="00722CF2" w:rsidRDefault="00722CF2">
      <w:pPr>
        <w:spacing w:line="560" w:lineRule="exact"/>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仿宋_GB2312" w:cs="仿宋_GB2312" w:hint="eastAsia"/>
          <w:sz w:val="32"/>
          <w:szCs w:val="32"/>
        </w:rPr>
        <w:t>塔什库尔干县瓦恰乡</w:t>
      </w:r>
      <w:r>
        <w:rPr>
          <w:rFonts w:ascii="仿宋_GB2312" w:eastAsia="仿宋_GB2312" w:cs="仿宋_GB2312" w:hint="eastAsia"/>
          <w:sz w:val="32"/>
          <w:szCs w:val="32"/>
        </w:rPr>
        <w:t>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hAnsi="宋体" w:cs="仿宋_GB2312"/>
          <w:sz w:val="32"/>
          <w:szCs w:val="32"/>
        </w:rPr>
        <w:t>0</w:t>
      </w:r>
      <w:r>
        <w:rPr>
          <w:rFonts w:ascii="仿宋_GB2312" w:eastAsia="仿宋_GB2312" w:cs="仿宋_GB2312" w:hint="eastAsia"/>
          <w:sz w:val="32"/>
          <w:szCs w:val="32"/>
        </w:rPr>
        <w:t>元。绩效评价结果：</w:t>
      </w:r>
      <w:r>
        <w:rPr>
          <w:rFonts w:ascii="仿宋_GB2312" w:eastAsia="仿宋_GB2312" w:hint="eastAsia"/>
          <w:sz w:val="32"/>
          <w:szCs w:val="32"/>
        </w:rPr>
        <w:t>无</w:t>
      </w:r>
      <w:r>
        <w:rPr>
          <w:rFonts w:ascii="仿宋_GB2312" w:eastAsia="仿宋_GB2312" w:cs="仿宋_GB2312" w:hint="eastAsia"/>
          <w:sz w:val="32"/>
          <w:szCs w:val="32"/>
        </w:rPr>
        <w:t>。</w:t>
      </w:r>
    </w:p>
    <w:p w:rsidR="00722CF2" w:rsidRDefault="00722CF2">
      <w:pPr>
        <w:spacing w:line="560" w:lineRule="exact"/>
        <w:rPr>
          <w:rFonts w:ascii="仿宋_GB2312" w:eastAsia="仿宋_GB2312" w:cs="仿宋_GB2312"/>
          <w:sz w:val="32"/>
          <w:szCs w:val="32"/>
        </w:rPr>
      </w:pPr>
      <w:r>
        <w:rPr>
          <w:rFonts w:ascii="仿宋_GB2312" w:eastAsia="仿宋_GB2312" w:cs="仿宋_GB2312" w:hint="eastAsia"/>
          <w:sz w:val="32"/>
          <w:szCs w:val="32"/>
        </w:rPr>
        <w:t>（五）事业收入明细、经营收入明细</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22CF2" w:rsidRDefault="00722CF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722CF2" w:rsidRDefault="00722CF2" w:rsidP="00287C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22CF2" w:rsidRDefault="00722CF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722CF2" w:rsidRDefault="00722CF2" w:rsidP="00287C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22CF2" w:rsidRDefault="00722CF2" w:rsidP="00AC7B0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722CF2" w:rsidSect="004F0CE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CF2" w:rsidRDefault="00722CF2" w:rsidP="004F0CE6">
      <w:r>
        <w:separator/>
      </w:r>
    </w:p>
  </w:endnote>
  <w:endnote w:type="continuationSeparator" w:id="0">
    <w:p w:rsidR="00722CF2" w:rsidRDefault="00722CF2" w:rsidP="004F0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22CF2" w:rsidRDefault="00722CF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CF2" w:rsidRDefault="00722CF2" w:rsidP="004F0CE6">
      <w:r>
        <w:separator/>
      </w:r>
    </w:p>
  </w:footnote>
  <w:footnote w:type="continuationSeparator" w:id="0">
    <w:p w:rsidR="00722CF2" w:rsidRDefault="00722CF2" w:rsidP="004F0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rsidP="00F24A9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CF2" w:rsidRDefault="00722C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AE74391"/>
    <w:multiLevelType w:val="singleLevel"/>
    <w:tmpl w:val="5AE74391"/>
    <w:lvl w:ilvl="0">
      <w:start w:val="1"/>
      <w:numFmt w:val="chineseCounting"/>
      <w:suff w:val="nothing"/>
      <w:lvlText w:val="%1、"/>
      <w:lvlJc w:val="left"/>
      <w:rPr>
        <w:rFonts w:cs="Times New Roman"/>
      </w:rPr>
    </w:lvl>
  </w:abstractNum>
  <w:abstractNum w:abstractNumId="3">
    <w:nsid w:val="5C11DD31"/>
    <w:multiLevelType w:val="singleLevel"/>
    <w:tmpl w:val="5C11DD31"/>
    <w:lvl w:ilvl="0">
      <w:start w:val="4"/>
      <w:numFmt w:val="chineseCounting"/>
      <w:suff w:val="nothing"/>
      <w:lvlText w:val="（%1）"/>
      <w:lvlJc w:val="left"/>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52AF4"/>
    <w:rsid w:val="00157817"/>
    <w:rsid w:val="00170582"/>
    <w:rsid w:val="001870FE"/>
    <w:rsid w:val="001943AB"/>
    <w:rsid w:val="001C2702"/>
    <w:rsid w:val="001D09C9"/>
    <w:rsid w:val="001E185C"/>
    <w:rsid w:val="001E4658"/>
    <w:rsid w:val="001E7C6A"/>
    <w:rsid w:val="001F2B9D"/>
    <w:rsid w:val="001F33C0"/>
    <w:rsid w:val="001F6EF5"/>
    <w:rsid w:val="0020099B"/>
    <w:rsid w:val="00205C3B"/>
    <w:rsid w:val="00225160"/>
    <w:rsid w:val="00242FE4"/>
    <w:rsid w:val="00262C89"/>
    <w:rsid w:val="00265B72"/>
    <w:rsid w:val="002743C3"/>
    <w:rsid w:val="002821AD"/>
    <w:rsid w:val="00287A2E"/>
    <w:rsid w:val="00287CDC"/>
    <w:rsid w:val="002B5B38"/>
    <w:rsid w:val="002C37F3"/>
    <w:rsid w:val="002C677C"/>
    <w:rsid w:val="002C740B"/>
    <w:rsid w:val="002D02F4"/>
    <w:rsid w:val="00303B2E"/>
    <w:rsid w:val="003158E9"/>
    <w:rsid w:val="00333969"/>
    <w:rsid w:val="003472C5"/>
    <w:rsid w:val="00347996"/>
    <w:rsid w:val="00350B5B"/>
    <w:rsid w:val="003632BC"/>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28B1"/>
    <w:rsid w:val="004B6AAB"/>
    <w:rsid w:val="004D2787"/>
    <w:rsid w:val="004D48D7"/>
    <w:rsid w:val="004D6F93"/>
    <w:rsid w:val="004F0CE6"/>
    <w:rsid w:val="0050291C"/>
    <w:rsid w:val="005272D8"/>
    <w:rsid w:val="00532879"/>
    <w:rsid w:val="00552B99"/>
    <w:rsid w:val="00565025"/>
    <w:rsid w:val="00575FC1"/>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B48EC"/>
    <w:rsid w:val="006C6493"/>
    <w:rsid w:val="006D4B96"/>
    <w:rsid w:val="006F1159"/>
    <w:rsid w:val="006F13E9"/>
    <w:rsid w:val="006F3090"/>
    <w:rsid w:val="006F7FA8"/>
    <w:rsid w:val="00710EE8"/>
    <w:rsid w:val="007226FB"/>
    <w:rsid w:val="00722CF2"/>
    <w:rsid w:val="007505C5"/>
    <w:rsid w:val="00774810"/>
    <w:rsid w:val="00782159"/>
    <w:rsid w:val="00793D15"/>
    <w:rsid w:val="007978CD"/>
    <w:rsid w:val="007A2BDC"/>
    <w:rsid w:val="007B3665"/>
    <w:rsid w:val="007D75E2"/>
    <w:rsid w:val="007F238C"/>
    <w:rsid w:val="008012F4"/>
    <w:rsid w:val="008104D1"/>
    <w:rsid w:val="00815033"/>
    <w:rsid w:val="00835CA5"/>
    <w:rsid w:val="00842279"/>
    <w:rsid w:val="00844D3A"/>
    <w:rsid w:val="00847706"/>
    <w:rsid w:val="00850823"/>
    <w:rsid w:val="00854186"/>
    <w:rsid w:val="008664F8"/>
    <w:rsid w:val="00877032"/>
    <w:rsid w:val="00880D0D"/>
    <w:rsid w:val="008872A2"/>
    <w:rsid w:val="00895A64"/>
    <w:rsid w:val="008A0DC9"/>
    <w:rsid w:val="008B02AA"/>
    <w:rsid w:val="008C05F8"/>
    <w:rsid w:val="008C5ABD"/>
    <w:rsid w:val="008D28A9"/>
    <w:rsid w:val="008E26A2"/>
    <w:rsid w:val="008F5C7E"/>
    <w:rsid w:val="009078E5"/>
    <w:rsid w:val="00910498"/>
    <w:rsid w:val="00912ADD"/>
    <w:rsid w:val="00921F8C"/>
    <w:rsid w:val="00954B4B"/>
    <w:rsid w:val="00986E5F"/>
    <w:rsid w:val="009A7D21"/>
    <w:rsid w:val="009C453B"/>
    <w:rsid w:val="009C7F6B"/>
    <w:rsid w:val="009D1905"/>
    <w:rsid w:val="009F1B75"/>
    <w:rsid w:val="009F39C7"/>
    <w:rsid w:val="009F6D25"/>
    <w:rsid w:val="00A013AA"/>
    <w:rsid w:val="00A32422"/>
    <w:rsid w:val="00A3418E"/>
    <w:rsid w:val="00A407D1"/>
    <w:rsid w:val="00A60CF8"/>
    <w:rsid w:val="00A65801"/>
    <w:rsid w:val="00A97E66"/>
    <w:rsid w:val="00AA1759"/>
    <w:rsid w:val="00AA3003"/>
    <w:rsid w:val="00AC139B"/>
    <w:rsid w:val="00AC4897"/>
    <w:rsid w:val="00AC7B06"/>
    <w:rsid w:val="00AD7784"/>
    <w:rsid w:val="00B0409B"/>
    <w:rsid w:val="00B21656"/>
    <w:rsid w:val="00B233B0"/>
    <w:rsid w:val="00B24563"/>
    <w:rsid w:val="00B635BA"/>
    <w:rsid w:val="00B919A9"/>
    <w:rsid w:val="00BA4E14"/>
    <w:rsid w:val="00BB02C2"/>
    <w:rsid w:val="00BB2497"/>
    <w:rsid w:val="00BB372B"/>
    <w:rsid w:val="00BE10BF"/>
    <w:rsid w:val="00C15174"/>
    <w:rsid w:val="00C17D9A"/>
    <w:rsid w:val="00C4155A"/>
    <w:rsid w:val="00C45F21"/>
    <w:rsid w:val="00C519BC"/>
    <w:rsid w:val="00C55E43"/>
    <w:rsid w:val="00C605BD"/>
    <w:rsid w:val="00C61DC5"/>
    <w:rsid w:val="00C62423"/>
    <w:rsid w:val="00C955CC"/>
    <w:rsid w:val="00CA6F46"/>
    <w:rsid w:val="00CB3117"/>
    <w:rsid w:val="00CE1862"/>
    <w:rsid w:val="00CE37ED"/>
    <w:rsid w:val="00CE7E70"/>
    <w:rsid w:val="00D16906"/>
    <w:rsid w:val="00D4613F"/>
    <w:rsid w:val="00D5318C"/>
    <w:rsid w:val="00D554FC"/>
    <w:rsid w:val="00D81E3D"/>
    <w:rsid w:val="00D949F7"/>
    <w:rsid w:val="00DA057C"/>
    <w:rsid w:val="00DA16BE"/>
    <w:rsid w:val="00DB13AB"/>
    <w:rsid w:val="00DB2FC5"/>
    <w:rsid w:val="00DE344D"/>
    <w:rsid w:val="00DE619D"/>
    <w:rsid w:val="00E339F2"/>
    <w:rsid w:val="00E774D0"/>
    <w:rsid w:val="00E8388E"/>
    <w:rsid w:val="00E91A17"/>
    <w:rsid w:val="00EA5F52"/>
    <w:rsid w:val="00EB563F"/>
    <w:rsid w:val="00EB7DD0"/>
    <w:rsid w:val="00EC0D69"/>
    <w:rsid w:val="00EC1979"/>
    <w:rsid w:val="00EC282F"/>
    <w:rsid w:val="00ED7C8E"/>
    <w:rsid w:val="00EE2DBA"/>
    <w:rsid w:val="00EE2E07"/>
    <w:rsid w:val="00EE66B1"/>
    <w:rsid w:val="00EF3B2C"/>
    <w:rsid w:val="00EF7B17"/>
    <w:rsid w:val="00F0364D"/>
    <w:rsid w:val="00F06CB4"/>
    <w:rsid w:val="00F16C5D"/>
    <w:rsid w:val="00F24A9E"/>
    <w:rsid w:val="00F453E0"/>
    <w:rsid w:val="00F51A83"/>
    <w:rsid w:val="00F627E2"/>
    <w:rsid w:val="00F63A04"/>
    <w:rsid w:val="00F81C9E"/>
    <w:rsid w:val="00F820FC"/>
    <w:rsid w:val="00F91E1F"/>
    <w:rsid w:val="00FA08FE"/>
    <w:rsid w:val="00FB0DF5"/>
    <w:rsid w:val="00FB61FC"/>
    <w:rsid w:val="00FC1406"/>
    <w:rsid w:val="00FE4057"/>
    <w:rsid w:val="00FF5D03"/>
    <w:rsid w:val="07957D4B"/>
    <w:rsid w:val="0C2565A7"/>
    <w:rsid w:val="0D633148"/>
    <w:rsid w:val="104B1FDB"/>
    <w:rsid w:val="11521DBA"/>
    <w:rsid w:val="129056B8"/>
    <w:rsid w:val="16B01A1D"/>
    <w:rsid w:val="17986340"/>
    <w:rsid w:val="1D9115E3"/>
    <w:rsid w:val="1E397452"/>
    <w:rsid w:val="1F1C1FED"/>
    <w:rsid w:val="24CF4722"/>
    <w:rsid w:val="277E5702"/>
    <w:rsid w:val="2BF0264B"/>
    <w:rsid w:val="42E30EDC"/>
    <w:rsid w:val="43A830DF"/>
    <w:rsid w:val="44EE2970"/>
    <w:rsid w:val="459F4C71"/>
    <w:rsid w:val="4DBC2843"/>
    <w:rsid w:val="4EE3185D"/>
    <w:rsid w:val="4F9D1E5F"/>
    <w:rsid w:val="50B94C45"/>
    <w:rsid w:val="512D1278"/>
    <w:rsid w:val="529A5553"/>
    <w:rsid w:val="53970466"/>
    <w:rsid w:val="57AC54DD"/>
    <w:rsid w:val="588304FE"/>
    <w:rsid w:val="5C6B5642"/>
    <w:rsid w:val="5EC200B9"/>
    <w:rsid w:val="63C67A6B"/>
    <w:rsid w:val="685519FB"/>
    <w:rsid w:val="6C0343C1"/>
    <w:rsid w:val="6F6E5186"/>
    <w:rsid w:val="6FC66B10"/>
    <w:rsid w:val="72BE38B1"/>
    <w:rsid w:val="77F04C72"/>
    <w:rsid w:val="7F52233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CE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F0CE6"/>
    <w:pPr>
      <w:ind w:leftChars="2500" w:left="100"/>
    </w:pPr>
    <w:rPr>
      <w:kern w:val="0"/>
    </w:rPr>
  </w:style>
  <w:style w:type="character" w:customStyle="1" w:styleId="DateChar">
    <w:name w:val="Date Char"/>
    <w:basedOn w:val="DefaultParagraphFont"/>
    <w:link w:val="Date"/>
    <w:uiPriority w:val="99"/>
    <w:semiHidden/>
    <w:locked/>
    <w:rsid w:val="004F0CE6"/>
    <w:rPr>
      <w:rFonts w:cs="Times New Roman"/>
      <w:sz w:val="21"/>
    </w:rPr>
  </w:style>
  <w:style w:type="paragraph" w:styleId="BalloonText">
    <w:name w:val="Balloon Text"/>
    <w:basedOn w:val="Normal"/>
    <w:link w:val="BalloonTextChar"/>
    <w:uiPriority w:val="99"/>
    <w:semiHidden/>
    <w:rsid w:val="004F0CE6"/>
    <w:rPr>
      <w:sz w:val="18"/>
      <w:szCs w:val="18"/>
    </w:rPr>
  </w:style>
  <w:style w:type="character" w:customStyle="1" w:styleId="BalloonTextChar">
    <w:name w:val="Balloon Text Char"/>
    <w:basedOn w:val="DefaultParagraphFont"/>
    <w:link w:val="BalloonText"/>
    <w:uiPriority w:val="99"/>
    <w:locked/>
    <w:rsid w:val="004F0CE6"/>
    <w:rPr>
      <w:rFonts w:cs="Times New Roman"/>
      <w:kern w:val="2"/>
      <w:sz w:val="18"/>
    </w:rPr>
  </w:style>
  <w:style w:type="paragraph" w:styleId="Footer">
    <w:name w:val="footer"/>
    <w:basedOn w:val="Normal"/>
    <w:link w:val="FooterChar"/>
    <w:uiPriority w:val="99"/>
    <w:rsid w:val="004F0CE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F0CE6"/>
    <w:rPr>
      <w:rFonts w:cs="Times New Roman"/>
      <w:kern w:val="2"/>
      <w:sz w:val="18"/>
    </w:rPr>
  </w:style>
  <w:style w:type="paragraph" w:styleId="Header">
    <w:name w:val="header"/>
    <w:basedOn w:val="Normal"/>
    <w:link w:val="HeaderChar"/>
    <w:uiPriority w:val="99"/>
    <w:rsid w:val="004F0C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F0CE6"/>
    <w:rPr>
      <w:rFonts w:cs="Times New Roman"/>
      <w:kern w:val="2"/>
      <w:sz w:val="18"/>
    </w:rPr>
  </w:style>
  <w:style w:type="character" w:styleId="PageNumber">
    <w:name w:val="page number"/>
    <w:basedOn w:val="DefaultParagraphFont"/>
    <w:uiPriority w:val="99"/>
    <w:rsid w:val="004F0CE6"/>
    <w:rPr>
      <w:rFonts w:cs="Times New Roman"/>
    </w:rPr>
  </w:style>
  <w:style w:type="table" w:styleId="TableGrid">
    <w:name w:val="Table Grid"/>
    <w:basedOn w:val="TableNormal"/>
    <w:uiPriority w:val="99"/>
    <w:rsid w:val="004F0CE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472</Words>
  <Characters>2697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33</cp:revision>
  <cp:lastPrinted>2017-07-26T08:20:00Z</cp:lastPrinted>
  <dcterms:created xsi:type="dcterms:W3CDTF">2016-08-02T09:43:00Z</dcterms:created>
  <dcterms:modified xsi:type="dcterms:W3CDTF">2019-01-06T15:42:00Z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