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Relationships xmlns="http://schemas.openxmlformats.org/package/2006/relationships">
<Relationship Id="rId1" Target="word/document.xml" Type="http://schemas.openxmlformats.org/officeDocument/2006/relationships/officeDocument"/>
<Relationship Id="rId2" Target="docProps/core.xml" Type="http://schemas.openxmlformats.org/package/2006/relationships/metadata/core-properties"/>
<Relationship Id="rId3" Target="docProps/app.xml" Type="http://schemas.openxmlformats.org/officeDocument/2006/relationships/extended-properties"/>
<Relationship Id="rId4" Target="docProps/custom.xml" Type="http://schemas.openxmlformats.org/officeDocument/2006/relationships/custom-properties"/>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05F9FF" w14:textId="77777777" w:rsidR="001D59F7" w:rsidRDefault="001D59F7">
      <w:pPr>
        <w:spacing w:line="570" w:lineRule="exact"/>
        <w:jc w:val="center"/>
        <w:rPr>
          <w:rFonts w:ascii="华文中宋" w:eastAsia="华文中宋" w:hAnsi="华文中宋" w:cs="宋体"/>
          <w:b/>
          <w:kern w:val="0"/>
          <w:sz w:val="52"/>
          <w:szCs w:val="52"/>
        </w:rPr>
      </w:pPr>
    </w:p>
    <w:p w14:paraId="46549FB3" w14:textId="77777777" w:rsidR="001D59F7" w:rsidRDefault="001D59F7">
      <w:pPr>
        <w:spacing w:line="570" w:lineRule="exact"/>
        <w:jc w:val="center"/>
        <w:rPr>
          <w:rFonts w:ascii="华文中宋" w:eastAsia="华文中宋" w:hAnsi="华文中宋" w:cs="宋体"/>
          <w:b/>
          <w:kern w:val="0"/>
          <w:sz w:val="52"/>
          <w:szCs w:val="52"/>
        </w:rPr>
      </w:pPr>
    </w:p>
    <w:p w14:paraId="377F7DCE" w14:textId="77777777" w:rsidR="001D59F7" w:rsidRDefault="001D59F7">
      <w:pPr>
        <w:spacing w:line="570" w:lineRule="exact"/>
        <w:jc w:val="center"/>
        <w:rPr>
          <w:rFonts w:ascii="华文中宋" w:eastAsia="华文中宋" w:hAnsi="华文中宋" w:cs="宋体"/>
          <w:b/>
          <w:kern w:val="0"/>
          <w:sz w:val="52"/>
          <w:szCs w:val="52"/>
        </w:rPr>
      </w:pPr>
    </w:p>
    <w:p w14:paraId="310A1144" w14:textId="77777777" w:rsidR="001D59F7" w:rsidRDefault="001D59F7">
      <w:pPr>
        <w:spacing w:line="570" w:lineRule="exact"/>
        <w:jc w:val="center"/>
        <w:rPr>
          <w:rFonts w:ascii="华文中宋" w:eastAsia="华文中宋" w:hAnsi="华文中宋" w:cs="宋体"/>
          <w:b/>
          <w:kern w:val="0"/>
          <w:sz w:val="52"/>
          <w:szCs w:val="52"/>
        </w:rPr>
      </w:pPr>
    </w:p>
    <w:p w14:paraId="6A4537D7" w14:textId="77777777" w:rsidR="001D59F7" w:rsidRDefault="001D59F7">
      <w:pPr>
        <w:spacing w:line="570" w:lineRule="exact"/>
        <w:rPr>
          <w:rFonts w:ascii="华文中宋" w:eastAsia="华文中宋" w:hAnsi="华文中宋" w:cs="宋体"/>
          <w:b/>
          <w:kern w:val="0"/>
          <w:sz w:val="52"/>
          <w:szCs w:val="52"/>
        </w:rPr>
      </w:pPr>
    </w:p>
    <w:p w14:paraId="7C7C20A6" w14:textId="77777777" w:rsidR="001D59F7" w:rsidRDefault="001D59F7">
      <w:pPr>
        <w:spacing w:line="570" w:lineRule="exact"/>
        <w:jc w:val="center"/>
        <w:rPr>
          <w:rFonts w:ascii="华文中宋" w:eastAsia="华文中宋" w:hAnsi="华文中宋" w:cs="宋体"/>
          <w:b/>
          <w:kern w:val="0"/>
          <w:sz w:val="52"/>
          <w:szCs w:val="52"/>
        </w:rPr>
      </w:pPr>
    </w:p>
    <w:p w14:paraId="40FD6F93" w14:textId="20C65D18" w:rsidR="001D59F7" w:rsidRDefault="00000000">
      <w:pPr>
        <w:spacing w:line="570" w:lineRule="exact"/>
        <w:jc w:val="center"/>
        <w:rPr>
          <w:rFonts w:ascii="方正小标宋_GBK" w:eastAsia="方正小标宋_GBK" w:hAnsi="华文中宋" w:cs="宋体"/>
          <w:b/>
          <w:kern w:val="0"/>
          <w:sz w:val="44"/>
          <w:szCs w:val="44"/>
        </w:rPr>
      </w:pPr>
      <w:r>
        <w:rPr>
          <w:rFonts w:ascii="方正小标宋_GBK" w:eastAsia="方正小标宋_GBK" w:hAnsi="华文中宋" w:cs="宋体" w:hint="eastAsia"/>
          <w:b/>
          <w:kern w:val="0"/>
          <w:sz w:val="44"/>
          <w:szCs w:val="44"/>
        </w:rPr>
        <w:t xml:space="preserve"> </w:t>
      </w:r>
      <w:r w:rsidR="00D74CBE">
        <w:rPr>
          <w:rFonts w:ascii="方正小标宋_GBK" w:eastAsia="方正小标宋_GBK" w:hAnsi="华文中宋" w:cs="宋体" w:hint="eastAsia"/>
          <w:b/>
          <w:kern w:val="0"/>
          <w:sz w:val="44"/>
          <w:szCs w:val="44"/>
        </w:rPr>
        <w:t>部门单位项目支出绩效评价报告</w:t>
      </w:r>
    </w:p>
    <w:p w14:paraId="55AE2A33" w14:textId="77777777" w:rsidR="001D59F7" w:rsidRDefault="001D59F7">
      <w:pPr>
        <w:spacing w:line="570" w:lineRule="exact"/>
        <w:jc w:val="center"/>
        <w:rPr>
          <w:rFonts w:ascii="华文中宋" w:eastAsia="华文中宋" w:hAnsi="华文中宋" w:cs="宋体"/>
          <w:b/>
          <w:kern w:val="0"/>
          <w:sz w:val="52"/>
          <w:szCs w:val="52"/>
        </w:rPr>
      </w:pPr>
    </w:p>
    <w:p w14:paraId="1595D187" w14:textId="77777777" w:rsidR="001D59F7" w:rsidRDefault="00000000">
      <w:pPr>
        <w:spacing w:line="570" w:lineRule="exact"/>
        <w:jc w:val="center"/>
        <w:rPr>
          <w:rFonts w:eastAsia="仿宋_GB2312" w:hAnsi="宋体" w:cs="宋体"/>
          <w:kern w:val="0"/>
          <w:sz w:val="36"/>
          <w:szCs w:val="36"/>
        </w:rPr>
      </w:pPr>
      <w:r>
        <w:rPr>
          <w:rFonts w:eastAsia="仿宋_GB2312" w:hAnsi="宋体" w:cs="宋体" w:hint="eastAsia"/>
          <w:kern w:val="0"/>
          <w:sz w:val="36"/>
          <w:szCs w:val="36"/>
        </w:rPr>
        <w:t>（</w:t>
      </w:r>
      <w:r>
        <w:rPr>
          <w:rFonts w:eastAsia="仿宋_GB2312" w:hAnsi="宋体" w:cs="宋体" w:hint="eastAsia"/>
          <w:kern w:val="0"/>
          <w:sz w:val="36"/>
          <w:szCs w:val="36"/>
        </w:rPr>
        <w:t xml:space="preserve">  </w:t>
      </w:r>
      <w:r>
        <w:rPr>
          <w:rStyle w:val="ad"/>
          <w:rFonts w:ascii="仿宋_GB2312" w:eastAsia="仿宋_GB2312" w:hAnsi="楷体" w:hint="eastAsia"/>
          <w:spacing w:val="-4"/>
          <w:sz w:val="32"/>
          <w:szCs w:val="32"/>
        </w:rPr>
        <w:t>2022</w:t>
      </w:r>
      <w:r>
        <w:rPr>
          <w:rFonts w:ascii="方正仿宋_GBK" w:eastAsia="方正仿宋_GBK" w:hAnsi="宋体" w:cs="宋体" w:hint="eastAsia"/>
          <w:kern w:val="0"/>
          <w:sz w:val="36"/>
          <w:szCs w:val="36"/>
        </w:rPr>
        <w:t xml:space="preserve"> </w:t>
      </w:r>
      <w:r>
        <w:rPr>
          <w:rFonts w:eastAsia="仿宋_GB2312" w:hAnsi="宋体" w:cs="宋体" w:hint="eastAsia"/>
          <w:kern w:val="0"/>
          <w:sz w:val="36"/>
          <w:szCs w:val="36"/>
        </w:rPr>
        <w:t xml:space="preserve"> </w:t>
      </w:r>
      <w:r>
        <w:rPr>
          <w:rFonts w:eastAsia="仿宋_GB2312" w:hAnsi="宋体" w:cs="宋体" w:hint="eastAsia"/>
          <w:kern w:val="0"/>
          <w:sz w:val="36"/>
          <w:szCs w:val="36"/>
        </w:rPr>
        <w:t>年度）</w:t>
      </w:r>
    </w:p>
    <w:p w14:paraId="2F93EA35" w14:textId="77777777" w:rsidR="001D59F7" w:rsidRDefault="001D59F7">
      <w:pPr>
        <w:spacing w:line="570" w:lineRule="exact"/>
        <w:jc w:val="center"/>
        <w:rPr>
          <w:rFonts w:eastAsia="仿宋_GB2312" w:hAnsi="宋体" w:cs="宋体"/>
          <w:kern w:val="0"/>
          <w:sz w:val="30"/>
          <w:szCs w:val="30"/>
        </w:rPr>
      </w:pPr>
    </w:p>
    <w:p w14:paraId="588CB5A4" w14:textId="77777777" w:rsidR="001D59F7" w:rsidRDefault="001D59F7">
      <w:pPr>
        <w:spacing w:line="570" w:lineRule="exact"/>
        <w:jc w:val="center"/>
        <w:rPr>
          <w:rFonts w:eastAsia="仿宋_GB2312" w:hAnsi="宋体" w:cs="宋体"/>
          <w:kern w:val="0"/>
          <w:sz w:val="30"/>
          <w:szCs w:val="30"/>
        </w:rPr>
      </w:pPr>
    </w:p>
    <w:p w14:paraId="29212BDF" w14:textId="77777777" w:rsidR="001D59F7" w:rsidRDefault="001D59F7">
      <w:pPr>
        <w:spacing w:line="570" w:lineRule="exact"/>
        <w:jc w:val="center"/>
        <w:rPr>
          <w:rFonts w:eastAsia="仿宋_GB2312" w:hAnsi="宋体" w:cs="宋体"/>
          <w:kern w:val="0"/>
          <w:sz w:val="30"/>
          <w:szCs w:val="30"/>
        </w:rPr>
      </w:pPr>
    </w:p>
    <w:p w14:paraId="789CD4F0" w14:textId="77777777" w:rsidR="001D59F7" w:rsidRDefault="001D59F7">
      <w:pPr>
        <w:spacing w:line="570" w:lineRule="exact"/>
        <w:jc w:val="center"/>
        <w:rPr>
          <w:rFonts w:eastAsia="仿宋_GB2312" w:hAnsi="宋体" w:cs="宋体"/>
          <w:kern w:val="0"/>
          <w:sz w:val="30"/>
          <w:szCs w:val="30"/>
        </w:rPr>
      </w:pPr>
    </w:p>
    <w:p w14:paraId="33A1ED9B" w14:textId="77777777" w:rsidR="001D59F7" w:rsidRDefault="001D59F7">
      <w:pPr>
        <w:spacing w:line="570" w:lineRule="exact"/>
        <w:jc w:val="center"/>
        <w:rPr>
          <w:rFonts w:eastAsia="仿宋_GB2312" w:hAnsi="宋体" w:cs="宋体"/>
          <w:kern w:val="0"/>
          <w:sz w:val="30"/>
          <w:szCs w:val="30"/>
        </w:rPr>
      </w:pPr>
    </w:p>
    <w:p w14:paraId="662514DE" w14:textId="77777777" w:rsidR="001D59F7" w:rsidRDefault="001D59F7">
      <w:pPr>
        <w:spacing w:line="570" w:lineRule="exact"/>
        <w:jc w:val="center"/>
        <w:rPr>
          <w:rFonts w:eastAsia="仿宋_GB2312" w:hAnsi="宋体" w:cs="宋体"/>
          <w:kern w:val="0"/>
          <w:sz w:val="30"/>
          <w:szCs w:val="30"/>
        </w:rPr>
      </w:pPr>
    </w:p>
    <w:p w14:paraId="379E8661" w14:textId="77777777" w:rsidR="001D59F7" w:rsidRDefault="00000000">
      <w:pPr>
        <w:spacing w:line="700" w:lineRule="exact"/>
        <w:ind w:firstLineChars="100" w:firstLine="360"/>
        <w:jc w:val="left"/>
        <w:rPr>
          <w:rFonts w:ascii="仿宋" w:eastAsia="仿宋" w:hAnsi="仿宋" w:cs="仿宋"/>
          <w:kern w:val="0"/>
          <w:sz w:val="32"/>
          <w:szCs w:val="32"/>
        </w:rPr>
      </w:pPr>
      <w:r>
        <w:rPr>
          <w:rFonts w:ascii="仿宋" w:eastAsia="仿宋" w:hAnsi="仿宋" w:cs="仿宋" w:hint="eastAsia"/>
          <w:kern w:val="0"/>
          <w:sz w:val="36"/>
          <w:szCs w:val="36"/>
        </w:rPr>
        <w:t>项目名称：</w:t>
      </w:r>
      <w:r>
        <w:rPr>
          <w:rStyle w:val="ad"/>
          <w:rFonts w:ascii="仿宋" w:eastAsia="仿宋" w:hAnsi="仿宋" w:cs="仿宋" w:hint="eastAsia"/>
          <w:b w:val="0"/>
          <w:bCs w:val="0"/>
          <w:spacing w:val="-4"/>
          <w:sz w:val="32"/>
          <w:szCs w:val="32"/>
        </w:rPr>
        <w:t>塔什库尔干镇拆迁资金项目</w:t>
      </w:r>
    </w:p>
    <w:p w14:paraId="57960922" w14:textId="77777777" w:rsidR="001D59F7" w:rsidRDefault="00000000">
      <w:pPr>
        <w:spacing w:line="570" w:lineRule="exact"/>
        <w:ind w:firstLineChars="100" w:firstLine="360"/>
        <w:jc w:val="left"/>
        <w:rPr>
          <w:rFonts w:ascii="仿宋" w:eastAsia="仿宋" w:hAnsi="仿宋" w:cs="仿宋"/>
          <w:kern w:val="0"/>
          <w:sz w:val="32"/>
          <w:szCs w:val="32"/>
        </w:rPr>
      </w:pPr>
      <w:r>
        <w:rPr>
          <w:rFonts w:ascii="仿宋" w:eastAsia="仿宋" w:hAnsi="仿宋" w:cs="仿宋" w:hint="eastAsia"/>
          <w:kern w:val="0"/>
          <w:sz w:val="36"/>
          <w:szCs w:val="36"/>
        </w:rPr>
        <w:t>实施单位（公章）：</w:t>
      </w:r>
      <w:r>
        <w:rPr>
          <w:rStyle w:val="ad"/>
          <w:rFonts w:ascii="仿宋" w:eastAsia="仿宋" w:hAnsi="仿宋" w:cs="仿宋" w:hint="eastAsia"/>
          <w:b w:val="0"/>
          <w:bCs w:val="0"/>
          <w:spacing w:val="-4"/>
          <w:sz w:val="32"/>
          <w:szCs w:val="32"/>
        </w:rPr>
        <w:t>塔什库尔干塔吉克自治县塔什库尔干镇人民政府(本级)</w:t>
      </w:r>
    </w:p>
    <w:p w14:paraId="31E94BA6" w14:textId="77777777" w:rsidR="001D59F7" w:rsidRDefault="00000000">
      <w:pPr>
        <w:spacing w:line="540" w:lineRule="exact"/>
        <w:ind w:firstLineChars="100" w:firstLine="360"/>
        <w:rPr>
          <w:rFonts w:ascii="仿宋" w:eastAsia="仿宋" w:hAnsi="仿宋" w:cs="仿宋"/>
          <w:spacing w:val="-4"/>
          <w:sz w:val="32"/>
          <w:szCs w:val="32"/>
        </w:rPr>
      </w:pPr>
      <w:r>
        <w:rPr>
          <w:rFonts w:ascii="仿宋" w:eastAsia="仿宋" w:hAnsi="仿宋" w:cs="仿宋" w:hint="eastAsia"/>
          <w:kern w:val="0"/>
          <w:sz w:val="36"/>
          <w:szCs w:val="36"/>
        </w:rPr>
        <w:t>主管部门（公章）：</w:t>
      </w:r>
      <w:r>
        <w:rPr>
          <w:rStyle w:val="ad"/>
          <w:rFonts w:ascii="仿宋" w:eastAsia="仿宋" w:hAnsi="仿宋" w:cs="仿宋" w:hint="eastAsia"/>
          <w:b w:val="0"/>
          <w:bCs w:val="0"/>
          <w:spacing w:val="-4"/>
          <w:sz w:val="32"/>
          <w:szCs w:val="32"/>
        </w:rPr>
        <w:t>塔什库尔干镇人民政府</w:t>
      </w:r>
    </w:p>
    <w:p w14:paraId="5E07E12A" w14:textId="77777777" w:rsidR="001D59F7" w:rsidRDefault="00000000">
      <w:pPr>
        <w:spacing w:line="570" w:lineRule="exact"/>
        <w:ind w:firstLineChars="100" w:firstLine="360"/>
        <w:rPr>
          <w:rFonts w:ascii="仿宋" w:eastAsia="仿宋" w:hAnsi="仿宋" w:cs="仿宋"/>
          <w:spacing w:val="-4"/>
          <w:sz w:val="32"/>
          <w:szCs w:val="32"/>
        </w:rPr>
      </w:pPr>
      <w:r>
        <w:rPr>
          <w:rFonts w:ascii="仿宋" w:eastAsia="仿宋" w:hAnsi="仿宋" w:cs="仿宋" w:hint="eastAsia"/>
          <w:kern w:val="0"/>
          <w:sz w:val="36"/>
          <w:szCs w:val="36"/>
        </w:rPr>
        <w:t>项目负责人（签章）：</w:t>
      </w:r>
      <w:r>
        <w:rPr>
          <w:rStyle w:val="ad"/>
          <w:rFonts w:ascii="仿宋" w:eastAsia="仿宋" w:hAnsi="仿宋" w:cs="仿宋" w:hint="eastAsia"/>
          <w:b w:val="0"/>
          <w:bCs w:val="0"/>
          <w:spacing w:val="-4"/>
          <w:sz w:val="32"/>
          <w:szCs w:val="32"/>
        </w:rPr>
        <w:t>张士俊</w:t>
      </w:r>
    </w:p>
    <w:p w14:paraId="6F55FB7F" w14:textId="77777777" w:rsidR="001D59F7" w:rsidRDefault="00000000">
      <w:pPr>
        <w:spacing w:line="540" w:lineRule="exact"/>
        <w:ind w:firstLineChars="100" w:firstLine="360"/>
        <w:rPr>
          <w:rStyle w:val="ad"/>
          <w:rFonts w:ascii="仿宋" w:eastAsia="仿宋" w:hAnsi="仿宋" w:cs="仿宋"/>
          <w:b w:val="0"/>
          <w:bCs w:val="0"/>
          <w:spacing w:val="-4"/>
          <w:sz w:val="32"/>
          <w:szCs w:val="32"/>
        </w:rPr>
      </w:pPr>
      <w:r>
        <w:rPr>
          <w:rFonts w:ascii="仿宋" w:eastAsia="仿宋" w:hAnsi="仿宋" w:cs="仿宋" w:hint="eastAsia"/>
          <w:kern w:val="0"/>
          <w:sz w:val="36"/>
          <w:szCs w:val="36"/>
        </w:rPr>
        <w:t>填报时间：</w:t>
      </w:r>
      <w:r>
        <w:rPr>
          <w:rStyle w:val="ad"/>
          <w:rFonts w:ascii="仿宋" w:eastAsia="仿宋" w:hAnsi="仿宋" w:cs="仿宋" w:hint="eastAsia"/>
          <w:b w:val="0"/>
          <w:bCs w:val="0"/>
          <w:spacing w:val="-4"/>
          <w:sz w:val="32"/>
          <w:szCs w:val="32"/>
        </w:rPr>
        <w:t>2023年03月10日</w:t>
      </w:r>
    </w:p>
    <w:p w14:paraId="509E1EE9" w14:textId="77777777" w:rsidR="001D59F7" w:rsidRDefault="00000000">
      <w:pPr>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br w:type="page"/>
      </w:r>
    </w:p>
    <w:p w14:paraId="5D14C083" w14:textId="77777777" w:rsidR="001D59F7" w:rsidRDefault="00000000">
      <w:pPr>
        <w:spacing w:line="570" w:lineRule="exact"/>
        <w:ind w:firstLineChars="200" w:firstLine="624"/>
        <w:rPr>
          <w:rStyle w:val="ad"/>
          <w:rFonts w:ascii="黑体" w:eastAsia="黑体" w:hAnsi="黑体" w:cs="黑体"/>
          <w:b w:val="0"/>
          <w:spacing w:val="-4"/>
          <w:sz w:val="32"/>
          <w:szCs w:val="32"/>
        </w:rPr>
      </w:pPr>
      <w:r>
        <w:rPr>
          <w:rStyle w:val="ad"/>
          <w:rFonts w:ascii="黑体" w:eastAsia="黑体" w:hAnsi="黑体" w:cs="黑体" w:hint="eastAsia"/>
          <w:b w:val="0"/>
          <w:spacing w:val="-4"/>
          <w:sz w:val="32"/>
          <w:szCs w:val="32"/>
        </w:rPr>
        <w:lastRenderedPageBreak/>
        <w:t>一、基本情况</w:t>
      </w:r>
    </w:p>
    <w:p w14:paraId="002A42B3" w14:textId="77777777" w:rsidR="001D59F7" w:rsidRDefault="00000000">
      <w:pPr>
        <w:spacing w:line="570" w:lineRule="exact"/>
        <w:ind w:firstLineChars="200" w:firstLine="627"/>
        <w:rPr>
          <w:rStyle w:val="ad"/>
          <w:rFonts w:ascii="方正楷体_GBK" w:eastAsia="方正楷体_GBK" w:hAnsi="方正楷体_GBK" w:cs="方正楷体_GBK"/>
          <w:bCs w:val="0"/>
          <w:spacing w:val="-4"/>
          <w:sz w:val="32"/>
          <w:szCs w:val="32"/>
        </w:rPr>
      </w:pPr>
      <w:r>
        <w:rPr>
          <w:rStyle w:val="ad"/>
          <w:rFonts w:ascii="楷体" w:eastAsia="楷体" w:hAnsi="楷体" w:cs="楷体" w:hint="eastAsia"/>
          <w:bCs w:val="0"/>
          <w:spacing w:val="-4"/>
          <w:sz w:val="32"/>
          <w:szCs w:val="32"/>
        </w:rPr>
        <w:t>（一）项目概况。包括项目背景、主要内容及实施情况、资金投入和使用情况等。</w:t>
      </w:r>
    </w:p>
    <w:p w14:paraId="704D9016"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（一）项目概况</w:t>
        <w:br/>
        <w:t>1. 项目背景</w:t>
        <w:br/>
        <w:t>本项目遵循财政部《项目支出绩效评价管理办法》（财预〔2020〕10号）和自治区财政厅《自治区财政支出绩效评价管理暂行办法》（新财预〔2018〕189号）等相关政策文件与规定，用于对塔什库尔干镇机关及各社区2019年第四季度基层工作人员的乡镇基层补贴发放；通过此项目的实施，可以有效推进机关和各社区工作人员的工作积极性，提高日常工作效率。</w:t>
        <w:br/>
        <w:t>2. 主要内容及实施情况</w:t>
        <w:br/>
        <w:t>2022年度塔什库尔干镇拆迁资金根据拆迁合同协议金额对居民补偿的方式进行, 用于对塔什库尔干镇拆迁办开展工作土地拆迁保障；通过此项目的实施，可以有效推进拆迁工作，保障拆迁工作的正常开展。</w:t>
        <w:br/>
        <w:t>3.项目实施主体</w:t>
        <w:br/>
        <w:t>塔什库尔干镇为行政单位，纳入2022年部门决算编制范围的有5个办公室：党建办、党政办、稳定办、城市经济办、纪检办。</w:t>
        <w:br/>
        <w:t>编制人数84人，其中：行政人员编制47人、参公17人、事业编制20人。实有在职人数84人，其中：行政人员编制47人、参公17人、事业编制20人。离退休人员36人，其中：行政退休人员35人、事业退休1人。</w:t>
        <w:br/>
        <w:t>4. 资金投入和使用情况</w:t>
        <w:br/>
        <w:t>2022年度塔什库尔干镇乡镇基层补贴资金项目安排下达资金31.87万元，为一般资金，最终确定项目资金总数为31.87万元。</w:t>
        <w:br/>
        <w:t>截至2022年12月31日，实际支出31.87万元，预算执行率100%。</w:t>
      </w:r>
    </w:p>
    <w:p w14:paraId="6A9D8BA2" w14:textId="77777777" w:rsidR="001D59F7" w:rsidRDefault="00000000">
      <w:pPr>
        <w:spacing w:line="570" w:lineRule="exact"/>
        <w:ind w:firstLineChars="200" w:firstLine="627"/>
        <w:rPr>
          <w:rStyle w:val="ad"/>
          <w:rFonts w:ascii="楷体" w:eastAsia="楷体" w:hAnsi="楷体" w:cs="楷体"/>
          <w:bCs w:val="0"/>
          <w:spacing w:val="-4"/>
          <w:sz w:val="32"/>
          <w:szCs w:val="32"/>
        </w:rPr>
      </w:pPr>
      <w:r>
        <w:rPr>
          <w:rStyle w:val="ad"/>
          <w:rFonts w:ascii="楷体" w:eastAsia="楷体" w:hAnsi="楷体" w:cs="楷体" w:hint="eastAsia"/>
          <w:bCs w:val="0"/>
          <w:spacing w:val="-4"/>
          <w:sz w:val="32"/>
          <w:szCs w:val="32"/>
        </w:rPr>
        <w:t>（二）项目绩效目标。包括总体目标和阶段性目标。</w:t>
      </w:r>
    </w:p>
    <w:p w14:paraId="3902C6CE"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项目绩效目标包括项目绩效总目标和阶段性目标。</w:t>
        <w:br/>
        <w:t>1.项目绩效总目标</w:t>
        <w:br/>
        <w:t>深化开展群众工作，进一步凝聚人心，筑牢党的群众基础，实现塔什库尔干镇拆迁工作保障，土地规划使用规范化、法制化、正规化建设，确保塔什库尔干县塔什库尔干镇社会大局稳定、长期稳定。</w:t>
        <w:br/>
        <w:t>2.阶段性目标</w:t>
        <w:br/>
        <w:t>2022年度塔什库尔干镇拆迁资金项目，按照县委财经委员会报告《关于申请使用塔县古城路西侧、齐热戈旦路北侧房屋、土地征收补偿款的请示报告》文件要求，结合实际，制定《2022年度塔什库尔干镇拆迁资金项目实施方案》。</w:t>
      </w:r>
    </w:p>
    <w:p w14:paraId="3A919777" w14:textId="77777777" w:rsidR="001D59F7" w:rsidRDefault="00000000">
      <w:pPr>
        <w:spacing w:line="570" w:lineRule="exact"/>
        <w:ind w:firstLineChars="200" w:firstLine="624"/>
        <w:rPr>
          <w:rStyle w:val="ad"/>
          <w:rFonts w:ascii="黑体" w:eastAsia="黑体" w:hAnsi="黑体" w:cs="黑体"/>
          <w:b w:val="0"/>
          <w:spacing w:val="-4"/>
          <w:sz w:val="32"/>
          <w:szCs w:val="32"/>
        </w:rPr>
      </w:pPr>
      <w:r>
        <w:rPr>
          <w:rStyle w:val="ad"/>
          <w:rFonts w:ascii="黑体" w:eastAsia="黑体" w:hAnsi="黑体" w:cs="黑体" w:hint="eastAsia"/>
          <w:b w:val="0"/>
          <w:spacing w:val="-4"/>
          <w:sz w:val="32"/>
          <w:szCs w:val="32"/>
        </w:rPr>
        <w:t>二、绩效评价工作开展情况</w:t>
      </w:r>
    </w:p>
    <w:p w14:paraId="7E6C86C5" w14:textId="77777777" w:rsidR="001D59F7" w:rsidRDefault="00000000">
      <w:pPr>
        <w:spacing w:line="570" w:lineRule="exact"/>
        <w:ind w:firstLineChars="200" w:firstLine="627"/>
        <w:rPr>
          <w:rStyle w:val="ad"/>
          <w:rFonts w:ascii="楷体" w:eastAsia="楷体" w:hAnsi="楷体" w:cs="楷体"/>
          <w:bCs w:val="0"/>
          <w:spacing w:val="-4"/>
          <w:sz w:val="32"/>
          <w:szCs w:val="32"/>
        </w:rPr>
      </w:pPr>
      <w:r>
        <w:rPr>
          <w:rStyle w:val="ad"/>
          <w:rFonts w:ascii="楷体" w:eastAsia="楷体" w:hAnsi="楷体" w:cs="楷体" w:hint="eastAsia"/>
          <w:bCs w:val="0"/>
          <w:spacing w:val="-4"/>
          <w:sz w:val="32"/>
          <w:szCs w:val="32"/>
        </w:rPr>
        <w:t>（一）绩效评价目的、对象和范围。</w:t>
      </w:r>
    </w:p>
    <w:p w14:paraId="247B2BE7"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（一）绩效评价目的、对象和范围</w:t>
        <w:br/>
        <w:t>1. 绩效评价目的</w:t>
        <w:br/>
        <w:t>本次绩效评价遵循财政部《项目支出绩效评价管理办法》（财预〔2020〕10号）和自治区财政厅《自治区财政支出绩效评价管理暂行办法》（新财预〔2018〕189号）等相关政策文件与规定，旨在评价财政项目实施前期、过程及效果，评价财政预算资金使用的效率及效益。</w:t>
        <w:br/>
        <w:t>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也为下一年预算编制与评审提供充分有效的依据，以达到改进预算管理、优化资源配置、提高预算资金使用效益的目的。</w:t>
        <w:br/>
        <w:t>2. 绩效评价对象</w:t>
        <w:br/>
        <w:t>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3. 绩效评价范围</w:t>
        <w:br/>
        <w:t>本次评价范围涵盖项目总体绩效目标、各项绩效指标完成情况以及预算执行情况。覆盖项目预算资金支出的所有内容进行评价。包括项目决策、项目实施和项目成果验收流程等。</w:t>
      </w:r>
    </w:p>
    <w:p w14:paraId="24500BF8" w14:textId="77777777" w:rsidR="001D59F7" w:rsidRDefault="00000000">
      <w:pPr>
        <w:spacing w:line="570" w:lineRule="exact"/>
        <w:ind w:firstLineChars="200" w:firstLine="627"/>
        <w:rPr>
          <w:rStyle w:val="ad"/>
          <w:rFonts w:ascii="楷体" w:eastAsia="楷体" w:hAnsi="楷体" w:cs="楷体"/>
          <w:bCs w:val="0"/>
          <w:spacing w:val="-4"/>
          <w:sz w:val="32"/>
          <w:szCs w:val="32"/>
        </w:rPr>
      </w:pPr>
      <w:r>
        <w:rPr>
          <w:rStyle w:val="ad"/>
          <w:rFonts w:ascii="楷体" w:eastAsia="楷体" w:hAnsi="楷体" w:cs="楷体" w:hint="eastAsia"/>
          <w:bCs w:val="0"/>
          <w:spacing w:val="-4"/>
          <w:sz w:val="32"/>
          <w:szCs w:val="32"/>
        </w:rPr>
        <w:t>（二）绩效评价原则、评价指标体系（附表说明）、评价方法、评价标准等。</w:t>
      </w:r>
    </w:p>
    <w:p w14:paraId="2DE7F4C6"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1. 绩效评价原则</w:t>
        <w:br/>
        <w:t>本次绩效评价遵循的原则包括：</w:t>
        <w:br/>
        <w:t>（1）科学公正。绩效评价应当运用科学合理的方法，按照规范的程序，对项目绩效进行客观、公正的反映。</w:t>
        <w:br/>
        <w:t>（2）统筹兼顾。单位自评、部门评价和财政评价应职责明确，各有侧重，相互衔接。单位自评应由项目单位自主实施，即“谁支出、谁自评”。部门评价和财政评价应在单位自评的基础上开展，必要时可委托第三方机构实施。</w:t>
        <w:br/>
        <w:t>（3）激励约束。绩效评价结果应与预算安排、政策调整、改进管理实质性挂钩，体现奖优罚劣和激励相容导向，有效要安排、低效要压减、无效要问责。</w:t>
        <w:br/>
        <w:t>（4）公开透明。绩效评价结果应依法依规公开，并自觉接受社会监督。</w:t>
        <w:br/>
        <w:t>2. 绩效评价指标体系</w:t>
        <w:br/>
        <w:t>本项目绩效评价体系为根据财预﹝2020﹞10号共性指标及个性化指标设置，主要分为共性指标和个性指标两大类。共性指标下设决策与过程2个一级指标，其中：项目决策下设项目立项、绩效目标、资金投入3个二级指标；过程下设资金管理和组织实施2个二级指标。个性指标下设产出和效益2个一级指标，其中产出下设产出数量、产出质量、产出时效、产出成本4个2级指标，效益下设项目效益2个二级指标。项目绩效评价体系详见附件1。</w:t>
        <w:br/>
        <w:t>3. 绩效评价方法</w:t>
        <w:br/>
        <w:t>本次绩效评价方法的选用坚持简便有效的原则采用综合分析法。采用定量与定性评价相结合的比较法，公众评判法，总分由各项指标得分汇总形成。</w:t>
        <w:br/>
        <w:t>比较法：通过整理本项目相关资料和数据，评价数量指标的完成情况；通过分析项目的实施情况与绩效目标实现情况，评价项目实施的效果；通过分析项目资金使用情况及产生的效果，评价预算资金分配的合理性。</w:t>
        <w:br/>
        <w:t>公众评判法：评价组采用实地访谈、远程访谈相结合方式，对本项目的实施情况进行充分调研，了解掌握资金分配、资金管理、资金使用、制度建设、制度执行情况。采用问卷调查方式，对受益对象开展满意度调查，进行综合评价。</w:t>
        <w:br/>
        <w:t>4. 绩效评价标准</w:t>
        <w:br/>
        <w:t>绩效评价标准通常包括计划标准、行业标准、历史标准等，用于对绩效指标完成情况进行比较、分析、评价。本次评价主要采用了计划标准。</w:t>
        <w:br/>
        <w:t>计划标准：指以预先制定的目标、计划、预算、定额等作为评价标准。</w:t>
        <w:br/>
        <w:t>行业标准：指参照国家公布的行业指标数据制定的评价标准。</w:t>
        <w:br/>
        <w:t>历史标准：指参照历史数据制定的评价标准，为体现绩效改进的原则，在可实现的条件下应当确定相对较高的评价标准。</w:t>
      </w:r>
    </w:p>
    <w:p w14:paraId="36A614F1" w14:textId="77777777" w:rsidR="001D59F7" w:rsidRDefault="00000000">
      <w:pPr>
        <w:spacing w:line="570" w:lineRule="exact"/>
        <w:ind w:firstLineChars="200" w:firstLine="627"/>
        <w:rPr>
          <w:rStyle w:val="ad"/>
          <w:rFonts w:ascii="楷体" w:eastAsia="楷体" w:hAnsi="楷体" w:cs="楷体"/>
          <w:bCs w:val="0"/>
          <w:spacing w:val="-4"/>
          <w:sz w:val="32"/>
          <w:szCs w:val="32"/>
        </w:rPr>
      </w:pPr>
      <w:r>
        <w:rPr>
          <w:rStyle w:val="ad"/>
          <w:rFonts w:ascii="楷体" w:eastAsia="楷体" w:hAnsi="楷体" w:cs="楷体" w:hint="eastAsia"/>
          <w:bCs w:val="0"/>
          <w:spacing w:val="-4"/>
          <w:sz w:val="32"/>
          <w:szCs w:val="32"/>
        </w:rPr>
        <w:t>（三）绩效评价工作过程。</w:t>
      </w:r>
    </w:p>
    <w:p w14:paraId="1C7E2031"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本次评价成立了评价工作组，成员如下：</w:t>
        <w:br/>
        <w:t>本次评价设计了评价方案、评价指标体系，通过资料分析、调研、访谈满意度调查等方式形成评价结论，在与项目单位沟通后确定评价意见，并出具评价报告。</w:t>
        <w:br/>
        <w:t>第一阶段：前期准备。认真学习相关要求与规定，成立绩效评价工作组，作为绩效评价工作具体实施机构。成员构成如下：</w:t>
        <w:br/>
        <w:t>开巴奴·斯提卡达木任评价组组长，绩效评价工作职责为负责全盘工作。</w:t>
        <w:br/>
        <w:t>张士俊任评价组副组长，绩效评价工作职责为为对项目实施情况进行实地调查。</w:t>
        <w:br/>
        <w:t>赵现彬任评价组成员，绩效评价工作职责为负责资料审核等工作。。</w:t>
        <w:br/>
        <w:t>第二阶段：组织实施。经评价组通过实地调研、查阅资料等方式，采用综合分析法对项目的决策、管理、绩效进行的综合评价分析。</w:t>
        <w:br/>
        <w:t>第三阶段：分析评价。首先按照指标体系进行定量、定性分析。其次开展量化打分、综合评价工作，形成初步评价结论。最后归纳整体项目情况与存在问题，撰写部门绩效评价报告。</w:t>
      </w:r>
    </w:p>
    <w:p w14:paraId="2DA5CBF2" w14:textId="77777777" w:rsidR="001D59F7" w:rsidRDefault="00000000">
      <w:pPr>
        <w:spacing w:line="570" w:lineRule="exact"/>
        <w:ind w:firstLineChars="200" w:firstLine="624"/>
        <w:rPr>
          <w:rStyle w:val="ad"/>
          <w:rFonts w:ascii="黑体" w:eastAsia="黑体" w:hAnsi="黑体" w:cs="黑体"/>
          <w:b w:val="0"/>
          <w:spacing w:val="-4"/>
          <w:sz w:val="32"/>
          <w:szCs w:val="32"/>
        </w:rPr>
      </w:pPr>
      <w:r>
        <w:rPr>
          <w:rStyle w:val="ad"/>
          <w:rFonts w:ascii="黑体" w:eastAsia="黑体" w:hAnsi="黑体" w:cs="黑体" w:hint="eastAsia"/>
          <w:b w:val="0"/>
          <w:spacing w:val="-4"/>
          <w:sz w:val="32"/>
          <w:szCs w:val="32"/>
        </w:rPr>
        <w:t>三、综合评价情况及评价结论</w:t>
      </w:r>
    </w:p>
    <w:p w14:paraId="4C8DDC14"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（一）综合评价情况</w:t>
        <w:br/>
        <w:t>经评价组通过实地调研、综合分析法、问卷调查法等方式，主要采用综合分析法对项目的决策、实施、产出、效益进行综合评价分析，最终评分100分。</w:t>
        <w:br/>
        <w:t>塔什库尔干镇拆迁资金项目得分情况表</w:t>
        <w:br/>
        <w:t>一级指标	权重	得分率	实际得分</w:t>
        <w:br/>
        <w:t>项目决策	20	100%	20</w:t>
        <w:br/>
        <w:t>项目过程	20	100%	20</w:t>
        <w:br/>
        <w:t>项目产出	40	100%	40</w:t>
        <w:br/>
        <w:t>项目效益	20	100%	20</w:t>
        <w:br/>
        <w:t>合计	100	100%	100</w:t>
        <w:br/>
        <w:t>（二）综合评价结论</w:t>
        <w:br/>
        <w:t>运用项目组制定评价指标体系及财政部《项目支出绩效评价管理办法》（财预〔2020〕10号）文件评分标准进行评价，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</w:t>
        <w:br/>
        <w:t>塔什库尔干塔吉克自治县塔什库尔干镇人民政府已完成塔什库尔干镇拆迁资金项目，推动了经济的发展和可持续发展，产生良好的社会效益。该项目最终评分100分，绩效评级为“优”。。</w:t>
      </w:r>
    </w:p>
    <w:p w14:paraId="7940CAF2" w14:textId="77777777" w:rsidR="001D59F7" w:rsidRDefault="00000000">
      <w:pPr>
        <w:spacing w:line="570" w:lineRule="exact"/>
        <w:ind w:firstLineChars="200" w:firstLine="624"/>
        <w:rPr>
          <w:rStyle w:val="ad"/>
          <w:rFonts w:ascii="黑体" w:eastAsia="黑体" w:hAnsi="黑体" w:cs="黑体"/>
          <w:b w:val="0"/>
          <w:sz w:val="32"/>
          <w:szCs w:val="32"/>
        </w:rPr>
      </w:pPr>
      <w:r>
        <w:rPr>
          <w:rStyle w:val="ad"/>
          <w:rFonts w:ascii="黑体" w:eastAsia="黑体" w:hAnsi="黑体" w:cs="黑体" w:hint="eastAsia"/>
          <w:b w:val="0"/>
          <w:spacing w:val="-4"/>
          <w:sz w:val="32"/>
          <w:szCs w:val="32"/>
        </w:rPr>
        <w:t xml:space="preserve">四、绩效评价指标分析 </w:t>
      </w:r>
    </w:p>
    <w:p w14:paraId="45B6A465" w14:textId="77777777" w:rsidR="001D59F7" w:rsidRDefault="00000000">
      <w:pPr>
        <w:spacing w:line="570" w:lineRule="exact"/>
        <w:ind w:firstLineChars="200" w:firstLine="627"/>
        <w:rPr>
          <w:rFonts w:ascii="楷体" w:eastAsia="楷体" w:hAnsi="楷体" w:cs="楷体"/>
          <w:b/>
          <w:spacing w:val="-4"/>
          <w:sz w:val="32"/>
          <w:szCs w:val="32"/>
        </w:rPr>
      </w:pPr>
      <w:r>
        <w:rPr>
          <w:rFonts w:ascii="楷体" w:eastAsia="楷体" w:hAnsi="楷体" w:cs="楷体" w:hint="eastAsia"/>
          <w:b/>
          <w:spacing w:val="-4"/>
          <w:sz w:val="32"/>
          <w:szCs w:val="32"/>
        </w:rPr>
        <w:t>（一）项目决策情况。</w:t>
      </w:r>
    </w:p>
    <w:p w14:paraId="0ACD818C"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（一）项目决策情况</w:t>
        <w:br/>
        <w:t>项目决策类指标包括项目立项、绩效目标和资金投入三方面的内容，由6个三级指标构成，权重分为 20 分，实际得分20分，得分率为100%。</w:t>
        <w:br/>
        <w:t>项目决策指标得分情况</w:t>
        <w:br/>
        <w:t>三级指标	权重	得分率	实际得分</w:t>
        <w:br/>
        <w:t>立项依据充分性	3	100%	3</w:t>
        <w:br/>
        <w:t>立项程序规范性	2	100%	2</w:t>
        <w:br/>
        <w:t>绩效目标合理性	3	100%	3</w:t>
        <w:br/>
        <w:t>绩效指标明确性	2	100%	2</w:t>
        <w:br/>
        <w:t>预算编制科学性	5	100%	5</w:t>
        <w:br/>
        <w:t>资金分配合理性	5	100%	5</w:t>
        <w:br/>
        <w:t>合计	20	100%	20</w:t>
        <w:br/>
        <w:t>（1）立项依据充分性：结合塔什库尔干塔吉克自治县塔什库尔干镇人民政府职责，并组织实施。围绕2022年度工作重点和工作计划制定经费预算，根据评分标准，该指标不扣分，得3分。</w:t>
        <w:br/>
        <w:t>（2）立项程序规范性：根据决策依据编制工作计划和经费预算，经过与分管领导进行沟通、筛选确定经费预算计划，上党委会研究确定最终预算方案，根据评分标准，该指标不扣分，得2分。</w:t>
        <w:br/>
        <w:t>（3）绩效目标合理性：制定了实施方案，明确了总体思路及目标、并对任务进行了详细分解，对目标进行了细化，根据评分标准，该指标不扣分，得3分。</w:t>
        <w:br/>
        <w:t>（4）绩效指标明确性： 将项目绩效目标细化分解为具体的绩效指标，根据评分标准，该指标不扣分，得2分。</w:t>
        <w:br/>
        <w:t>（5）预算编制科学性： 预算编制经过科学论证，内容与项目内容匹配，项目投资额与工作任务相匹配，根据评分标准，该指标不扣分，得5分。</w:t>
        <w:br/>
        <w:t>（6）资金分配合理性：资金分配与实际相适应，根据评分标准，该指标不扣分，得5分。</w:t>
      </w:r>
    </w:p>
    <w:p w14:paraId="08EF9CF2" w14:textId="77777777" w:rsidR="001D59F7" w:rsidRDefault="00000000">
      <w:pPr>
        <w:spacing w:line="570" w:lineRule="exact"/>
        <w:ind w:firstLineChars="200" w:firstLine="627"/>
        <w:rPr>
          <w:rFonts w:ascii="楷体" w:eastAsia="楷体" w:hAnsi="楷体" w:cs="楷体"/>
          <w:b/>
          <w:spacing w:val="-4"/>
          <w:sz w:val="32"/>
          <w:szCs w:val="32"/>
        </w:rPr>
      </w:pPr>
      <w:r>
        <w:rPr>
          <w:rFonts w:ascii="楷体" w:eastAsia="楷体" w:hAnsi="楷体" w:cs="楷体" w:hint="eastAsia"/>
          <w:b/>
          <w:spacing w:val="-4"/>
          <w:sz w:val="32"/>
          <w:szCs w:val="32"/>
        </w:rPr>
        <w:t>（二）项目过程情况。</w:t>
      </w:r>
    </w:p>
    <w:p w14:paraId="6B64B585"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项目过程类指标包括资金管理和组织实施两方面的内容，由 5个三级指标构成，权重分为20分，实际得分20 分，得分率为100%。</w:t>
        <w:br/>
        <w:t>项目过程指标得分情况</w:t>
        <w:br/>
        <w:t>三级指标	权重	得分率	实际得分</w:t>
        <w:br/>
        <w:t>资金到位率	5	100%	5</w:t>
        <w:br/>
        <w:t>预算执行率	5	100%	5</w:t>
        <w:br/>
        <w:t>资金使用合规性	5	100%	5</w:t>
        <w:br/>
        <w:t>管理制度健全性	2	100%	2</w:t>
        <w:br/>
        <w:t>制度执行	3	100%	3</w:t>
        <w:br/>
        <w:t>合计	20	100%	20</w:t>
        <w:br/>
        <w:t>（1）资金到位率：财政资金足额拨付到位，牵头单位能够及时足额按照合同约定将专项资金拨付给联合体单位，根据评分标准，该指标不扣分，得5分。   </w:t>
        <w:br/>
        <w:t>（2）预算执行率：预算编制较为详细，项目资金支出总体能够按照预算执行，根据评分标准，该指标不扣分，得5分。</w:t>
        <w:br/>
        <w:t>（3）资金使用合规性：制定了相关的制度和管理规定对经费使用进行规范管理，财务制度健全、执行严格，根据评分标准，该指标不扣分，得5分。</w:t>
        <w:br/>
        <w:t>（4）管理制度健全性：制定了拆迁土地征收补偿发放相关管理办法，对财政专项资金进行严格管理，基本做到了专款专用，根据评分标准，该指标不扣分，得2分。</w:t>
        <w:br/>
        <w:t>（5）制度执行有效性：由部门提出经费预算支出可行性方案，经过与分管领导沟通后，报党委会议研究执行，财务对资金的使用合法合规性进行监督，年底对资金使用效果进行自评，根据评分标准，该指标不扣分，得3分。</w:t>
      </w:r>
    </w:p>
    <w:p w14:paraId="1194A5B5" w14:textId="77777777" w:rsidR="001D59F7" w:rsidRDefault="00000000">
      <w:pPr>
        <w:spacing w:line="570" w:lineRule="exact"/>
        <w:ind w:firstLineChars="200" w:firstLine="627"/>
        <w:rPr>
          <w:rFonts w:ascii="楷体" w:eastAsia="楷体" w:hAnsi="楷体" w:cs="楷体"/>
          <w:b/>
          <w:spacing w:val="-4"/>
          <w:sz w:val="32"/>
          <w:szCs w:val="32"/>
        </w:rPr>
      </w:pPr>
      <w:r>
        <w:rPr>
          <w:rFonts w:ascii="楷体" w:eastAsia="楷体" w:hAnsi="楷体" w:cs="楷体" w:hint="eastAsia"/>
          <w:b/>
          <w:spacing w:val="-4"/>
          <w:sz w:val="32"/>
          <w:szCs w:val="32"/>
        </w:rPr>
        <w:t>（三）项目产出情况。</w:t>
      </w:r>
    </w:p>
    <w:p w14:paraId="0EA5C3EF"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项目产出类指标包括产出数量、产出质量、产出时效、产出成本四方面的内容，由5个三级指标构成，权重分为40分，实际得分40分，得分率为100%。</w:t>
        <w:br/>
        <w:t>项目产出指标得分情况</w:t>
        <w:br/>
        <w:t>三级指标	权重	得分率	实际得分</w:t>
        <w:br/>
        <w:t>产出数量	10	100%	10</w:t>
        <w:br/>
        <w:t>产出质量	10	100%	10</w:t>
        <w:br/>
        <w:t>产出时效	10	100%	10</w:t>
        <w:br/>
        <w:t>成本情况	10	100%	10</w:t>
        <w:br/>
        <w:t>合计	40	100%	40</w:t>
        <w:br/>
        <w:t>（1）对于“产出数量”</w:t>
        <w:br/>
        <w:t>		拆迁款补偿人数4（人），与预期目标一致，根据评分标准，该指标不扣分，得10分。</w:t>
        <w:br/>
        <w:t>合计得10分。</w:t>
        <w:br/>
        <w:t>（2）对于“产出质量”：</w:t>
        <w:br/>
        <w:t>拆迁完成及时性100%，与预期目标一致，根据评分标准，该指标不扣分，得5分。</w:t>
        <w:br/>
        <w:t>资金足额拨付率100%，与预期目标一致，根据评分标准，该指标不扣分，得5分。</w:t>
        <w:br/>
        <w:t>合计得10分。</w:t>
        <w:br/>
        <w:t>（3）对于“产出时效”：</w:t>
        <w:br/>
        <w:t>拆迁补偿资金发放及时率100%，与预期目标一致，根据评分标准，该指标不扣分，得10分。</w:t>
        <w:br/>
        <w:t>合计得10分。</w:t>
        <w:br/>
        <w:t>（4）对于“产出成本”：</w:t>
        <w:br/>
        <w:t>拆迁资金成本31.87万元/人，项目经费都能控制绩效目标范围内，根据评分标准，该指标不扣分，得10分。</w:t>
      </w:r>
    </w:p>
    <w:p w14:paraId="085A5DA0" w14:textId="77777777" w:rsidR="001D59F7" w:rsidRDefault="00000000">
      <w:pPr>
        <w:spacing w:line="570" w:lineRule="exact"/>
        <w:ind w:firstLineChars="200" w:firstLine="627"/>
        <w:rPr>
          <w:rFonts w:ascii="楷体" w:eastAsia="楷体" w:hAnsi="楷体" w:cs="楷体"/>
          <w:b/>
          <w:spacing w:val="-4"/>
          <w:sz w:val="32"/>
          <w:szCs w:val="32"/>
        </w:rPr>
      </w:pPr>
      <w:r>
        <w:rPr>
          <w:rFonts w:ascii="楷体" w:eastAsia="楷体" w:hAnsi="楷体" w:cs="楷体" w:hint="eastAsia"/>
          <w:b/>
          <w:spacing w:val="-4"/>
          <w:sz w:val="32"/>
          <w:szCs w:val="32"/>
        </w:rPr>
        <w:t>（四）项目效益情况。</w:t>
      </w:r>
    </w:p>
    <w:p w14:paraId="0DC686A4"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项目效益类指标包括项目效益1个方面的内容，由4个三级指标构成，权重分为20分，实际得分20分，得分率为100%。</w:t>
        <w:br/>
        <w:t>项目绩效指标得分情况</w:t>
        <w:br/>
        <w:t>三级指标	权重	得分率	实际得分</w:t>
        <w:br/>
        <w:t>实施效益	10	100%	10</w:t>
        <w:br/>
        <w:t>			</w:t>
        <w:br/>
        <w:t>满意度	10	100%	10</w:t>
        <w:br/>
        <w:t>合计	20	100%	20</w:t>
        <w:br/>
        <w:t>1.实施效益指标：</w:t>
        <w:br/>
        <w:t>（1）对于“社会效益指标”：</w:t>
        <w:br/>
        <w:t>受益居民数量4人，与预期指标一致，根据评分标准，该指标不扣分，得3分。</w:t>
        <w:br/>
        <w:t>（2）对于“可持续影响指标”：</w:t>
        <w:br/>
        <w:t>该项目可持续影响年限1年，与预期指标一致，根据评分标准，该指标不扣分，得3分。</w:t>
        <w:br/>
        <w:t>（3）对于“经济效益指标”：</w:t>
        <w:br/>
        <w:t>提高拆迁户的经济收入有效提高，与预期指标一致，根据评分标准，该指标不扣分，得4分。</w:t>
        <w:br/>
        <w:t>实施效益指标合计得10分。</w:t>
        <w:br/>
        <w:t>（4）对于“生态效益指标”：</w:t>
        <w:br/>
        <w:t>无。</w:t>
        <w:br/>
        <w:t>2.满意度指标:</w:t>
        <w:br/>
        <w:t>对于“满意度指标：当地居民满意度100%，与预期目标一致，根据评分标准，该指标不扣分,得10分。</w:t>
      </w:r>
    </w:p>
    <w:p w14:paraId="1427E7F2" w14:textId="77777777" w:rsidR="001D59F7" w:rsidRDefault="00000000">
      <w:pPr>
        <w:spacing w:line="570" w:lineRule="exact"/>
        <w:ind w:firstLineChars="200" w:firstLine="624"/>
        <w:rPr>
          <w:rStyle w:val="ad"/>
          <w:rFonts w:ascii="黑体" w:eastAsia="黑体" w:hAnsi="黑体" w:cs="黑体"/>
          <w:b w:val="0"/>
          <w:spacing w:val="-4"/>
          <w:sz w:val="32"/>
          <w:szCs w:val="32"/>
        </w:rPr>
      </w:pPr>
      <w:r>
        <w:rPr>
          <w:rStyle w:val="ad"/>
          <w:rFonts w:ascii="黑体" w:eastAsia="黑体" w:hAnsi="黑体" w:cs="黑体" w:hint="eastAsia"/>
          <w:b w:val="0"/>
          <w:spacing w:val="-4"/>
          <w:sz w:val="32"/>
          <w:szCs w:val="32"/>
        </w:rPr>
        <w:lastRenderedPageBreak/>
        <w:t>五、预算执行进度与绩效指标偏差</w:t>
      </w:r>
    </w:p>
    <w:p w14:paraId="59F9E263" w14:textId="77777777" w:rsidR="001D59F7" w:rsidRDefault="00000000">
      <w:pPr>
        <w:spacing w:line="540" w:lineRule="exact"/>
        <w:ind w:firstLine="567"/>
        <w:rPr>
          <w:rFonts w:ascii="仿宋" w:eastAsia="仿宋" w:hAnsi="仿宋" w:cs="仿宋"/>
          <w:spacing w:val="-4"/>
          <w:sz w:val="32"/>
          <w:szCs w:val="32"/>
        </w:rPr>
      </w:pPr>
      <w:r>
        <w:rPr>
          <w:rStyle w:val="ad"/>
          <w:rFonts w:ascii="仿宋" w:eastAsia="仿宋" w:hAnsi="仿宋" w:cs="仿宋" w:hint="eastAsia"/>
          <w:b w:val="0"/>
          <w:bCs w:val="0"/>
          <w:spacing w:val="-4"/>
          <w:sz w:val="32"/>
          <w:szCs w:val="32"/>
        </w:rPr>
        <w:t>塔什库尔干镇拆迁资金项目预算31.87万元，到位31.87万元，实际支出31.87万元，预算执行率为100%，项目绩效指标总体完成率为100%。</w:t>
      </w:r>
    </w:p>
    <w:p w14:paraId="626EE800" w14:textId="77777777" w:rsidR="001D59F7" w:rsidRDefault="00000000">
      <w:pPr>
        <w:spacing w:line="570" w:lineRule="exact"/>
        <w:ind w:firstLineChars="200" w:firstLine="624"/>
        <w:rPr>
          <w:rStyle w:val="ad"/>
          <w:rFonts w:ascii="黑体" w:eastAsia="黑体" w:hAnsi="黑体" w:cs="黑体"/>
          <w:b w:val="0"/>
          <w:spacing w:val="-4"/>
          <w:sz w:val="32"/>
          <w:szCs w:val="32"/>
        </w:rPr>
      </w:pPr>
      <w:r>
        <w:rPr>
          <w:rStyle w:val="ad"/>
          <w:rFonts w:ascii="黑体" w:eastAsia="黑体" w:hAnsi="黑体" w:cs="黑体" w:hint="eastAsia"/>
          <w:b w:val="0"/>
          <w:spacing w:val="-4"/>
          <w:sz w:val="32"/>
          <w:szCs w:val="32"/>
        </w:rPr>
        <w:t>六、主要经验及做法、存在的问题及原因分析</w:t>
      </w:r>
    </w:p>
    <w:p w14:paraId="53C72163"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（一）主要经验及做法</w:t>
        <w:br/>
        <w:t>一是本项目能够严格按照《项目实施方案》执行，项目执行情况较好。二是加强组织领导，本项目绩效评价工作，有县政府主要领导亲自挂帅，分管县领导具体负责，从项目到资金，均能后很好的执行。三是加强沟通协调，我单位及时向县领导汇报项目建设进度，加强与施工单位的沟通，确保项目按期完工。</w:t>
        <w:br/>
        <w:t>（二）存在问题及原因分析</w:t>
        <w:br/>
        <w:t>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14:paraId="1958C78E" w14:textId="77777777" w:rsidR="001D59F7" w:rsidRDefault="00000000">
      <w:pPr>
        <w:spacing w:line="570" w:lineRule="exact"/>
        <w:ind w:firstLineChars="200" w:firstLine="624"/>
        <w:rPr>
          <w:rStyle w:val="ad"/>
          <w:rFonts w:ascii="黑体" w:eastAsia="黑体" w:hAnsi="黑体" w:cs="黑体"/>
          <w:b w:val="0"/>
          <w:spacing w:val="-4"/>
          <w:sz w:val="32"/>
          <w:szCs w:val="32"/>
        </w:rPr>
      </w:pPr>
      <w:r>
        <w:rPr>
          <w:rStyle w:val="ad"/>
          <w:rFonts w:ascii="黑体" w:eastAsia="黑体" w:hAnsi="黑体" w:cs="黑体" w:hint="eastAsia"/>
          <w:b w:val="0"/>
          <w:spacing w:val="-4"/>
          <w:sz w:val="32"/>
          <w:szCs w:val="32"/>
        </w:rPr>
        <w:t>七、有关建议</w:t>
      </w:r>
    </w:p>
    <w:p w14:paraId="7DEC5E56"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1.项目建设的程序进一步规范。项目前期做好可行性研究报告，更加细化实施方案，严格执行资金管理办法和财政资金管理制度，严格按照项目实施方案、招投标管理办法等稳步推进工作，各部门单位根据自己项目的特点进行总结。</w:t>
        <w:br/>
        <w:t>2.项目评价资料有待进一步完善。项目启动时同步做好档案的归纳与整理，及时整理、收集、汇总，健全档案资料。项目后续管理有待进一步加强和跟踪。</w:t>
        <w:br/>
        <w:t>3.通过绩效管理，发现实施中存在漏洞，以后加强管理，及时掌握与之相关的各类信息，减少成本，使资金效益最大化。</w:t>
        <w:br/>
        <w:t>4．评价工作应从项目实施方案源头抓起，评价工作和意识应贯穿项目整个过程。</w:t>
      </w:r>
    </w:p>
    <w:p w14:paraId="6FEBFB95" w14:textId="77777777" w:rsidR="001D59F7" w:rsidRDefault="00000000">
      <w:pPr>
        <w:spacing w:line="570" w:lineRule="exact"/>
        <w:ind w:firstLineChars="200" w:firstLine="624"/>
        <w:rPr>
          <w:rStyle w:val="ad"/>
          <w:rFonts w:ascii="黑体" w:eastAsia="黑体" w:hAnsi="黑体" w:cs="黑体"/>
          <w:b w:val="0"/>
          <w:spacing w:val="-4"/>
          <w:sz w:val="32"/>
          <w:szCs w:val="32"/>
        </w:rPr>
      </w:pPr>
      <w:r>
        <w:rPr>
          <w:rStyle w:val="ad"/>
          <w:rFonts w:ascii="黑体" w:eastAsia="黑体" w:hAnsi="黑体" w:cs="黑体" w:hint="eastAsia"/>
          <w:b w:val="0"/>
          <w:spacing w:val="-4"/>
          <w:sz w:val="32"/>
          <w:szCs w:val="32"/>
        </w:rPr>
        <w:t>八、其他需要说明的问题</w:t>
      </w:r>
    </w:p>
    <w:p w14:paraId="4B1F6429"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我单位对上述项目支出绩效评价报告内反映内容的真实性、完整性负责，接受上级部门及社会公众监督。</w:t>
      </w:r>
    </w:p>
    <w:p w14:paraId="0E525B6E" w14:textId="77777777" w:rsidR="001D59F7" w:rsidRDefault="001D59F7">
      <w:pPr>
        <w:spacing w:line="540" w:lineRule="exact"/>
        <w:ind w:firstLine="567"/>
        <w:rPr>
          <w:rStyle w:val="ad"/>
          <w:rFonts w:ascii="黑体" w:eastAsia="黑体" w:hAnsi="黑体" w:cs="黑体"/>
          <w:b w:val="0"/>
          <w:bCs w:val="0"/>
          <w:spacing w:val="-4"/>
          <w:sz w:val="32"/>
          <w:szCs w:val="32"/>
        </w:rPr>
      </w:pPr>
    </w:p>
    <w:p w14:paraId="088A38F8" w14:textId="77777777" w:rsidR="001D59F7" w:rsidRDefault="001D59F7">
      <w:pPr>
        <w:spacing w:line="540" w:lineRule="exact"/>
        <w:ind w:firstLine="567"/>
        <w:rPr>
          <w:rStyle w:val="ad"/>
          <w:rFonts w:ascii="黑体" w:eastAsia="黑体" w:hAnsi="黑体" w:cs="黑体"/>
          <w:b w:val="0"/>
          <w:bCs w:val="0"/>
          <w:spacing w:val="-4"/>
          <w:sz w:val="32"/>
          <w:szCs w:val="32"/>
        </w:rPr>
      </w:pPr>
    </w:p>
    <w:sectPr w:rsidR="001D59F7">
      <w:footerReference w:type="default" r:id="rId6"/>
      <w:pgSz w:w="11906" w:h="16838"/>
      <w:pgMar w:top="1440" w:right="1558"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4B848C" w14:textId="77777777" w:rsidR="00164EEB" w:rsidRDefault="00164EEB">
      <w:r>
        <w:separator/>
      </w:r>
    </w:p>
  </w:endnote>
  <w:endnote w:type="continuationSeparator" w:id="0">
    <w:p w14:paraId="6523E723" w14:textId="77777777" w:rsidR="00164EEB" w:rsidRDefault="00164E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华文中宋">
    <w:altName w:val="宋体"/>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0" w:usb1="00000000" w:usb2="00000000" w:usb3="00000000" w:csb0="00040000" w:csb1="00000000"/>
  </w:font>
  <w:font w:name="仿宋_GB2312">
    <w:altName w:val="仿宋"/>
    <w:charset w:val="86"/>
    <w:family w:val="modern"/>
    <w:pitch w:val="default"/>
    <w:sig w:usb0="00000000" w:usb1="00000000" w:usb2="00000000" w:usb3="00000000" w:csb0="00040000" w:csb1="00000000"/>
  </w:font>
  <w:font w:name="楷体">
    <w:panose1 w:val="02010609060101010101"/>
    <w:charset w:val="86"/>
    <w:family w:val="modern"/>
    <w:pitch w:val="fixed"/>
    <w:sig w:usb0="800002BF" w:usb1="38CF7CFA" w:usb2="00000016" w:usb3="00000000" w:csb0="00040001" w:csb1="00000000"/>
  </w:font>
  <w:font w:name="方正仿宋_GBK">
    <w:altName w:val="微软雅黑"/>
    <w:charset w:val="86"/>
    <w:family w:val="auto"/>
    <w:pitch w:val="default"/>
    <w:sig w:usb0="00000000" w:usb1="00000000" w:usb2="0000000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楷体_GBK">
    <w:altName w:val="微软雅黑"/>
    <w:charset w:val="86"/>
    <w:family w:val="auto"/>
    <w:pitch w:val="default"/>
    <w:sig w:usb0="00000000" w:usb1="00000000" w:usb2="0000000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22003363"/>
    </w:sdtPr>
    <w:sdtContent>
      <w:p w14:paraId="703A45A3" w14:textId="77777777" w:rsidR="001D59F7" w:rsidRDefault="00000000">
        <w:pPr>
          <w:pStyle w:val="a5"/>
          <w:jc w:val="center"/>
        </w:pPr>
        <w:r>
          <w:fldChar w:fldCharType="begin"/>
        </w:r>
        <w:r>
          <w:instrText>PAGE   \* MERGEFORMAT</w:instrText>
        </w:r>
        <w:r>
          <w:fldChar w:fldCharType="separate"/>
        </w:r>
        <w:r>
          <w:rPr>
            <w:lang w:val="zh-CN"/>
          </w:rPr>
          <w:t>1</w:t>
        </w:r>
        <w:r>
          <w:fldChar w:fldCharType="end"/>
        </w:r>
      </w:p>
    </w:sdtContent>
  </w:sdt>
  <w:p w14:paraId="068E755B" w14:textId="77777777" w:rsidR="001D59F7" w:rsidRDefault="001D59F7">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5971B1" w14:textId="77777777" w:rsidR="00164EEB" w:rsidRDefault="00164EEB">
      <w:r>
        <w:separator/>
      </w:r>
    </w:p>
  </w:footnote>
  <w:footnote w:type="continuationSeparator" w:id="0">
    <w:p w14:paraId="180509BF" w14:textId="77777777" w:rsidR="00164EEB" w:rsidRDefault="00164EE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64EEB"/>
    <w:rsid w:val="00187874"/>
    <w:rsid w:val="001B3A40"/>
    <w:rsid w:val="001D59F7"/>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74CBE"/>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042E4B35"/>
    <w:rsid w:val="17C32CDD"/>
    <w:rsid w:val="2A880B33"/>
    <w:rsid w:val="2AE11386"/>
    <w:rsid w:val="2D4C6AD2"/>
    <w:rsid w:val="2D5A6638"/>
    <w:rsid w:val="340D5924"/>
    <w:rsid w:val="41EC1CB5"/>
    <w:rsid w:val="43B04001"/>
    <w:rsid w:val="4609551D"/>
    <w:rsid w:val="4D2606A1"/>
    <w:rsid w:val="4DD42C22"/>
    <w:rsid w:val="50796DE0"/>
    <w:rsid w:val="5DA521F6"/>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EF965E3"/>
  <w15:docId w15:val="{5E203BB2-B778-493E-B8E8-15A84A71F4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0"/>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0"/>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0"/>
    <w:uiPriority w:val="9"/>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0"/>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0"/>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0"/>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0"/>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0"/>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qFormat/>
    <w:rPr>
      <w:sz w:val="18"/>
      <w:szCs w:val="18"/>
    </w:rPr>
  </w:style>
  <w:style w:type="paragraph" w:styleId="a5">
    <w:name w:val="footer"/>
    <w:basedOn w:val="a"/>
    <w:link w:val="a6"/>
    <w:uiPriority w:val="99"/>
    <w:unhideWhenUsed/>
    <w:qFormat/>
    <w:pPr>
      <w:tabs>
        <w:tab w:val="center" w:pos="4153"/>
        <w:tab w:val="right" w:pos="8306"/>
      </w:tabs>
      <w:snapToGrid w:val="0"/>
      <w:jc w:val="left"/>
    </w:pPr>
    <w:rPr>
      <w:rFonts w:ascii="Calibri" w:hAnsi="Calibri"/>
      <w:sz w:val="18"/>
      <w:szCs w:val="18"/>
    </w:rPr>
  </w:style>
  <w:style w:type="paragraph" w:styleId="a7">
    <w:name w:val="header"/>
    <w:basedOn w:val="a"/>
    <w:link w:val="a8"/>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Subtitle"/>
    <w:basedOn w:val="a"/>
    <w:next w:val="a"/>
    <w:link w:val="aa"/>
    <w:uiPriority w:val="11"/>
    <w:qFormat/>
    <w:pPr>
      <w:widowControl/>
      <w:spacing w:after="60"/>
      <w:jc w:val="center"/>
      <w:outlineLvl w:val="1"/>
    </w:pPr>
    <w:rPr>
      <w:rFonts w:asciiTheme="majorHAnsi" w:eastAsiaTheme="majorEastAsia" w:hAnsiTheme="majorHAnsi"/>
      <w:kern w:val="0"/>
      <w:sz w:val="24"/>
    </w:rPr>
  </w:style>
  <w:style w:type="paragraph" w:styleId="ab">
    <w:name w:val="Title"/>
    <w:basedOn w:val="a"/>
    <w:next w:val="a"/>
    <w:link w:val="ac"/>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d">
    <w:name w:val="Strong"/>
    <w:basedOn w:val="a0"/>
    <w:qFormat/>
    <w:rPr>
      <w:b/>
      <w:bCs/>
    </w:rPr>
  </w:style>
  <w:style w:type="character" w:styleId="ae">
    <w:name w:val="Emphasis"/>
    <w:basedOn w:val="a0"/>
    <w:uiPriority w:val="20"/>
    <w:qFormat/>
    <w:rPr>
      <w:rFonts w:asciiTheme="minorHAnsi" w:hAnsiTheme="minorHAnsi"/>
      <w:b/>
      <w:i/>
      <w:iCs/>
    </w:rPr>
  </w:style>
  <w:style w:type="character" w:customStyle="1" w:styleId="10">
    <w:name w:val="标题 1 字符"/>
    <w:basedOn w:val="a0"/>
    <w:link w:val="1"/>
    <w:uiPriority w:val="9"/>
    <w:qFormat/>
    <w:rPr>
      <w:rFonts w:asciiTheme="majorHAnsi" w:eastAsiaTheme="majorEastAsia" w:hAnsiTheme="majorHAnsi"/>
      <w:b/>
      <w:bCs/>
      <w:kern w:val="32"/>
      <w:sz w:val="32"/>
      <w:szCs w:val="32"/>
    </w:rPr>
  </w:style>
  <w:style w:type="character" w:customStyle="1" w:styleId="20">
    <w:name w:val="标题 2 字符"/>
    <w:basedOn w:val="a0"/>
    <w:link w:val="2"/>
    <w:uiPriority w:val="9"/>
    <w:semiHidden/>
    <w:qFormat/>
    <w:rPr>
      <w:rFonts w:asciiTheme="majorHAnsi" w:eastAsiaTheme="majorEastAsia" w:hAnsiTheme="majorHAnsi"/>
      <w:b/>
      <w:bCs/>
      <w:i/>
      <w:iCs/>
      <w:sz w:val="28"/>
      <w:szCs w:val="28"/>
    </w:rPr>
  </w:style>
  <w:style w:type="character" w:customStyle="1" w:styleId="30">
    <w:name w:val="标题 3 字符"/>
    <w:basedOn w:val="a0"/>
    <w:link w:val="3"/>
    <w:uiPriority w:val="9"/>
    <w:semiHidden/>
    <w:qFormat/>
    <w:rPr>
      <w:rFonts w:asciiTheme="majorHAnsi" w:eastAsiaTheme="majorEastAsia" w:hAnsiTheme="majorHAnsi"/>
      <w:b/>
      <w:bCs/>
      <w:sz w:val="26"/>
      <w:szCs w:val="26"/>
    </w:rPr>
  </w:style>
  <w:style w:type="character" w:customStyle="1" w:styleId="40">
    <w:name w:val="标题 4 字符"/>
    <w:basedOn w:val="a0"/>
    <w:link w:val="4"/>
    <w:uiPriority w:val="9"/>
    <w:qFormat/>
    <w:rPr>
      <w:b/>
      <w:bCs/>
      <w:sz w:val="28"/>
      <w:szCs w:val="28"/>
    </w:rPr>
  </w:style>
  <w:style w:type="character" w:customStyle="1" w:styleId="50">
    <w:name w:val="标题 5 字符"/>
    <w:basedOn w:val="a0"/>
    <w:link w:val="5"/>
    <w:uiPriority w:val="9"/>
    <w:semiHidden/>
    <w:qFormat/>
    <w:rPr>
      <w:b/>
      <w:bCs/>
      <w:i/>
      <w:iCs/>
      <w:sz w:val="26"/>
      <w:szCs w:val="26"/>
    </w:rPr>
  </w:style>
  <w:style w:type="character" w:customStyle="1" w:styleId="60">
    <w:name w:val="标题 6 字符"/>
    <w:basedOn w:val="a0"/>
    <w:link w:val="6"/>
    <w:uiPriority w:val="9"/>
    <w:semiHidden/>
    <w:qFormat/>
    <w:rPr>
      <w:b/>
      <w:bCs/>
    </w:rPr>
  </w:style>
  <w:style w:type="character" w:customStyle="1" w:styleId="70">
    <w:name w:val="标题 7 字符"/>
    <w:basedOn w:val="a0"/>
    <w:link w:val="7"/>
    <w:uiPriority w:val="9"/>
    <w:semiHidden/>
    <w:qFormat/>
    <w:rPr>
      <w:sz w:val="24"/>
      <w:szCs w:val="24"/>
    </w:rPr>
  </w:style>
  <w:style w:type="character" w:customStyle="1" w:styleId="80">
    <w:name w:val="标题 8 字符"/>
    <w:basedOn w:val="a0"/>
    <w:link w:val="8"/>
    <w:uiPriority w:val="9"/>
    <w:semiHidden/>
    <w:qFormat/>
    <w:rPr>
      <w:i/>
      <w:iCs/>
      <w:sz w:val="24"/>
      <w:szCs w:val="24"/>
    </w:rPr>
  </w:style>
  <w:style w:type="character" w:customStyle="1" w:styleId="90">
    <w:name w:val="标题 9 字符"/>
    <w:basedOn w:val="a0"/>
    <w:link w:val="9"/>
    <w:uiPriority w:val="9"/>
    <w:semiHidden/>
    <w:qFormat/>
    <w:rPr>
      <w:rFonts w:asciiTheme="majorHAnsi" w:eastAsiaTheme="majorEastAsia" w:hAnsiTheme="majorHAnsi"/>
    </w:rPr>
  </w:style>
  <w:style w:type="character" w:customStyle="1" w:styleId="ac">
    <w:name w:val="标题 字符"/>
    <w:basedOn w:val="a0"/>
    <w:link w:val="ab"/>
    <w:uiPriority w:val="10"/>
    <w:qFormat/>
    <w:rPr>
      <w:rFonts w:asciiTheme="majorHAnsi" w:eastAsiaTheme="majorEastAsia" w:hAnsiTheme="majorHAnsi"/>
      <w:b/>
      <w:bCs/>
      <w:kern w:val="28"/>
      <w:sz w:val="32"/>
      <w:szCs w:val="32"/>
    </w:rPr>
  </w:style>
  <w:style w:type="character" w:customStyle="1" w:styleId="aa">
    <w:name w:val="副标题 字符"/>
    <w:basedOn w:val="a0"/>
    <w:link w:val="a9"/>
    <w:uiPriority w:val="11"/>
    <w:qFormat/>
    <w:rPr>
      <w:rFonts w:asciiTheme="majorHAnsi" w:eastAsiaTheme="majorEastAsia" w:hAnsiTheme="majorHAnsi"/>
      <w:sz w:val="24"/>
      <w:szCs w:val="24"/>
    </w:rPr>
  </w:style>
  <w:style w:type="paragraph" w:styleId="af">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f0">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f1">
    <w:name w:val="Quote"/>
    <w:basedOn w:val="a"/>
    <w:next w:val="a"/>
    <w:link w:val="af2"/>
    <w:uiPriority w:val="29"/>
    <w:qFormat/>
    <w:pPr>
      <w:widowControl/>
      <w:jc w:val="left"/>
    </w:pPr>
    <w:rPr>
      <w:rFonts w:asciiTheme="minorHAnsi" w:eastAsiaTheme="minorEastAsia" w:hAnsiTheme="minorHAnsi"/>
      <w:i/>
      <w:kern w:val="0"/>
      <w:sz w:val="24"/>
    </w:rPr>
  </w:style>
  <w:style w:type="character" w:customStyle="1" w:styleId="af2">
    <w:name w:val="引用 字符"/>
    <w:basedOn w:val="a0"/>
    <w:link w:val="af1"/>
    <w:uiPriority w:val="29"/>
    <w:qFormat/>
    <w:rPr>
      <w:i/>
      <w:sz w:val="24"/>
      <w:szCs w:val="24"/>
    </w:rPr>
  </w:style>
  <w:style w:type="paragraph" w:styleId="af3">
    <w:name w:val="Intense Quote"/>
    <w:basedOn w:val="a"/>
    <w:next w:val="a"/>
    <w:link w:val="af4"/>
    <w:uiPriority w:val="30"/>
    <w:qFormat/>
    <w:pPr>
      <w:widowControl/>
      <w:ind w:left="720" w:right="720"/>
      <w:jc w:val="left"/>
    </w:pPr>
    <w:rPr>
      <w:rFonts w:asciiTheme="minorHAnsi" w:eastAsiaTheme="minorEastAsia" w:hAnsiTheme="minorHAnsi"/>
      <w:b/>
      <w:i/>
      <w:kern w:val="0"/>
      <w:sz w:val="24"/>
      <w:szCs w:val="22"/>
    </w:rPr>
  </w:style>
  <w:style w:type="character" w:customStyle="1" w:styleId="af4">
    <w:name w:val="明显引用 字符"/>
    <w:basedOn w:val="a0"/>
    <w:link w:val="af3"/>
    <w:uiPriority w:val="30"/>
    <w:qFormat/>
    <w:rPr>
      <w:b/>
      <w:i/>
      <w:sz w:val="24"/>
    </w:rPr>
  </w:style>
  <w:style w:type="character" w:customStyle="1" w:styleId="11">
    <w:name w:val="不明显强调1"/>
    <w:uiPriority w:val="19"/>
    <w:qFormat/>
    <w:rPr>
      <w:i/>
      <w:color w:val="595959" w:themeColor="text1" w:themeTint="A6"/>
    </w:rPr>
  </w:style>
  <w:style w:type="character" w:customStyle="1" w:styleId="12">
    <w:name w:val="明显强调1"/>
    <w:basedOn w:val="a0"/>
    <w:uiPriority w:val="21"/>
    <w:qFormat/>
    <w:rPr>
      <w:b/>
      <w:i/>
      <w:sz w:val="24"/>
      <w:szCs w:val="24"/>
      <w:u w:val="single"/>
    </w:rPr>
  </w:style>
  <w:style w:type="character" w:customStyle="1" w:styleId="13">
    <w:name w:val="不明显参考1"/>
    <w:basedOn w:val="a0"/>
    <w:uiPriority w:val="31"/>
    <w:qFormat/>
    <w:rPr>
      <w:sz w:val="24"/>
      <w:szCs w:val="24"/>
      <w:u w:val="single"/>
    </w:rPr>
  </w:style>
  <w:style w:type="character" w:customStyle="1" w:styleId="14">
    <w:name w:val="明显参考1"/>
    <w:basedOn w:val="a0"/>
    <w:uiPriority w:val="32"/>
    <w:qFormat/>
    <w:rPr>
      <w:b/>
      <w:sz w:val="24"/>
      <w:u w:val="single"/>
    </w:rPr>
  </w:style>
  <w:style w:type="character" w:customStyle="1" w:styleId="15">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a8">
    <w:name w:val="页眉 字符"/>
    <w:basedOn w:val="a0"/>
    <w:link w:val="a7"/>
    <w:uiPriority w:val="99"/>
    <w:qFormat/>
    <w:rPr>
      <w:rFonts w:ascii="Calibri" w:eastAsia="宋体" w:hAnsi="Calibri"/>
      <w:kern w:val="2"/>
      <w:sz w:val="18"/>
      <w:szCs w:val="18"/>
    </w:rPr>
  </w:style>
  <w:style w:type="character" w:customStyle="1" w:styleId="a6">
    <w:name w:val="页脚 字符"/>
    <w:basedOn w:val="a0"/>
    <w:link w:val="a5"/>
    <w:uiPriority w:val="99"/>
    <w:qFormat/>
    <w:rPr>
      <w:rFonts w:ascii="Calibri" w:eastAsia="宋体" w:hAnsi="Calibri"/>
      <w:kern w:val="2"/>
      <w:sz w:val="18"/>
      <w:szCs w:val="18"/>
    </w:rPr>
  </w:style>
  <w:style w:type="character" w:customStyle="1" w:styleId="a4">
    <w:name w:val="批注框文本 字符"/>
    <w:basedOn w:val="a0"/>
    <w:link w:val="a3"/>
    <w:uiPriority w:val="99"/>
    <w:semiHidden/>
    <w:qFormat/>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webSettings.xml" Type="http://schemas.openxmlformats.org/officeDocument/2006/relationships/webSettings"/>
<Relationship Id="rId4" Target="footnotes.xml" Type="http://schemas.openxmlformats.org/officeDocument/2006/relationships/footnotes"/>
<Relationship Id="rId5" Target="endnotes.xml" Type="http://schemas.openxmlformats.org/officeDocument/2006/relationships/endnotes"/>
<Relationship Id="rId6" Target="footer1.xml" Type="http://schemas.openxmlformats.org/officeDocument/2006/relationships/footer"/>
<Relationship Id="rId7" Target="fontTable.xml" Type="http://schemas.openxmlformats.org/officeDocument/2006/relationships/fontTable"/>
<Relationship Id="rId8" Target="theme/theme1.xml" Type="http://schemas.openxmlformats.org/officeDocument/2006/relationships/them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103</Words>
  <Characters>593</Characters>
  <Application>Microsoft Office Word</Application>
  <DocSecurity>0</DocSecurity>
  <Lines>4</Lines>
  <Paragraphs>1</Paragraphs>
  <ScaleCrop>false</ScaleCrop>
  <Company>Microsoft</Company>
  <LinksUpToDate>false</LinksUpToDate>
  <CharactersWithSpaces>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易仁多</cp:lastModifiedBy>
  <cp:lastPrinted>2018-12-31T10:56:00Z</cp:lastPrinted>
  <dcterms:modified xsi:type="dcterms:W3CDTF">2023-03-14T11:09:00Z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2052-11.1.0.11405</vt:lpwstr>
  </property>
  <property fmtid="{D5CDD505-2E9C-101B-9397-08002B2CF9AE}" pid="3" name="ICV">
    <vt:lpwstr>B2EA7016946742F29F6179AB652E0BB8</vt:lpwstr>
  </property>
</Properties>
</file>