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5F9FF" w14:textId="77777777" w:rsidR="001D59F7" w:rsidRDefault="001D59F7">
      <w:pPr>
        <w:spacing w:line="570" w:lineRule="exact"/>
        <w:jc w:val="center"/>
        <w:rPr>
          <w:rFonts w:ascii="华文中宋" w:eastAsia="华文中宋" w:hAnsi="华文中宋" w:cs="宋体"/>
          <w:b/>
          <w:kern w:val="0"/>
          <w:sz w:val="52"/>
          <w:szCs w:val="52"/>
        </w:rPr>
      </w:pPr>
    </w:p>
    <w:p w14:paraId="46549FB3" w14:textId="77777777" w:rsidR="001D59F7" w:rsidRDefault="001D59F7">
      <w:pPr>
        <w:spacing w:line="570" w:lineRule="exact"/>
        <w:jc w:val="center"/>
        <w:rPr>
          <w:rFonts w:ascii="华文中宋" w:eastAsia="华文中宋" w:hAnsi="华文中宋" w:cs="宋体"/>
          <w:b/>
          <w:kern w:val="0"/>
          <w:sz w:val="52"/>
          <w:szCs w:val="52"/>
        </w:rPr>
      </w:pPr>
    </w:p>
    <w:p w14:paraId="377F7DCE" w14:textId="77777777" w:rsidR="001D59F7" w:rsidRDefault="001D59F7">
      <w:pPr>
        <w:spacing w:line="570" w:lineRule="exact"/>
        <w:jc w:val="center"/>
        <w:rPr>
          <w:rFonts w:ascii="华文中宋" w:eastAsia="华文中宋" w:hAnsi="华文中宋" w:cs="宋体"/>
          <w:b/>
          <w:kern w:val="0"/>
          <w:sz w:val="52"/>
          <w:szCs w:val="52"/>
        </w:rPr>
      </w:pPr>
    </w:p>
    <w:p w14:paraId="310A1144" w14:textId="77777777" w:rsidR="001D59F7" w:rsidRDefault="001D59F7">
      <w:pPr>
        <w:spacing w:line="570" w:lineRule="exact"/>
        <w:jc w:val="center"/>
        <w:rPr>
          <w:rFonts w:ascii="华文中宋" w:eastAsia="华文中宋" w:hAnsi="华文中宋" w:cs="宋体"/>
          <w:b/>
          <w:kern w:val="0"/>
          <w:sz w:val="52"/>
          <w:szCs w:val="52"/>
        </w:rPr>
      </w:pPr>
    </w:p>
    <w:p w14:paraId="6A4537D7" w14:textId="77777777" w:rsidR="001D59F7" w:rsidRDefault="001D59F7">
      <w:pPr>
        <w:spacing w:line="570" w:lineRule="exact"/>
        <w:rPr>
          <w:rFonts w:ascii="华文中宋" w:eastAsia="华文中宋" w:hAnsi="华文中宋" w:cs="宋体"/>
          <w:b/>
          <w:kern w:val="0"/>
          <w:sz w:val="52"/>
          <w:szCs w:val="52"/>
        </w:rPr>
      </w:pPr>
    </w:p>
    <w:p w14:paraId="7C7C20A6" w14:textId="77777777" w:rsidR="001D59F7" w:rsidRDefault="001D59F7">
      <w:pPr>
        <w:spacing w:line="570" w:lineRule="exact"/>
        <w:jc w:val="center"/>
        <w:rPr>
          <w:rFonts w:ascii="华文中宋" w:eastAsia="华文中宋" w:hAnsi="华文中宋" w:cs="宋体"/>
          <w:b/>
          <w:kern w:val="0"/>
          <w:sz w:val="52"/>
          <w:szCs w:val="52"/>
        </w:rPr>
      </w:pPr>
    </w:p>
    <w:p w14:paraId="40FD6F93" w14:textId="20C65D18" w:rsidR="001D59F7" w:rsidRDefault="00000000">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w:t>
      </w:r>
      <w:r w:rsidR="00D74CBE">
        <w:rPr>
          <w:rFonts w:ascii="方正小标宋_GBK" w:eastAsia="方正小标宋_GBK" w:hAnsi="华文中宋" w:cs="宋体" w:hint="eastAsia"/>
          <w:b/>
          <w:kern w:val="0"/>
          <w:sz w:val="44"/>
          <w:szCs w:val="44"/>
        </w:rPr>
        <w:t>部门单位项目支出绩效评价报告</w:t>
      </w:r>
    </w:p>
    <w:p w14:paraId="55AE2A33" w14:textId="77777777" w:rsidR="001D59F7" w:rsidRDefault="001D59F7">
      <w:pPr>
        <w:spacing w:line="570" w:lineRule="exact"/>
        <w:jc w:val="center"/>
        <w:rPr>
          <w:rFonts w:ascii="华文中宋" w:eastAsia="华文中宋" w:hAnsi="华文中宋" w:cs="宋体"/>
          <w:b/>
          <w:kern w:val="0"/>
          <w:sz w:val="52"/>
          <w:szCs w:val="52"/>
        </w:rPr>
      </w:pPr>
    </w:p>
    <w:p w14:paraId="1595D187" w14:textId="77777777" w:rsidR="001D59F7" w:rsidRDefault="00000000">
      <w:pPr>
        <w:spacing w:line="57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仿宋_GB2312" w:eastAsia="仿宋_GB2312" w:hAnsi="楷体" w:hint="eastAsia"/>
          <w:spacing w:val="-4"/>
          <w:sz w:val="32"/>
          <w:szCs w:val="32"/>
        </w:rPr>
        <w:t>2022</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F93EA35" w14:textId="77777777" w:rsidR="001D59F7" w:rsidRDefault="001D59F7">
      <w:pPr>
        <w:spacing w:line="570" w:lineRule="exact"/>
        <w:jc w:val="center"/>
        <w:rPr>
          <w:rFonts w:eastAsia="仿宋_GB2312" w:hAnsi="宋体" w:cs="宋体"/>
          <w:kern w:val="0"/>
          <w:sz w:val="30"/>
          <w:szCs w:val="30"/>
        </w:rPr>
      </w:pPr>
    </w:p>
    <w:p w14:paraId="588CB5A4" w14:textId="77777777" w:rsidR="001D59F7" w:rsidRDefault="001D59F7">
      <w:pPr>
        <w:spacing w:line="570" w:lineRule="exact"/>
        <w:jc w:val="center"/>
        <w:rPr>
          <w:rFonts w:eastAsia="仿宋_GB2312" w:hAnsi="宋体" w:cs="宋体"/>
          <w:kern w:val="0"/>
          <w:sz w:val="30"/>
          <w:szCs w:val="30"/>
        </w:rPr>
      </w:pPr>
    </w:p>
    <w:p w14:paraId="29212BDF" w14:textId="77777777" w:rsidR="001D59F7" w:rsidRDefault="001D59F7">
      <w:pPr>
        <w:spacing w:line="570" w:lineRule="exact"/>
        <w:jc w:val="center"/>
        <w:rPr>
          <w:rFonts w:eastAsia="仿宋_GB2312" w:hAnsi="宋体" w:cs="宋体"/>
          <w:kern w:val="0"/>
          <w:sz w:val="30"/>
          <w:szCs w:val="30"/>
        </w:rPr>
      </w:pPr>
    </w:p>
    <w:p w14:paraId="789CD4F0" w14:textId="77777777" w:rsidR="001D59F7" w:rsidRDefault="001D59F7">
      <w:pPr>
        <w:spacing w:line="570" w:lineRule="exact"/>
        <w:jc w:val="center"/>
        <w:rPr>
          <w:rFonts w:eastAsia="仿宋_GB2312" w:hAnsi="宋体" w:cs="宋体"/>
          <w:kern w:val="0"/>
          <w:sz w:val="30"/>
          <w:szCs w:val="30"/>
        </w:rPr>
      </w:pPr>
    </w:p>
    <w:p w14:paraId="33A1ED9B" w14:textId="77777777" w:rsidR="001D59F7" w:rsidRDefault="001D59F7">
      <w:pPr>
        <w:spacing w:line="570" w:lineRule="exact"/>
        <w:jc w:val="center"/>
        <w:rPr>
          <w:rFonts w:eastAsia="仿宋_GB2312" w:hAnsi="宋体" w:cs="宋体"/>
          <w:kern w:val="0"/>
          <w:sz w:val="30"/>
          <w:szCs w:val="30"/>
        </w:rPr>
      </w:pPr>
    </w:p>
    <w:p w14:paraId="662514DE" w14:textId="77777777" w:rsidR="001D59F7" w:rsidRDefault="001D59F7">
      <w:pPr>
        <w:spacing w:line="570" w:lineRule="exact"/>
        <w:jc w:val="center"/>
        <w:rPr>
          <w:rFonts w:eastAsia="仿宋_GB2312" w:hAnsi="宋体" w:cs="宋体"/>
          <w:kern w:val="0"/>
          <w:sz w:val="30"/>
          <w:szCs w:val="30"/>
        </w:rPr>
      </w:pPr>
    </w:p>
    <w:p w14:paraId="379E8661" w14:textId="77777777" w:rsidR="001D59F7" w:rsidRDefault="00000000">
      <w:pPr>
        <w:spacing w:line="70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项目名称：</w:t>
      </w:r>
      <w:r>
        <w:rPr>
          <w:rStyle w:val="ad"/>
          <w:rFonts w:ascii="仿宋" w:eastAsia="仿宋" w:hAnsi="仿宋" w:cs="仿宋" w:hint="eastAsia"/>
          <w:b w:val="0"/>
          <w:bCs w:val="0"/>
          <w:spacing w:val="-4"/>
          <w:sz w:val="32"/>
          <w:szCs w:val="32"/>
        </w:rPr>
        <w:t>提孜那甫乡中央政法纪检监察转移支付资金项目</w:t>
      </w:r>
    </w:p>
    <w:p w14:paraId="57960922" w14:textId="77777777" w:rsidR="001D59F7" w:rsidRDefault="00000000">
      <w:pPr>
        <w:spacing w:line="57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实施单位（公章）：</w:t>
      </w:r>
      <w:r>
        <w:rPr>
          <w:rStyle w:val="ad"/>
          <w:rFonts w:ascii="仿宋" w:eastAsia="仿宋" w:hAnsi="仿宋" w:cs="仿宋" w:hint="eastAsia"/>
          <w:b w:val="0"/>
          <w:bCs w:val="0"/>
          <w:spacing w:val="-4"/>
          <w:sz w:val="32"/>
          <w:szCs w:val="32"/>
        </w:rPr>
        <w:t>塔什库尔干塔吉克自治县提孜那甫乡人民政府（本级）</w:t>
      </w:r>
    </w:p>
    <w:p w14:paraId="31E94BA6" w14:textId="77777777" w:rsidR="001D59F7" w:rsidRDefault="00000000">
      <w:pPr>
        <w:spacing w:line="54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主管部门（公章）：</w:t>
      </w:r>
      <w:r>
        <w:rPr>
          <w:rStyle w:val="ad"/>
          <w:rFonts w:ascii="仿宋" w:eastAsia="仿宋" w:hAnsi="仿宋" w:cs="仿宋" w:hint="eastAsia"/>
          <w:b w:val="0"/>
          <w:bCs w:val="0"/>
          <w:spacing w:val="-4"/>
          <w:sz w:val="32"/>
          <w:szCs w:val="32"/>
        </w:rPr>
        <w:t>提孜那甫乡人民政府</w:t>
      </w:r>
    </w:p>
    <w:p w14:paraId="5E07E12A" w14:textId="77777777" w:rsidR="001D59F7" w:rsidRDefault="00000000">
      <w:pPr>
        <w:spacing w:line="57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项目负责人（签章）：</w:t>
      </w:r>
      <w:r>
        <w:rPr>
          <w:rStyle w:val="ad"/>
          <w:rFonts w:ascii="仿宋" w:eastAsia="仿宋" w:hAnsi="仿宋" w:cs="仿宋" w:hint="eastAsia"/>
          <w:b w:val="0"/>
          <w:bCs w:val="0"/>
          <w:spacing w:val="-4"/>
          <w:sz w:val="32"/>
          <w:szCs w:val="32"/>
        </w:rPr>
        <w:t>王萍</w:t>
      </w:r>
    </w:p>
    <w:p w14:paraId="6F55FB7F" w14:textId="77777777" w:rsidR="001D59F7" w:rsidRDefault="00000000">
      <w:pPr>
        <w:spacing w:line="540" w:lineRule="exact"/>
        <w:ind w:firstLineChars="100" w:firstLine="360"/>
        <w:rPr>
          <w:rStyle w:val="ad"/>
          <w:rFonts w:ascii="仿宋" w:eastAsia="仿宋" w:hAnsi="仿宋" w:cs="仿宋"/>
          <w:b w:val="0"/>
          <w:bCs w:val="0"/>
          <w:spacing w:val="-4"/>
          <w:sz w:val="32"/>
          <w:szCs w:val="32"/>
        </w:rPr>
      </w:pPr>
      <w:r>
        <w:rPr>
          <w:rFonts w:ascii="仿宋" w:eastAsia="仿宋" w:hAnsi="仿宋" w:cs="仿宋" w:hint="eastAsia"/>
          <w:kern w:val="0"/>
          <w:sz w:val="36"/>
          <w:szCs w:val="36"/>
        </w:rPr>
        <w:t>填报时间：</w:t>
      </w:r>
      <w:r>
        <w:rPr>
          <w:rStyle w:val="ad"/>
          <w:rFonts w:ascii="仿宋" w:eastAsia="仿宋" w:hAnsi="仿宋" w:cs="仿宋" w:hint="eastAsia"/>
          <w:b w:val="0"/>
          <w:bCs w:val="0"/>
          <w:spacing w:val="-4"/>
          <w:sz w:val="32"/>
          <w:szCs w:val="32"/>
        </w:rPr>
        <w:t>2023年03月10日</w:t>
      </w:r>
    </w:p>
    <w:p w14:paraId="509E1EE9" w14:textId="77777777" w:rsidR="001D59F7" w:rsidRDefault="00000000">
      <w:pPr>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br w:type="page"/>
      </w:r>
    </w:p>
    <w:p w14:paraId="5D14C083"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一、基本情况</w:t>
      </w:r>
    </w:p>
    <w:p w14:paraId="002A42B3" w14:textId="77777777" w:rsidR="001D59F7" w:rsidRDefault="00000000">
      <w:pPr>
        <w:spacing w:line="570" w:lineRule="exact"/>
        <w:ind w:firstLineChars="200" w:firstLine="627"/>
        <w:rPr>
          <w:rStyle w:val="ad"/>
          <w:rFonts w:ascii="方正楷体_GBK" w:eastAsia="方正楷体_GBK" w:hAnsi="方正楷体_GBK" w:cs="方正楷体_GBK"/>
          <w:bCs w:val="0"/>
          <w:spacing w:val="-4"/>
          <w:sz w:val="32"/>
          <w:szCs w:val="32"/>
        </w:rPr>
      </w:pPr>
      <w:r>
        <w:rPr>
          <w:rStyle w:val="ad"/>
          <w:rFonts w:ascii="楷体" w:eastAsia="楷体" w:hAnsi="楷体" w:cs="楷体" w:hint="eastAsia"/>
          <w:bCs w:val="0"/>
          <w:spacing w:val="-4"/>
          <w:sz w:val="32"/>
          <w:szCs w:val="32"/>
        </w:rPr>
        <w:t>（一）项目概况。包括项目背景、主要内容及实施情况、资金投入和使用情况等。</w:t>
      </w:r>
    </w:p>
    <w:p w14:paraId="704D901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根据地区财政局《关于拨付2022年中央政法纪检监察转移支付资金的通知》喀地财行【2022】22号文件要求，旨在评价中央政法纪检监察转移支付资金项目实施前期、过程及效果，评价财政预算资金使用的效率及效益。通过该项目的实施，通过此项目的实施，可以很大程度上提升纪检监察工作人员的工作积极性，保障纪检监察工作的正常开展。</w:t>
        <w:br/>
        <w:t>2. 主要内容及实施情况</w:t>
        <w:br/>
        <w:t>本项目具体实施规模：本项目属于业务工作经费类项目，涉及塔什库尔干县提孜那甫乡纪委（监察办公室）以及纪检监察工作人员；用于对提孜那甫乡纪委（监察办公室）开展业务工作经费保障；通过此项目的实施，可以很大程度上提升纪检监察工作人员的工作积极性，保障纪检监察工作的正常开展。</w:t>
        <w:br/>
        <w:t>3.项目实施主体</w:t>
        <w:br/>
        <w:t>提孜那甫乡人民政府为差额事业单位，纳入2022年部门决算编制范围的有5个办公室：党政办公室、党建办公室、经济发展办公室、社会事务办公室、综合执法办公室。</w:t>
        <w:br/>
        <w:t>编制人数64人，其中：行政人员编制40人、工勤2人、事业编制22人。实有在职人数78人，其中：行政在职38人、工勤2人、参公18人、事业在职20人。离退休人员25人，其中：行政退休人员19人、事业退休6人。</w:t>
        <w:br/>
        <w:t>4. 资金投入和使用情况</w:t>
        <w:br/>
        <w:t>喀地财行【2020】22号共安排下达资金1万元，为专项资金，最终确定项目资金总数为1万元。</w:t>
        <w:br/>
        <w:t>截至2022年12月31日，实际支出1万元，预算执行率100%。</w:t>
      </w:r>
    </w:p>
    <w:p w14:paraId="6A9D8BA2"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（二）项目绩效目标。包括总体目标和阶段性目标。</w:t>
      </w:r>
    </w:p>
    <w:p w14:paraId="3902C6CE"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项目绩效目标包括项目绩效总目标和阶段性目标。</w:t>
        <w:br/>
        <w:t>1.项目绩效总目标</w:t>
        <w:br/>
        <w:t>该项目投资1万元，其中0.35万元用于办案经费，0.65万元用于业务装备。用于提孜那甫乡纪检监察办公室办案产生的差旅费、交通费、办公用品购置等费用，保障纪检监察各项工作顺利开展。资金足额拨付率95%以上，资金按时拨付率95%以上，受益干部满意度95%以上。</w:t>
        <w:br/>
        <w:t>2.阶段性目标</w:t>
        <w:br/>
        <w:t>根据工作开展进度，支付提孜那甫乡纪检监察办公室办案产生的差旅费、交通费、办公用品购置等费用，确保纪检监察各项工作顺利开展。</w:t>
      </w:r>
    </w:p>
    <w:p w14:paraId="3A919777"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二、绩效评价工作开展情况</w:t>
      </w:r>
    </w:p>
    <w:p w14:paraId="7E6C86C5"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（一）绩效评价目的、对象和范围。</w:t>
      </w:r>
    </w:p>
    <w:p w14:paraId="247B2BE7"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14:paraId="24500BF8"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（二）绩效评价原则、评价指标体系（附表说明）、评价方法、评价标准等。</w:t>
      </w:r>
    </w:p>
    <w:p w14:paraId="2DE7F4C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</w:t>
        <w:br/>
        <w:t>3. 绩效评价方法</w:t>
        <w:br/>
        <w:t>本次绩效评价方法的选用坚持简便有效的原则采用综合分析法。采用定量与定性评价相结合的比较法，公众评判法，总分由各项指标得分汇总形成。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14:paraId="36A614F1"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（三）绩效评价工作过程。</w:t>
      </w:r>
    </w:p>
    <w:p w14:paraId="1C7E2031"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齐德华任评价组组长，绩效评价工作职责为负责全盘工作。</w:t>
        <w:br/>
        <w:t>艾力艾孜孜·希拉瓦尔、王媛、周军任评价组副组长，绩效评价工作职责为为对项目实施情况进行实地调查。</w:t>
        <w:br/>
        <w:t>戴耀峰、王元豪任评价组成员，绩效评价工作职责为负责资料审核等工作。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14:paraId="2DA5CB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三、综合评价情况及评价结论</w:t>
      </w:r>
    </w:p>
    <w:p w14:paraId="4C8DDC1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（一）综合评价情况</w:t>
        <w:br/>
        <w:t>经评价组通过实地调研、综合分析法、问卷调查法等方式，主要采用综合分析法对项目的决策、实施、产出、效益进行综合评价分析，最终评分100分。</w:t>
        <w:br/>
        <w:t>提孜那甫乡中央政法纪检监察转移支付资金项目</w:t>
        <w:br/>
        <w:t>得分情况表</w:t>
        <w:br/>
        <w:t>一级指标	权重	得分率	实际得分</w:t>
        <w:br/>
        <w:t>项目决策	20	100%	20</w:t>
        <w:br/>
        <w:t>项目过程	20	100%	20</w:t>
        <w:br/>
        <w:t>项目产出	40	100%	40</w:t>
        <w:br/>
        <w:t>项目效益	20	100%	20</w:t>
        <w:br/>
        <w:t>合计	100	100%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塔什库尔干塔吉克自治县提孜那甫乡人民政府已完成提孜那甫乡中央政法纪检监察转移支付资金项目，推动了纪检监察各项工作顺利开展。该项目最终评分100分，绩效评级为“优”。</w:t>
      </w:r>
    </w:p>
    <w:p w14:paraId="7940CAF2" w14:textId="77777777" w:rsidR="001D59F7" w:rsidRDefault="00000000">
      <w:pPr>
        <w:spacing w:line="570" w:lineRule="exact"/>
        <w:ind w:firstLineChars="200" w:firstLine="624"/>
        <w:rPr>
          <w:rStyle w:val="ad"/>
          <w:rFonts w:ascii="黑体" w:eastAsia="黑体" w:hAnsi="黑体" w:cs="黑体"/>
          <w:b w:val="0"/>
          <w:sz w:val="32"/>
          <w:szCs w:val="32"/>
        </w:rPr>
      </w:pPr>
      <w:r>
        <w:rPr>
          <w:rStyle w:val="ad"/>
          <w:rFonts w:ascii="黑体" w:eastAsia="黑体" w:hAnsi="黑体" w:cs="黑体" w:hint="eastAsia"/>
          <w:b w:val="0"/>
          <w:spacing w:val="-4"/>
          <w:sz w:val="32"/>
          <w:szCs w:val="32"/>
        </w:rPr>
        <w:t xml:space="preserve">四、绩效评价指标分析 </w:t>
      </w:r>
    </w:p>
    <w:p w14:paraId="45B6A46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（一）项目决策情况。</w:t>
      </w:r>
    </w:p>
    <w:p w14:paraId="0ACD818C"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项目决策类指标包括项目立项、绩效目标和资金投入三方面的内容，由6个三级指标构成，权重分为 20 分，实际得分20分，得分率为100%。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（1）立项依据充分性：结合塔什库尔干塔吉克自治县提孜那甫乡人民政府职责，并组织实施。围绕2022年度工作重点和工作计划制定经费预算，根据评分标准，该指标不扣分，得3分。</w:t>
        <w:br/>
        <w:t>（2）立项程序规范性：根据决策依据编制工作计划和经费预算，经过与分管领导进行沟通、筛选确定经费预算计划，上党委会研究确定最终预算方案，根据评分标准，该指标不扣分，得2分。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预算编制经过科学论证，内容与项目内容匹配，项目投资额与工作任务相匹配，根据评分标准，该指标不扣分，得5分。</w:t>
        <w:br/>
        <w:t>（6）资金分配合理性：资金分配与实际相适应，根据评分标准，该指标不扣分，得5分。</w:t>
      </w:r>
    </w:p>
    <w:p w14:paraId="08EF9CF2"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（二）项目过程情况。</w:t>
      </w:r>
    </w:p>
    <w:p w14:paraId="6B64B585"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项目过程类指标包括资金管理和组织实施两方面的内容，由 5个三级指标构成，权重分为20分，实际得分20 分，得分率为100%。</w:t>
        <w:br/>
        <w:t>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（1）资金到位率：财政资金足额拨付到位，牵头单位能够及时足额按照合同约定将专项资金拨付给联合体单位，根据评分标准，该指标不扣分，得5分。   </w:t>
        <w:br/>
        <w:t>（2）预算执行率：预算编制较为详细，项目资金支出总体能够按照预算执行，根据评分标准，该指标不扣分，得5分。</w:t>
        <w:br/>
        <w:t>（3）资金使用合规性：制定了相关的制度和管理规定对经费使用进行规范管理，财务制度健全、执行严格，根据评分标准，该指标不扣分，得5分。</w:t>
        <w:br/>
        <w:t>（4）管理制度健全性：制定了党校相关管理办法，对财政专项资金进行严格管理，基本做到了专款专用，根据评分标准，该指标不扣分，得2分。</w:t>
        <w:b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14:paraId="1194A5B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（三）项目产出情况。</w:t>
      </w:r>
    </w:p>
    <w:p w14:paraId="0EA5C3EF"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项目产出类指标包括产出数量、产出质量、产出时效、产出成本四方面的内容，由8个三级指标构成，权重分为40分，实际得分40分，得分率为100%。</w:t>
        <w:br/>
        <w:t>项目产出指标得分情况</w:t>
        <w:br/>
        <w:t>三级指标	权重	得分率	实际得分</w:t>
        <w:br/>
        <w:t>产出数量	10	100%	10</w:t>
        <w:br/>
        <w:t>产出质量	10	100%	10</w:t>
        <w:br/>
        <w:t>产出时效	10	100%	10</w:t>
        <w:br/>
        <w:t>成本情况	10	100%	10</w:t>
        <w:br/>
        <w:t>合计	40	100%	40</w:t>
        <w:br/>
        <w:t>（1）对于“产出数量”</w:t>
        <w:br/>
        <w:t>保障纪检监察办案经费数量1个，与预期目标一致，根据评分标准，该指标不扣分，得5分。</w:t>
        <w:br/>
        <w:t>业务装备经费数量1个，与预期目标一致，根据评分标准，该指标不扣分，得5分。</w:t>
        <w:br/>
        <w:t>合计得10分。</w:t>
        <w:br/>
        <w:t>（2）对于“产出质量”：</w:t>
        <w:br/>
        <w:t>资金足额拨付率100%，与预期目标一致，根据评分标准，该指标不扣分，得5分。</w:t>
        <w:br/>
        <w:t>资金保障率100%，与预期目标一致，根据评分标准，该指标不扣分，得5分。</w:t>
        <w:br/>
        <w:t>合计得10分。</w:t>
        <w:br/>
        <w:t>（3）对于“产出时效”：</w:t>
        <w:br/>
        <w:t>资金按时拨付率100%，与预期目标一致，根据评分标准，该指标不扣分，得5分。</w:t>
        <w:br/>
        <w:t>项目完工时间2022年12月30日，与预期目标指标一致，根据评分标准，该指标不扣分，得5分。</w:t>
        <w:br/>
        <w:t>合计得10分。</w:t>
        <w:br/>
        <w:t>（4）对于“产出成本”：</w:t>
        <w:br/>
        <w:t>保障纪检监察办案经费支出成本3500元，与预期目标一致，根据评分标准，该指标不扣分，得5分。</w:t>
        <w:br/>
        <w:t>业务装备费支出成本6500元，与预期目标一致，根据评分标准，该指标不扣分，得5分。</w:t>
        <w:br/>
        <w:t>合计得10分。</w:t>
      </w:r>
    </w:p>
    <w:p w14:paraId="085A5DA0"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（四）项目效益情况。</w:t>
      </w:r>
    </w:p>
    <w:p w14:paraId="0DC686A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项目效益类指标包括项目效益1个方面的内容，由3个三级指标构成，权重分为20分，实际得分20分，得分率为100%。</w:t>
        <w:br/>
        <w:t>项目绩效指标得分情况</w:t>
        <w:br/>
        <w:t>三级指标	权重	得分率	实际得分</w:t>
        <w:br/>
        <w:t>实施效益	10	100%	10</w:t>
        <w:br/>
        <w:t>			</w:t>
        <w:br/>
        <w:t>满意度	10	100%	10</w:t>
        <w:br/>
        <w:t>合计	20	100%	20</w:t>
        <w:br/>
        <w:t>1.实施效益指标：</w:t>
        <w:br/>
        <w:t>（1）对于“社会效益指标”：</w:t>
        <w:br/>
        <w:t>提高纪委成员工作积极性有效提升，与预期指标一致，根据评分标准，该指标不扣分，得5分。</w:t>
        <w:br/>
        <w:t>（2）对于“可持续影响指标”：</w:t>
        <w:br/>
        <w:t>该项目可持续影响年限1年，与预期指标一致，根据评分标准，该指标不扣分，得5分。</w:t>
        <w:br/>
        <w:t>实施效益指标合计得10分。</w:t>
        <w:br/>
        <w:t>（3）对于“经济效益指标”：</w:t>
        <w:br/>
        <w:t>无；</w:t>
        <w:br/>
        <w:t>（4）对于“生态效益指标”：</w:t>
        <w:br/>
        <w:t>无。</w:t>
        <w:br/>
        <w:t>2.满意度指标:</w:t>
        <w:br/>
        <w:t>对于“满意度指标：受益干部满意度100%，与预期目标一致，根据评分标准，该指标不扣分，得10分。</w:t>
      </w:r>
    </w:p>
    <w:p w14:paraId="1427E7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五、预算执行进度与绩效指标偏差</w:t>
      </w:r>
    </w:p>
    <w:p w14:paraId="59F9E263" w14:textId="77777777" w:rsidR="001D59F7" w:rsidRDefault="00000000">
      <w:pPr>
        <w:spacing w:line="540" w:lineRule="exact"/>
        <w:ind w:firstLine="567"/>
        <w:rPr>
          <w:rFonts w:ascii="仿宋" w:eastAsia="仿宋" w:hAnsi="仿宋" w:cs="仿宋"/>
          <w:spacing w:val="-4"/>
          <w:sz w:val="32"/>
          <w:szCs w:val="32"/>
        </w:rPr>
      </w:pPr>
      <w:r>
        <w:rPr>
          <w:rStyle w:val="ad"/>
          <w:rFonts w:ascii="仿宋" w:eastAsia="仿宋" w:hAnsi="仿宋" w:cs="仿宋" w:hint="eastAsia"/>
          <w:b w:val="0"/>
          <w:bCs w:val="0"/>
          <w:spacing w:val="-4"/>
          <w:sz w:val="32"/>
          <w:szCs w:val="32"/>
        </w:rPr>
        <w:t>提孜那甫乡中央政法纪检监察转移支付资金项目预算1万元，到位1万元，实际支出1万元，预算执行率为100%，项目绩效指标总体完成率为100%，无偏差。</w:t>
      </w:r>
    </w:p>
    <w:p w14:paraId="626EE800"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六、主要经验及做法、存在的问题及原因分析</w:t>
      </w:r>
    </w:p>
    <w:p w14:paraId="53C72163"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（一）主要经验及做法</w:t>
        <w:br/>
        <w:t>一是本项目能够严格按照《项目实施方案》执行，项目执行情况较好。二是加强组织领导，本项目绩效评价工作，有县政府主要领导亲自挂帅，分管县领导具体负责，从项目到资金，均能后很好的执行。三是加强沟通协调，我单位及时向县领导汇报项目建设进度，加强与施工单位的沟通，确保项目按期完工。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1958C78E"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七、有关建议</w:t>
      </w:r>
    </w:p>
    <w:p w14:paraId="7DEC5E5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w:t>
      </w:r>
    </w:p>
    <w:p w14:paraId="6FEBFB95"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八、其他需要说明的问题</w:t>
      </w:r>
    </w:p>
    <w:p w14:paraId="4B1F6429"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我单位对上述项目支出绩效评价报告内反映内容的真实性、完整性负责，接受上级部门及社会公众监督。</w:t>
      </w:r>
    </w:p>
    <w:p w14:paraId="0E525B6E" w14:textId="77777777" w:rsidR="001D59F7" w:rsidRDefault="001D59F7">
      <w:pPr>
        <w:spacing w:line="540" w:lineRule="exact"/>
        <w:ind w:firstLine="567"/>
        <w:rPr>
          <w:rStyle w:val="ad"/>
          <w:rFonts w:ascii="黑体" w:eastAsia="黑体" w:hAnsi="黑体" w:cs="黑体"/>
          <w:b w:val="0"/>
          <w:bCs w:val="0"/>
          <w:spacing w:val="-4"/>
          <w:sz w:val="32"/>
          <w:szCs w:val="32"/>
        </w:rPr>
      </w:pPr>
    </w:p>
    <w:p w14:paraId="088A38F8" w14:textId="77777777" w:rsidR="001D59F7" w:rsidRDefault="001D59F7">
      <w:pPr>
        <w:spacing w:line="540" w:lineRule="exact"/>
        <w:ind w:firstLine="567"/>
        <w:rPr>
          <w:rStyle w:val="ad"/>
          <w:rFonts w:ascii="黑体" w:eastAsia="黑体" w:hAnsi="黑体" w:cs="黑体"/>
          <w:b w:val="0"/>
          <w:bCs w:val="0"/>
          <w:spacing w:val="-4"/>
          <w:sz w:val="32"/>
          <w:szCs w:val="32"/>
        </w:rPr>
      </w:pPr>
    </w:p>
    <w:sectPr w:rsidR="001D59F7">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B848C" w14:textId="77777777" w:rsidR="00164EEB" w:rsidRDefault="00164EEB">
      <w:r>
        <w:separator/>
      </w:r>
    </w:p>
  </w:endnote>
  <w:endnote w:type="continuationSeparator" w:id="0">
    <w:p w14:paraId="6523E723" w14:textId="77777777" w:rsidR="00164EEB" w:rsidRDefault="00164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微软雅黑"/>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703A45A3" w14:textId="77777777" w:rsidR="001D59F7" w:rsidRDefault="00000000">
        <w:pPr>
          <w:pStyle w:val="a5"/>
          <w:jc w:val="center"/>
        </w:pPr>
        <w:r>
          <w:fldChar w:fldCharType="begin"/>
        </w:r>
        <w:r>
          <w:instrText>PAGE   \* MERGEFORMAT</w:instrText>
        </w:r>
        <w:r>
          <w:fldChar w:fldCharType="separate"/>
        </w:r>
        <w:r>
          <w:rPr>
            <w:lang w:val="zh-CN"/>
          </w:rPr>
          <w:t>1</w:t>
        </w:r>
        <w:r>
          <w:fldChar w:fldCharType="end"/>
        </w:r>
      </w:p>
    </w:sdtContent>
  </w:sdt>
  <w:p w14:paraId="068E755B" w14:textId="77777777" w:rsidR="001D59F7" w:rsidRDefault="001D59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971B1" w14:textId="77777777" w:rsidR="00164EEB" w:rsidRDefault="00164EEB">
      <w:r>
        <w:separator/>
      </w:r>
    </w:p>
  </w:footnote>
  <w:footnote w:type="continuationSeparator" w:id="0">
    <w:p w14:paraId="180509BF" w14:textId="77777777" w:rsidR="00164EEB" w:rsidRDefault="00164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42E4B35"/>
    <w:rsid w:val="17C32CDD"/>
    <w:rsid w:val="2A880B33"/>
    <w:rsid w:val="2AE11386"/>
    <w:rsid w:val="2D4C6AD2"/>
    <w:rsid w:val="2D5A6638"/>
    <w:rsid w:val="340D5924"/>
    <w:rsid w:val="41EC1CB5"/>
    <w:rsid w:val="43B04001"/>
    <w:rsid w:val="4609551D"/>
    <w:rsid w:val="4D2606A1"/>
    <w:rsid w:val="4DD42C22"/>
    <w:rsid w:val="50796DE0"/>
    <w:rsid w:val="5DA521F6"/>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965E3"/>
  <w15:docId w15:val="{5E203BB2-B778-493E-B8E8-15A84A71F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footer1.xml" Type="http://schemas.openxmlformats.org/officeDocument/2006/relationships/footer"/>
<Relationship Id="rId7" Target="fontTable.xml" Type="http://schemas.openxmlformats.org/officeDocument/2006/relationships/fontTable"/>
<Relationship Id="rId8"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Words>
  <Characters>593</Characters>
  <Application>Microsoft Office Word</Application>
  <DocSecurity>0</DocSecurity>
  <Lines>4</Lines>
  <Paragraphs>1</Paragraphs>
  <ScaleCrop>false</ScaleCrop>
  <Company>Microsoft</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易仁多</cp:lastModifiedBy>
  <cp:lastPrinted>2018-12-31T10:56:00Z</cp:lastPrinted>
  <dcterms:modified xsi:type="dcterms:W3CDTF">2023-03-14T11:09:00Z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B2EA7016946742F29F6179AB652E0BB8</vt:lpwstr>
  </property>
</Properties>
</file>