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5F9FF" w14:textId="77777777" w:rsidR="001D59F7" w:rsidRDefault="001D59F7">
      <w:pPr>
        <w:spacing w:line="570" w:lineRule="exact"/>
        <w:jc w:val="center"/>
        <w:rPr>
          <w:rFonts w:ascii="华文中宋" w:eastAsia="华文中宋" w:hAnsi="华文中宋" w:cs="宋体"/>
          <w:b/>
          <w:kern w:val="0"/>
          <w:sz w:val="52"/>
          <w:szCs w:val="52"/>
        </w:rPr>
      </w:pPr>
    </w:p>
    <w:p w14:paraId="46549FB3" w14:textId="77777777" w:rsidR="001D59F7" w:rsidRDefault="001D59F7">
      <w:pPr>
        <w:spacing w:line="570" w:lineRule="exact"/>
        <w:jc w:val="center"/>
        <w:rPr>
          <w:rFonts w:ascii="华文中宋" w:eastAsia="华文中宋" w:hAnsi="华文中宋" w:cs="宋体"/>
          <w:b/>
          <w:kern w:val="0"/>
          <w:sz w:val="52"/>
          <w:szCs w:val="52"/>
        </w:rPr>
      </w:pPr>
    </w:p>
    <w:p w14:paraId="377F7DCE" w14:textId="77777777" w:rsidR="001D59F7" w:rsidRDefault="001D59F7">
      <w:pPr>
        <w:spacing w:line="570" w:lineRule="exact"/>
        <w:jc w:val="center"/>
        <w:rPr>
          <w:rFonts w:ascii="华文中宋" w:eastAsia="华文中宋" w:hAnsi="华文中宋" w:cs="宋体"/>
          <w:b/>
          <w:kern w:val="0"/>
          <w:sz w:val="52"/>
          <w:szCs w:val="52"/>
        </w:rPr>
      </w:pPr>
    </w:p>
    <w:p w14:paraId="310A1144" w14:textId="77777777" w:rsidR="001D59F7" w:rsidRDefault="001D59F7">
      <w:pPr>
        <w:spacing w:line="570" w:lineRule="exact"/>
        <w:jc w:val="center"/>
        <w:rPr>
          <w:rFonts w:ascii="华文中宋" w:eastAsia="华文中宋" w:hAnsi="华文中宋" w:cs="宋体"/>
          <w:b/>
          <w:kern w:val="0"/>
          <w:sz w:val="52"/>
          <w:szCs w:val="52"/>
        </w:rPr>
      </w:pPr>
    </w:p>
    <w:p w14:paraId="6A4537D7" w14:textId="77777777" w:rsidR="001D59F7" w:rsidRDefault="001D59F7">
      <w:pPr>
        <w:spacing w:line="570" w:lineRule="exact"/>
        <w:rPr>
          <w:rFonts w:ascii="华文中宋" w:eastAsia="华文中宋" w:hAnsi="华文中宋" w:cs="宋体"/>
          <w:b/>
          <w:kern w:val="0"/>
          <w:sz w:val="52"/>
          <w:szCs w:val="52"/>
        </w:rPr>
      </w:pPr>
    </w:p>
    <w:p w14:paraId="7C7C20A6" w14:textId="77777777" w:rsidR="001D59F7" w:rsidRDefault="001D59F7">
      <w:pPr>
        <w:spacing w:line="570" w:lineRule="exact"/>
        <w:jc w:val="center"/>
        <w:rPr>
          <w:rFonts w:ascii="华文中宋" w:eastAsia="华文中宋" w:hAnsi="华文中宋" w:cs="宋体"/>
          <w:b/>
          <w:kern w:val="0"/>
          <w:sz w:val="52"/>
          <w:szCs w:val="52"/>
        </w:rPr>
      </w:pPr>
    </w:p>
    <w:p w14:paraId="40FD6F93" w14:textId="20C65D18" w:rsidR="001D59F7" w:rsidRDefault="00000000">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w:t>
      </w:r>
      <w:r w:rsidR="00D74CBE">
        <w:rPr>
          <w:rFonts w:ascii="方正小标宋_GBK" w:eastAsia="方正小标宋_GBK" w:hAnsi="华文中宋" w:cs="宋体" w:hint="eastAsia"/>
          <w:b/>
          <w:kern w:val="0"/>
          <w:sz w:val="44"/>
          <w:szCs w:val="44"/>
        </w:rPr>
        <w:t>部门单位项目支出绩效评价报告</w:t>
      </w:r>
    </w:p>
    <w:p w14:paraId="55AE2A33" w14:textId="77777777" w:rsidR="001D59F7" w:rsidRDefault="001D59F7">
      <w:pPr>
        <w:spacing w:line="570" w:lineRule="exact"/>
        <w:jc w:val="center"/>
        <w:rPr>
          <w:rFonts w:ascii="华文中宋" w:eastAsia="华文中宋" w:hAnsi="华文中宋" w:cs="宋体"/>
          <w:b/>
          <w:kern w:val="0"/>
          <w:sz w:val="52"/>
          <w:szCs w:val="52"/>
        </w:rPr>
      </w:pPr>
    </w:p>
    <w:p w14:paraId="1595D187" w14:textId="77777777" w:rsidR="001D59F7" w:rsidRDefault="00000000">
      <w:pPr>
        <w:spacing w:line="57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仿宋_GB2312" w:eastAsia="仿宋_GB2312" w:hAnsi="楷体" w:hint="eastAsia"/>
          <w:spacing w:val="-4"/>
          <w:sz w:val="32"/>
          <w:szCs w:val="32"/>
        </w:rPr>
        <w:t>2022</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F93EA35" w14:textId="77777777" w:rsidR="001D59F7" w:rsidRDefault="001D59F7">
      <w:pPr>
        <w:spacing w:line="570" w:lineRule="exact"/>
        <w:jc w:val="center"/>
        <w:rPr>
          <w:rFonts w:eastAsia="仿宋_GB2312" w:hAnsi="宋体" w:cs="宋体"/>
          <w:kern w:val="0"/>
          <w:sz w:val="30"/>
          <w:szCs w:val="30"/>
        </w:rPr>
      </w:pPr>
    </w:p>
    <w:p w14:paraId="588CB5A4" w14:textId="77777777" w:rsidR="001D59F7" w:rsidRDefault="001D59F7">
      <w:pPr>
        <w:spacing w:line="570" w:lineRule="exact"/>
        <w:jc w:val="center"/>
        <w:rPr>
          <w:rFonts w:eastAsia="仿宋_GB2312" w:hAnsi="宋体" w:cs="宋体"/>
          <w:kern w:val="0"/>
          <w:sz w:val="30"/>
          <w:szCs w:val="30"/>
        </w:rPr>
      </w:pPr>
    </w:p>
    <w:p w14:paraId="29212BDF" w14:textId="77777777" w:rsidR="001D59F7" w:rsidRDefault="001D59F7">
      <w:pPr>
        <w:spacing w:line="570" w:lineRule="exact"/>
        <w:jc w:val="center"/>
        <w:rPr>
          <w:rFonts w:eastAsia="仿宋_GB2312" w:hAnsi="宋体" w:cs="宋体"/>
          <w:kern w:val="0"/>
          <w:sz w:val="30"/>
          <w:szCs w:val="30"/>
        </w:rPr>
      </w:pPr>
    </w:p>
    <w:p w14:paraId="789CD4F0" w14:textId="77777777" w:rsidR="001D59F7" w:rsidRDefault="001D59F7">
      <w:pPr>
        <w:spacing w:line="570" w:lineRule="exact"/>
        <w:jc w:val="center"/>
        <w:rPr>
          <w:rFonts w:eastAsia="仿宋_GB2312" w:hAnsi="宋体" w:cs="宋体"/>
          <w:kern w:val="0"/>
          <w:sz w:val="30"/>
          <w:szCs w:val="30"/>
        </w:rPr>
      </w:pPr>
    </w:p>
    <w:p w14:paraId="33A1ED9B" w14:textId="77777777" w:rsidR="001D59F7" w:rsidRDefault="001D59F7">
      <w:pPr>
        <w:spacing w:line="570" w:lineRule="exact"/>
        <w:jc w:val="center"/>
        <w:rPr>
          <w:rFonts w:eastAsia="仿宋_GB2312" w:hAnsi="宋体" w:cs="宋体"/>
          <w:kern w:val="0"/>
          <w:sz w:val="30"/>
          <w:szCs w:val="30"/>
        </w:rPr>
      </w:pPr>
    </w:p>
    <w:p w14:paraId="662514DE" w14:textId="77777777" w:rsidR="001D59F7" w:rsidRDefault="001D59F7">
      <w:pPr>
        <w:spacing w:line="570" w:lineRule="exact"/>
        <w:jc w:val="center"/>
        <w:rPr>
          <w:rFonts w:eastAsia="仿宋_GB2312" w:hAnsi="宋体" w:cs="宋体"/>
          <w:kern w:val="0"/>
          <w:sz w:val="30"/>
          <w:szCs w:val="30"/>
        </w:rPr>
      </w:pPr>
    </w:p>
    <w:p w14:paraId="379E8661" w14:textId="77777777" w:rsidR="001D59F7" w:rsidRDefault="00000000">
      <w:pPr>
        <w:spacing w:line="70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项目名称：</w:t>
      </w:r>
      <w:r>
        <w:rPr>
          <w:rStyle w:val="ad"/>
          <w:rFonts w:ascii="仿宋" w:eastAsia="仿宋" w:hAnsi="仿宋" w:cs="仿宋" w:hint="eastAsia"/>
          <w:b w:val="0"/>
          <w:bCs w:val="0"/>
          <w:spacing w:val="-4"/>
          <w:sz w:val="32"/>
          <w:szCs w:val="32"/>
        </w:rPr>
        <w:t>塔什库尔干镇基层补贴项目</w:t>
      </w:r>
    </w:p>
    <w:p w14:paraId="57960922" w14:textId="77777777" w:rsidR="001D59F7" w:rsidRDefault="00000000">
      <w:pPr>
        <w:spacing w:line="57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实施单位（公章）：</w:t>
      </w:r>
      <w:r>
        <w:rPr>
          <w:rStyle w:val="ad"/>
          <w:rFonts w:ascii="仿宋" w:eastAsia="仿宋" w:hAnsi="仿宋" w:cs="仿宋" w:hint="eastAsia"/>
          <w:b w:val="0"/>
          <w:bCs w:val="0"/>
          <w:spacing w:val="-4"/>
          <w:sz w:val="32"/>
          <w:szCs w:val="32"/>
        </w:rPr>
        <w:t>塔什库尔干塔吉克自治县塔什库尔干镇人民政府(本级)</w:t>
      </w:r>
    </w:p>
    <w:p w14:paraId="31E94BA6" w14:textId="77777777" w:rsidR="001D59F7" w:rsidRDefault="00000000">
      <w:pPr>
        <w:spacing w:line="54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主管部门（公章）：</w:t>
      </w:r>
      <w:r>
        <w:rPr>
          <w:rStyle w:val="ad"/>
          <w:rFonts w:ascii="仿宋" w:eastAsia="仿宋" w:hAnsi="仿宋" w:cs="仿宋" w:hint="eastAsia"/>
          <w:b w:val="0"/>
          <w:bCs w:val="0"/>
          <w:spacing w:val="-4"/>
          <w:sz w:val="32"/>
          <w:szCs w:val="32"/>
        </w:rPr>
        <w:t>塔什库尔干镇人民政府</w:t>
      </w:r>
    </w:p>
    <w:p w14:paraId="5E07E12A" w14:textId="77777777" w:rsidR="001D59F7" w:rsidRDefault="00000000">
      <w:pPr>
        <w:spacing w:line="57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项目负责人（签章）：</w:t>
      </w:r>
      <w:r>
        <w:rPr>
          <w:rStyle w:val="ad"/>
          <w:rFonts w:ascii="仿宋" w:eastAsia="仿宋" w:hAnsi="仿宋" w:cs="仿宋" w:hint="eastAsia"/>
          <w:b w:val="0"/>
          <w:bCs w:val="0"/>
          <w:spacing w:val="-4"/>
          <w:sz w:val="32"/>
          <w:szCs w:val="32"/>
        </w:rPr>
        <w:t>张士俊</w:t>
      </w:r>
    </w:p>
    <w:p w14:paraId="6F55FB7F" w14:textId="77777777" w:rsidR="001D59F7" w:rsidRDefault="00000000">
      <w:pPr>
        <w:spacing w:line="540" w:lineRule="exact"/>
        <w:ind w:firstLineChars="100" w:firstLine="360"/>
        <w:rPr>
          <w:rStyle w:val="ad"/>
          <w:rFonts w:ascii="仿宋" w:eastAsia="仿宋" w:hAnsi="仿宋" w:cs="仿宋"/>
          <w:b w:val="0"/>
          <w:bCs w:val="0"/>
          <w:spacing w:val="-4"/>
          <w:sz w:val="32"/>
          <w:szCs w:val="32"/>
        </w:rPr>
      </w:pPr>
      <w:r>
        <w:rPr>
          <w:rFonts w:ascii="仿宋" w:eastAsia="仿宋" w:hAnsi="仿宋" w:cs="仿宋" w:hint="eastAsia"/>
          <w:kern w:val="0"/>
          <w:sz w:val="36"/>
          <w:szCs w:val="36"/>
        </w:rPr>
        <w:t>填报时间：</w:t>
      </w:r>
      <w:r>
        <w:rPr>
          <w:rStyle w:val="ad"/>
          <w:rFonts w:ascii="仿宋" w:eastAsia="仿宋" w:hAnsi="仿宋" w:cs="仿宋" w:hint="eastAsia"/>
          <w:b w:val="0"/>
          <w:bCs w:val="0"/>
          <w:spacing w:val="-4"/>
          <w:sz w:val="32"/>
          <w:szCs w:val="32"/>
        </w:rPr>
        <w:t>2023年03月10日</w:t>
      </w:r>
    </w:p>
    <w:p w14:paraId="509E1EE9" w14:textId="77777777" w:rsidR="001D59F7" w:rsidRDefault="00000000">
      <w:pPr>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br w:type="page"/>
      </w:r>
    </w:p>
    <w:p w14:paraId="5D14C083"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一、基本情况</w:t>
      </w:r>
    </w:p>
    <w:p w14:paraId="002A42B3" w14:textId="77777777" w:rsidR="001D59F7" w:rsidRDefault="00000000">
      <w:pPr>
        <w:spacing w:line="570" w:lineRule="exact"/>
        <w:ind w:firstLineChars="200" w:firstLine="627"/>
        <w:rPr>
          <w:rStyle w:val="ad"/>
          <w:rFonts w:ascii="方正楷体_GBK" w:eastAsia="方正楷体_GBK" w:hAnsi="方正楷体_GBK" w:cs="方正楷体_GBK"/>
          <w:bCs w:val="0"/>
          <w:spacing w:val="-4"/>
          <w:sz w:val="32"/>
          <w:szCs w:val="32"/>
        </w:rPr>
      </w:pPr>
      <w:r>
        <w:rPr>
          <w:rStyle w:val="ad"/>
          <w:rFonts w:ascii="楷体" w:eastAsia="楷体" w:hAnsi="楷体" w:cs="楷体" w:hint="eastAsia"/>
          <w:bCs w:val="0"/>
          <w:spacing w:val="-4"/>
          <w:sz w:val="32"/>
          <w:szCs w:val="32"/>
        </w:rPr>
        <w:t>（一）项目概况。包括项目背景、主要内容及实施情况、资金投入和使用情况等。</w:t>
      </w:r>
    </w:p>
    <w:p w14:paraId="704D901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（一）项目概况</w:t>
        <w:br/>
        <w:t>1. 项目背景</w:t>
        <w:br/>
        <w:t>本项目遵循财政部《项目支出绩效评价管理办法》（财预〔2020〕10号）和自治区财政厅《自治区财政支出绩效评价管理暂行办法》（新财预〔2018〕189号）等相关政策文件与规定，用于对塔什库尔干镇机关及各社区2019年第四季度基层工作人员的乡镇基层补贴发放；通过此项目的实施，可以有效推进机关和各社区工作人员的工作积极性，提高日常工作效率。</w:t>
        <w:br/>
        <w:t>2. 主要内容及实施情况</w:t>
        <w:br/>
        <w:t>用于对塔什库尔干镇机关及各社区2019年第四季度基层工作人员的乡镇基层补贴发放；通过此项目的实施，可以有效推进机关和各社区工作人员的工作积极性，提高日常工作效率。</w:t>
        <w:br/>
        <w:t>3.项目实施主体</w:t>
        <w:br/>
        <w:t>塔什库尔干镇为行政单位，纳入2022年部门决算编制范围的有5个办公室：党建办、党政办、稳定办、城市经济办、纪检办。</w:t>
        <w:br/>
        <w:t>编制人数84人，其中：行政人员编制47人、参公17人、事业编制20人。实有在职人数84人，其中：行政人员编制47人、参公17人、事业编制20人。离退休人员36人，其中：行政退休人员35人、事业退休1人。</w:t>
        <w:br/>
        <w:t>4. 资金投入和使用情况</w:t>
        <w:br/>
        <w:t>2022年度塔什库尔干镇乡镇基层补贴资金项目，按照县委财经委员会报告《关于申请乡镇基层补贴资金和乡镇基层补贴资金的报告》文件要求安排5.56万元，为一般资金，最终确定项目资金总数为5.56万元。</w:t>
        <w:br/>
        <w:t>截至2022年12月31日，实际支出5.56万元，预算执行率100%。</w:t>
      </w:r>
    </w:p>
    <w:p w14:paraId="6A9D8BA2"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（二）项目绩效目标。包括总体目标和阶段性目标。</w:t>
      </w:r>
    </w:p>
    <w:p w14:paraId="3902C6CE"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（二）项目绩效目标</w:t>
        <w:br/>
        <w:t>项目绩效目标包括项目绩效总目标和阶段性目标。</w:t>
        <w:br/>
        <w:t>1.项目绩效总目标</w:t>
        <w:br/>
        <w:t>用于对塔什库尔干镇机关及各社区2019年第四季度基层工作人员的乡镇基层补贴发放；通过此项目的实施，可以有效推进机关和各社区工作人员的工作积极性，提高日常工作效率。</w:t>
        <w:br/>
        <w:t>2.阶段性目标</w:t>
        <w:br/>
        <w:t>2022年度塔什库尔干镇乡镇基层补贴资金项目，按照县委财经委员会报告《关于申请乡镇基层补贴资金和乡镇基层补贴资金的报告》文件要求，结合实际，制定《2022年度塔什库尔干镇乡镇基层补贴资金项目实施方案》。</w:t>
      </w:r>
    </w:p>
    <w:p w14:paraId="3A919777"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二、绩效评价工作开展情况</w:t>
      </w:r>
    </w:p>
    <w:p w14:paraId="7E6C86C5"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（一）绩效评价目的、对象和范围。</w:t>
      </w:r>
    </w:p>
    <w:p w14:paraId="247B2BE7"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（一）绩效评价目的、对象和范围</w:t>
        <w:b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14:paraId="24500BF8"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（二）绩效评价原则、评价指标体系（附表说明）、评价方法、评价标准等。</w:t>
      </w:r>
    </w:p>
    <w:p w14:paraId="2DE7F4C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</w:t>
        <w:br/>
        <w:t>3. 绩效评价方法</w:t>
        <w:br/>
        <w:t>本次绩效评价方法的选用坚持简便有效的原则采用综合分析法。采用定量与定性评价相结合的比较法，公众评判法，总分由各项指标得分汇总形成。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14:paraId="36A614F1"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（三）绩效评价工作过程。</w:t>
      </w:r>
    </w:p>
    <w:p w14:paraId="1C7E2031"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（三）绩效评价工作过程</w:t>
        <w:b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开巴奴·斯提卡达木任评价组组长，绩效评价工作职责为负责全盘工作。</w:t>
        <w:br/>
        <w:t>张士俊任评价组副组长，绩效评价工作职责为为对项目实施情况进行实地调查。</w:t>
        <w:br/>
        <w:t>赵现彬任评价组成员，绩效评价工作职责为负责资料审核等工作。。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14:paraId="2DA5CB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三、综合评价情况及评价结论</w:t>
      </w:r>
    </w:p>
    <w:p w14:paraId="4C8DDC1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（一）综合评价情况</w:t>
        <w:br/>
        <w:t>经评价组通过实地调研、综合分析法、问卷调查法等方式，主要采用综合分析法对项目的决策、实施、产出、效益进行综合评价分析，最终评分100分。</w:t>
        <w:br/>
        <w:t>塔什库尔干镇基层补贴项目得分情况表</w:t>
        <w:br/>
        <w:t>一级指标	权重	得分率	实际得分</w:t>
        <w:br/>
        <w:t>项目决策	20	100%	20</w:t>
        <w:br/>
        <w:t>项目过程	20	100%	20</w:t>
        <w:br/>
        <w:t>项目产出	40	100%	40</w:t>
        <w:br/>
        <w:t>项目效益	20	100%	20</w:t>
        <w:br/>
        <w:t>合计	100	100%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塔什库尔干塔吉克自治县塔什库尔干镇人民政府已完成塔什库尔干镇基层补贴项目，推动了经济的发展和可持续发展，产生良好的社会效益。该项目最终评分100分，绩效评级为“优”。</w:t>
      </w:r>
    </w:p>
    <w:p w14:paraId="7940CAF2" w14:textId="77777777" w:rsidR="001D59F7" w:rsidRDefault="00000000">
      <w:pPr>
        <w:spacing w:line="570" w:lineRule="exact"/>
        <w:ind w:firstLineChars="200" w:firstLine="624"/>
        <w:rPr>
          <w:rStyle w:val="ad"/>
          <w:rFonts w:ascii="黑体" w:eastAsia="黑体" w:hAnsi="黑体" w:cs="黑体"/>
          <w:b w:val="0"/>
          <w:sz w:val="32"/>
          <w:szCs w:val="32"/>
        </w:rPr>
      </w:pPr>
      <w:r>
        <w:rPr>
          <w:rStyle w:val="ad"/>
          <w:rFonts w:ascii="黑体" w:eastAsia="黑体" w:hAnsi="黑体" w:cs="黑体" w:hint="eastAsia"/>
          <w:b w:val="0"/>
          <w:spacing w:val="-4"/>
          <w:sz w:val="32"/>
          <w:szCs w:val="32"/>
        </w:rPr>
        <w:t xml:space="preserve">四、绩效评价指标分析 </w:t>
      </w:r>
    </w:p>
    <w:p w14:paraId="45B6A46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（一）项目决策情况。</w:t>
      </w:r>
    </w:p>
    <w:p w14:paraId="0ACD818C"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（一）项目决策情况</w:t>
        <w:br/>
        <w:t>项目决策类指标包括项目立项、绩效目标和资金投入三方面的内容，由6个三级指标构成，权重分为 20 分，实际得分20分，得分率为100%。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（1）立项依据充分性：结合塔什库尔干塔吉克自治县塔什库尔干镇人民政府职责。围绕2022年度工作重点和工作计划制定经费预算，根据评分标准，该指标不扣分，得3分。</w:t>
        <w:br/>
        <w:t>（2）立项程序规范性：根据决策依据编制工作计划和经费预算，经过与党建分管分管领导进行沟通、筛选确定经费预算计划，上党委会研究确定最终预算方案，根据评分标准，该指标不扣分，得2分。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预算编制经过科学论证，内容与项目内容匹配，项目投资额与工作任务相匹配，根据评分标准，该指标不扣分，得5分。</w:t>
        <w:br/>
        <w:t>（6）资金分配合理性：资金分配与实际相适应，根据评分标准，该指标不扣分，得5分。</w:t>
      </w:r>
    </w:p>
    <w:p w14:paraId="08EF9CF2"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（二）项目过程情况。</w:t>
      </w:r>
    </w:p>
    <w:p w14:paraId="6B64B585"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（二）项目过程情况</w:t>
        <w:br/>
        <w:t>项目过程类指标包括资金管理和组织实施两方面的内容，由 5个三级指标构成，权重分为20分，实际得分20 分，得分率为100%。</w:t>
        <w:br/>
        <w:t>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（1）资金到位率：财政资金足额拨付到位，牵头单位能够及时足额按照合同约定将专项资金拨付给联合体单位，根据评分标准，该指标不扣分，得5分。   </w:t>
        <w:br/>
        <w:t>（2）预算执行率：预算编制较为详细，项目资金支出总体能够按照预算执行，根据评分标准，该指标不扣分，得5分。</w:t>
        <w:br/>
        <w:t>（3）资金使用合规性：制定了相关的制度和管理规定对经费使用进行规范管理，财务制度健全、执行严格，根据评分标准，该指标不扣分，得5分。</w:t>
        <w:br/>
        <w:t>（4）管理制度健全性：制定了乡镇工作补贴发放相关管理办法，对财政专项资金进行严格管理，基本做到了专款专用，根据评分标准，该指标不扣分，得2分。</w:t>
        <w:br/>
        <w:t>（5）制度执行有效性：由部门提出经费预算支出可行性方案，经过与分管领导沟通后，报党委会议研究执行，财务对资金的使用合法合规性进行监督，年底对资金使用效果进行自评，根据评分标准，该指标不扣分，得3分。</w:t>
      </w:r>
    </w:p>
    <w:p w14:paraId="1194A5B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（三）项目产出情况。</w:t>
      </w:r>
    </w:p>
    <w:p w14:paraId="0EA5C3EF"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（三）项目产出情况</w:t>
        <w:br/>
        <w:t>项目产出类指标包括产出数量、产出质量、产出时效、产出成本四方面的内容，由5个三级指标构成，权重分为40分，实际得分40分，得分率为100%。</w:t>
        <w:br/>
        <w:t>项目产出指标得分情况</w:t>
        <w:br/>
        <w:t>三级指标	权重	得分率	实际得分</w:t>
        <w:br/>
        <w:t>产出数量	10	100%	10</w:t>
        <w:br/>
        <w:t>产出质量	10	100%	10</w:t>
        <w:br/>
        <w:t>产出时效	10	100%	10</w:t>
        <w:br/>
        <w:t>成本情况	10	100%	10</w:t>
        <w:br/>
        <w:t>合计	40	100%	40</w:t>
        <w:br/>
        <w:t>（1）对于“产出数量”</w:t>
        <w:br/>
        <w:t>	乡镇干部基层补贴发放人数111人，与预期目标一致，根据评分标准，该指标不扣分，得10分。</w:t>
        <w:br/>
        <w:t>合计得10分。</w:t>
        <w:br/>
        <w:t>（2）对于“产出质量”：</w:t>
        <w:br/>
        <w:t>基层补贴拨付率100%，与预期目标一致，根据评分标准，该指标不扣分，得10分。</w:t>
        <w:br/>
        <w:t>合计得10分。</w:t>
        <w:br/>
        <w:t>（3）对于“产出时效”：</w:t>
        <w:br/>
        <w:t>项目完成时间2022年12月30日，与预期目标指标一致，根据评分标准，该指标不扣分，得5分。</w:t>
        <w:br/>
        <w:t>资金支付及时率100%，与预期目标一致，根据评分标准，该指标不扣分，得5分。</w:t>
        <w:br/>
        <w:t>合计得10分。</w:t>
        <w:br/>
        <w:t>（4）对于“产出成本”：</w:t>
        <w:br/>
        <w:t>基层补贴支出成本500元/人，项目经费都能控制绩效目标范围内，根据评分标准，该指标不扣分，得10分。</w:t>
      </w:r>
    </w:p>
    <w:p w14:paraId="085A5DA0"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（四）项目效益情况。</w:t>
      </w:r>
    </w:p>
    <w:p w14:paraId="0DC686A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（四）项目效益情况</w:t>
        <w:br/>
        <w:t>项目效益类指标包括项目效益1个方面的内容，由3个三级指标构成，权重分为20分，实际得分20分，得分率为100%。</w:t>
        <w:br/>
        <w:t>项目绩效指标得分情况</w:t>
        <w:br/>
        <w:t>三级指标	权重	得分率	实际得分</w:t>
        <w:br/>
        <w:t>实施效益	10	100%	10</w:t>
        <w:br/>
        <w:t>			</w:t>
        <w:br/>
        <w:t>满意度	10	100%	10</w:t>
        <w:br/>
        <w:t>合计	20	100%	20</w:t>
        <w:br/>
        <w:t>1.实施效益指标：</w:t>
        <w:br/>
        <w:t>（1）对于“社会效益指标”：</w:t>
        <w:br/>
        <w:t>解决干部基层补贴，效果显著，与预期指标一致，根据评分标准，该指标不扣分，得5分。</w:t>
        <w:br/>
        <w:t>（2）对于“可持续影响指标”：</w:t>
        <w:br/>
        <w:t>项目可持续影响年限1年，与预期指标一致，根据评分标准，该指标不扣分，得5分。</w:t>
        <w:br/>
        <w:t>实施效益指标合计得10分。</w:t>
        <w:br/>
        <w:t>（4）对于“生态效益指标”：</w:t>
        <w:br/>
        <w:t>无；</w:t>
        <w:br/>
        <w:t>（5）对于“经济效益指标”：</w:t>
        <w:br/>
        <w:t>无。</w:t>
        <w:br/>
        <w:t>2.满意度指标:</w:t>
        <w:br/>
        <w:t>对于“满意度指标：收益乡镇干部人员满意度96%，与预期目标一致，根据评分标准，该指标不扣分,得10分。</w:t>
      </w:r>
    </w:p>
    <w:p w14:paraId="1427E7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五、预算执行进度与绩效指标偏差</w:t>
      </w:r>
    </w:p>
    <w:p w14:paraId="59F9E263" w14:textId="77777777" w:rsidR="001D59F7" w:rsidRDefault="00000000">
      <w:pPr>
        <w:spacing w:line="540" w:lineRule="exact"/>
        <w:ind w:firstLine="567"/>
        <w:rPr>
          <w:rFonts w:ascii="仿宋" w:eastAsia="仿宋" w:hAnsi="仿宋" w:cs="仿宋"/>
          <w:spacing w:val="-4"/>
          <w:sz w:val="32"/>
          <w:szCs w:val="32"/>
        </w:rPr>
      </w:pPr>
      <w:r>
        <w:rPr>
          <w:rStyle w:val="ad"/>
          <w:rFonts w:ascii="仿宋" w:eastAsia="仿宋" w:hAnsi="仿宋" w:cs="仿宋" w:hint="eastAsia"/>
          <w:b w:val="0"/>
          <w:bCs w:val="0"/>
          <w:spacing w:val="-4"/>
          <w:sz w:val="32"/>
          <w:szCs w:val="32"/>
        </w:rPr>
        <w:t>塔什库尔干镇乡镇基层补贴项目预算5.56万元，到位5.56万元，实际支出5.56万元，预算执行率为100%，项目绩效指标总体完成率为100%。</w:t>
      </w:r>
    </w:p>
    <w:p w14:paraId="626EE800"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六、主要经验及做法、存在的问题及原因分析</w:t>
      </w:r>
    </w:p>
    <w:p w14:paraId="53C72163"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（一）主要经验及做法</w:t>
        <w:br/>
        <w:t>一是本项目能够严格按照《项目实施方案》执行，项目执行情况较好。二是加强组织领导，本项目绩效评价工作，有县政府主要领导亲自挂帅，分管县领导具体负责，从项目到资金，均能后很好的执行。三是加强沟通协调，我单位及时向县领导汇报项目建设进度，加强与施工单位的沟通，确保项目按期完工。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1958C78E"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七、有关建议</w:t>
      </w:r>
    </w:p>
    <w:p w14:paraId="7DEC5E5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（一）主要经验及做法</w:t>
        <w:br/>
        <w:t>一是本项目能够严格按照《项目实施方案》执行，项目执行情况较好。二是加强组织领导，本项目绩效评价工作，有县政府主要领导亲自挂帅，分管县领导具体负责，从项目到资金，均能后很好的执行。三是加强沟通协调，我单位及时向县领导汇报项目建设进度，加强与施工单位的沟通，确保项目按期完工。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6FEBFB95"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八、其他需要说明的问题</w:t>
      </w:r>
    </w:p>
    <w:p w14:paraId="4B1F6429"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我单位对上述项目支出绩效评价报告内反映内容的真实性、完整性负责，接受上级部门及社会公众监督。</w:t>
      </w:r>
    </w:p>
    <w:p w14:paraId="0E525B6E" w14:textId="77777777" w:rsidR="001D59F7" w:rsidRDefault="001D59F7">
      <w:pPr>
        <w:spacing w:line="540" w:lineRule="exact"/>
        <w:ind w:firstLine="567"/>
        <w:rPr>
          <w:rStyle w:val="ad"/>
          <w:rFonts w:ascii="黑体" w:eastAsia="黑体" w:hAnsi="黑体" w:cs="黑体"/>
          <w:b w:val="0"/>
          <w:bCs w:val="0"/>
          <w:spacing w:val="-4"/>
          <w:sz w:val="32"/>
          <w:szCs w:val="32"/>
        </w:rPr>
      </w:pPr>
    </w:p>
    <w:p w14:paraId="088A38F8" w14:textId="77777777" w:rsidR="001D59F7" w:rsidRDefault="001D59F7">
      <w:pPr>
        <w:spacing w:line="540" w:lineRule="exact"/>
        <w:ind w:firstLine="567"/>
        <w:rPr>
          <w:rStyle w:val="ad"/>
          <w:rFonts w:ascii="黑体" w:eastAsia="黑体" w:hAnsi="黑体" w:cs="黑体"/>
          <w:b w:val="0"/>
          <w:bCs w:val="0"/>
          <w:spacing w:val="-4"/>
          <w:sz w:val="32"/>
          <w:szCs w:val="32"/>
        </w:rPr>
      </w:pPr>
    </w:p>
    <w:sectPr w:rsidR="001D59F7">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B848C" w14:textId="77777777" w:rsidR="00164EEB" w:rsidRDefault="00164EEB">
      <w:r>
        <w:separator/>
      </w:r>
    </w:p>
  </w:endnote>
  <w:endnote w:type="continuationSeparator" w:id="0">
    <w:p w14:paraId="6523E723" w14:textId="77777777" w:rsidR="00164EEB" w:rsidRDefault="00164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微软雅黑"/>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703A45A3" w14:textId="77777777" w:rsidR="001D59F7" w:rsidRDefault="00000000">
        <w:pPr>
          <w:pStyle w:val="a5"/>
          <w:jc w:val="center"/>
        </w:pPr>
        <w:r>
          <w:fldChar w:fldCharType="begin"/>
        </w:r>
        <w:r>
          <w:instrText>PAGE   \* MERGEFORMAT</w:instrText>
        </w:r>
        <w:r>
          <w:fldChar w:fldCharType="separate"/>
        </w:r>
        <w:r>
          <w:rPr>
            <w:lang w:val="zh-CN"/>
          </w:rPr>
          <w:t>1</w:t>
        </w:r>
        <w:r>
          <w:fldChar w:fldCharType="end"/>
        </w:r>
      </w:p>
    </w:sdtContent>
  </w:sdt>
  <w:p w14:paraId="068E755B" w14:textId="77777777" w:rsidR="001D59F7" w:rsidRDefault="001D59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971B1" w14:textId="77777777" w:rsidR="00164EEB" w:rsidRDefault="00164EEB">
      <w:r>
        <w:separator/>
      </w:r>
    </w:p>
  </w:footnote>
  <w:footnote w:type="continuationSeparator" w:id="0">
    <w:p w14:paraId="180509BF" w14:textId="77777777" w:rsidR="00164EEB" w:rsidRDefault="00164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42E4B35"/>
    <w:rsid w:val="17C32CDD"/>
    <w:rsid w:val="2A880B33"/>
    <w:rsid w:val="2AE11386"/>
    <w:rsid w:val="2D4C6AD2"/>
    <w:rsid w:val="2D5A6638"/>
    <w:rsid w:val="340D5924"/>
    <w:rsid w:val="41EC1CB5"/>
    <w:rsid w:val="43B04001"/>
    <w:rsid w:val="4609551D"/>
    <w:rsid w:val="4D2606A1"/>
    <w:rsid w:val="4DD42C22"/>
    <w:rsid w:val="50796DE0"/>
    <w:rsid w:val="5DA521F6"/>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965E3"/>
  <w15:docId w15:val="{5E203BB2-B778-493E-B8E8-15A84A71F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footer1.xml" Type="http://schemas.openxmlformats.org/officeDocument/2006/relationships/footer"/>
<Relationship Id="rId7" Target="fontTable.xml" Type="http://schemas.openxmlformats.org/officeDocument/2006/relationships/fontTable"/>
<Relationship Id="rId8"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Words>
  <Characters>593</Characters>
  <Application>Microsoft Office Word</Application>
  <DocSecurity>0</DocSecurity>
  <Lines>4</Lines>
  <Paragraphs>1</Paragraphs>
  <ScaleCrop>false</ScaleCrop>
  <Company>Microsoft</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易仁多</cp:lastModifiedBy>
  <cp:lastPrinted>2018-12-31T10:56:00Z</cp:lastPrinted>
  <dcterms:modified xsi:type="dcterms:W3CDTF">2023-03-14T11:09:00Z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B2EA7016946742F29F6179AB652E0BB8</vt:lpwstr>
  </property>
</Properties>
</file>