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5F9FF" w14:textId="77777777" w:rsidR="001D59F7" w:rsidRDefault="001D59F7">
      <w:pPr>
        <w:spacing w:line="570" w:lineRule="exact"/>
        <w:jc w:val="center"/>
        <w:rPr>
          <w:rFonts w:ascii="华文中宋" w:eastAsia="华文中宋" w:hAnsi="华文中宋" w:cs="宋体"/>
          <w:b/>
          <w:kern w:val="0"/>
          <w:sz w:val="52"/>
          <w:szCs w:val="52"/>
        </w:rPr>
      </w:pPr>
    </w:p>
    <w:p w14:paraId="46549FB3" w14:textId="77777777" w:rsidR="001D59F7" w:rsidRDefault="001D59F7">
      <w:pPr>
        <w:spacing w:line="570" w:lineRule="exact"/>
        <w:jc w:val="center"/>
        <w:rPr>
          <w:rFonts w:ascii="华文中宋" w:eastAsia="华文中宋" w:hAnsi="华文中宋" w:cs="宋体"/>
          <w:b/>
          <w:kern w:val="0"/>
          <w:sz w:val="52"/>
          <w:szCs w:val="52"/>
        </w:rPr>
      </w:pPr>
    </w:p>
    <w:p w14:paraId="377F7DCE" w14:textId="77777777" w:rsidR="001D59F7" w:rsidRDefault="001D59F7">
      <w:pPr>
        <w:spacing w:line="570" w:lineRule="exact"/>
        <w:jc w:val="center"/>
        <w:rPr>
          <w:rFonts w:ascii="华文中宋" w:eastAsia="华文中宋" w:hAnsi="华文中宋" w:cs="宋体"/>
          <w:b/>
          <w:kern w:val="0"/>
          <w:sz w:val="52"/>
          <w:szCs w:val="52"/>
        </w:rPr>
      </w:pPr>
    </w:p>
    <w:p w14:paraId="310A1144" w14:textId="77777777" w:rsidR="001D59F7" w:rsidRDefault="001D59F7">
      <w:pPr>
        <w:spacing w:line="570" w:lineRule="exact"/>
        <w:jc w:val="center"/>
        <w:rPr>
          <w:rFonts w:ascii="华文中宋" w:eastAsia="华文中宋" w:hAnsi="华文中宋" w:cs="宋体"/>
          <w:b/>
          <w:kern w:val="0"/>
          <w:sz w:val="52"/>
          <w:szCs w:val="52"/>
        </w:rPr>
      </w:pPr>
    </w:p>
    <w:p w14:paraId="6A4537D7" w14:textId="77777777" w:rsidR="001D59F7" w:rsidRDefault="001D59F7">
      <w:pPr>
        <w:spacing w:line="570" w:lineRule="exact"/>
        <w:rPr>
          <w:rFonts w:ascii="华文中宋" w:eastAsia="华文中宋" w:hAnsi="华文中宋" w:cs="宋体"/>
          <w:b/>
          <w:kern w:val="0"/>
          <w:sz w:val="52"/>
          <w:szCs w:val="52"/>
        </w:rPr>
      </w:pPr>
    </w:p>
    <w:p w14:paraId="7C7C20A6" w14:textId="77777777" w:rsidR="001D59F7" w:rsidRDefault="001D59F7">
      <w:pPr>
        <w:spacing w:line="570" w:lineRule="exact"/>
        <w:jc w:val="center"/>
        <w:rPr>
          <w:rFonts w:ascii="华文中宋" w:eastAsia="华文中宋" w:hAnsi="华文中宋" w:cs="宋体"/>
          <w:b/>
          <w:kern w:val="0"/>
          <w:sz w:val="52"/>
          <w:szCs w:val="52"/>
        </w:rPr>
      </w:pPr>
    </w:p>
    <w:p w14:paraId="40FD6F93" w14:textId="20C65D18" w:rsidR="001D59F7" w:rsidRDefault="00000000">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w:t>
      </w:r>
      <w:r w:rsidR="00D74CBE">
        <w:rPr>
          <w:rFonts w:ascii="方正小标宋_GBK" w:eastAsia="方正小标宋_GBK" w:hAnsi="华文中宋" w:cs="宋体" w:hint="eastAsia"/>
          <w:b/>
          <w:kern w:val="0"/>
          <w:sz w:val="44"/>
          <w:szCs w:val="44"/>
        </w:rPr>
        <w:t>部门单位项目支出绩效评价报告</w:t>
      </w:r>
    </w:p>
    <w:p w14:paraId="55AE2A33" w14:textId="77777777" w:rsidR="001D59F7" w:rsidRDefault="001D59F7">
      <w:pPr>
        <w:spacing w:line="570" w:lineRule="exact"/>
        <w:jc w:val="center"/>
        <w:rPr>
          <w:rFonts w:ascii="华文中宋" w:eastAsia="华文中宋" w:hAnsi="华文中宋" w:cs="宋体"/>
          <w:b/>
          <w:kern w:val="0"/>
          <w:sz w:val="52"/>
          <w:szCs w:val="52"/>
        </w:rPr>
      </w:pPr>
    </w:p>
    <w:p w14:paraId="1595D187" w14:textId="77777777" w:rsidR="001D59F7" w:rsidRDefault="00000000">
      <w:pPr>
        <w:spacing w:line="57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仿宋_GB2312" w:eastAsia="仿宋_GB2312" w:hAnsi="楷体" w:hint="eastAsia"/>
          <w:spacing w:val="-4"/>
          <w:sz w:val="32"/>
          <w:szCs w:val="32"/>
        </w:rPr>
        <w:t>2022</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F93EA35" w14:textId="77777777" w:rsidR="001D59F7" w:rsidRDefault="001D59F7">
      <w:pPr>
        <w:spacing w:line="570" w:lineRule="exact"/>
        <w:jc w:val="center"/>
        <w:rPr>
          <w:rFonts w:eastAsia="仿宋_GB2312" w:hAnsi="宋体" w:cs="宋体"/>
          <w:kern w:val="0"/>
          <w:sz w:val="30"/>
          <w:szCs w:val="30"/>
        </w:rPr>
      </w:pPr>
    </w:p>
    <w:p w14:paraId="588CB5A4" w14:textId="77777777" w:rsidR="001D59F7" w:rsidRDefault="001D59F7">
      <w:pPr>
        <w:spacing w:line="570" w:lineRule="exact"/>
        <w:jc w:val="center"/>
        <w:rPr>
          <w:rFonts w:eastAsia="仿宋_GB2312" w:hAnsi="宋体" w:cs="宋体"/>
          <w:kern w:val="0"/>
          <w:sz w:val="30"/>
          <w:szCs w:val="30"/>
        </w:rPr>
      </w:pPr>
    </w:p>
    <w:p w14:paraId="29212BDF" w14:textId="77777777" w:rsidR="001D59F7" w:rsidRDefault="001D59F7">
      <w:pPr>
        <w:spacing w:line="570" w:lineRule="exact"/>
        <w:jc w:val="center"/>
        <w:rPr>
          <w:rFonts w:eastAsia="仿宋_GB2312" w:hAnsi="宋体" w:cs="宋体"/>
          <w:kern w:val="0"/>
          <w:sz w:val="30"/>
          <w:szCs w:val="30"/>
        </w:rPr>
      </w:pPr>
    </w:p>
    <w:p w14:paraId="789CD4F0" w14:textId="77777777" w:rsidR="001D59F7" w:rsidRDefault="001D59F7">
      <w:pPr>
        <w:spacing w:line="570" w:lineRule="exact"/>
        <w:jc w:val="center"/>
        <w:rPr>
          <w:rFonts w:eastAsia="仿宋_GB2312" w:hAnsi="宋体" w:cs="宋体"/>
          <w:kern w:val="0"/>
          <w:sz w:val="30"/>
          <w:szCs w:val="30"/>
        </w:rPr>
      </w:pPr>
    </w:p>
    <w:p w14:paraId="33A1ED9B" w14:textId="77777777" w:rsidR="001D59F7" w:rsidRDefault="001D59F7">
      <w:pPr>
        <w:spacing w:line="570" w:lineRule="exact"/>
        <w:jc w:val="center"/>
        <w:rPr>
          <w:rFonts w:eastAsia="仿宋_GB2312" w:hAnsi="宋体" w:cs="宋体"/>
          <w:kern w:val="0"/>
          <w:sz w:val="30"/>
          <w:szCs w:val="30"/>
        </w:rPr>
      </w:pPr>
    </w:p>
    <w:p w14:paraId="662514DE" w14:textId="77777777" w:rsidR="001D59F7" w:rsidRDefault="001D59F7">
      <w:pPr>
        <w:spacing w:line="570" w:lineRule="exact"/>
        <w:jc w:val="center"/>
        <w:rPr>
          <w:rFonts w:eastAsia="仿宋_GB2312" w:hAnsi="宋体" w:cs="宋体"/>
          <w:kern w:val="0"/>
          <w:sz w:val="30"/>
          <w:szCs w:val="30"/>
        </w:rPr>
      </w:pPr>
    </w:p>
    <w:p w14:paraId="379E8661" w14:textId="77777777" w:rsidR="001D59F7" w:rsidRDefault="00000000">
      <w:pPr>
        <w:spacing w:line="70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项目名称：</w:t>
      </w:r>
      <w:r>
        <w:rPr>
          <w:rStyle w:val="ad"/>
          <w:rFonts w:ascii="仿宋" w:eastAsia="仿宋" w:hAnsi="仿宋" w:cs="仿宋" w:hint="eastAsia"/>
          <w:b w:val="0"/>
          <w:bCs w:val="0"/>
          <w:spacing w:val="-4"/>
          <w:sz w:val="32"/>
          <w:szCs w:val="32"/>
        </w:rPr>
        <w:t>2022年自治区基层人大补助经费项目</w:t>
      </w:r>
    </w:p>
    <w:p w14:paraId="57960922" w14:textId="77777777" w:rsidR="001D59F7" w:rsidRDefault="00000000">
      <w:pPr>
        <w:spacing w:line="570" w:lineRule="exact"/>
        <w:ind w:firstLineChars="100" w:firstLine="360"/>
        <w:jc w:val="left"/>
        <w:rPr>
          <w:rFonts w:ascii="仿宋" w:eastAsia="仿宋" w:hAnsi="仿宋" w:cs="仿宋"/>
          <w:kern w:val="0"/>
          <w:sz w:val="32"/>
          <w:szCs w:val="32"/>
        </w:rPr>
      </w:pPr>
      <w:r>
        <w:rPr>
          <w:rFonts w:ascii="仿宋" w:eastAsia="仿宋" w:hAnsi="仿宋" w:cs="仿宋" w:hint="eastAsia"/>
          <w:kern w:val="0"/>
          <w:sz w:val="36"/>
          <w:szCs w:val="36"/>
        </w:rPr>
        <w:t>实施单位（公章）：</w:t>
      </w:r>
      <w:r>
        <w:rPr>
          <w:rStyle w:val="ad"/>
          <w:rFonts w:ascii="仿宋" w:eastAsia="仿宋" w:hAnsi="仿宋" w:cs="仿宋" w:hint="eastAsia"/>
          <w:b w:val="0"/>
          <w:bCs w:val="0"/>
          <w:spacing w:val="-4"/>
          <w:sz w:val="32"/>
          <w:szCs w:val="32"/>
        </w:rPr>
        <w:t>塔什库尔干塔吉克自治县提孜那甫乡人民政府（本级）</w:t>
      </w:r>
    </w:p>
    <w:p w14:paraId="31E94BA6" w14:textId="77777777" w:rsidR="001D59F7" w:rsidRDefault="00000000">
      <w:pPr>
        <w:spacing w:line="54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主管部门（公章）：</w:t>
      </w:r>
      <w:r>
        <w:rPr>
          <w:rStyle w:val="ad"/>
          <w:rFonts w:ascii="仿宋" w:eastAsia="仿宋" w:hAnsi="仿宋" w:cs="仿宋" w:hint="eastAsia"/>
          <w:b w:val="0"/>
          <w:bCs w:val="0"/>
          <w:spacing w:val="-4"/>
          <w:sz w:val="32"/>
          <w:szCs w:val="32"/>
        </w:rPr>
        <w:t>提孜那甫乡人民政府</w:t>
      </w:r>
    </w:p>
    <w:p w14:paraId="5E07E12A" w14:textId="77777777" w:rsidR="001D59F7" w:rsidRDefault="00000000">
      <w:pPr>
        <w:spacing w:line="570" w:lineRule="exact"/>
        <w:ind w:firstLineChars="100" w:firstLine="360"/>
        <w:rPr>
          <w:rFonts w:ascii="仿宋" w:eastAsia="仿宋" w:hAnsi="仿宋" w:cs="仿宋"/>
          <w:spacing w:val="-4"/>
          <w:sz w:val="32"/>
          <w:szCs w:val="32"/>
        </w:rPr>
      </w:pPr>
      <w:r>
        <w:rPr>
          <w:rFonts w:ascii="仿宋" w:eastAsia="仿宋" w:hAnsi="仿宋" w:cs="仿宋" w:hint="eastAsia"/>
          <w:kern w:val="0"/>
          <w:sz w:val="36"/>
          <w:szCs w:val="36"/>
        </w:rPr>
        <w:t>项目负责人（签章）：</w:t>
      </w:r>
      <w:r>
        <w:rPr>
          <w:rStyle w:val="ad"/>
          <w:rFonts w:ascii="仿宋" w:eastAsia="仿宋" w:hAnsi="仿宋" w:cs="仿宋" w:hint="eastAsia"/>
          <w:b w:val="0"/>
          <w:bCs w:val="0"/>
          <w:spacing w:val="-4"/>
          <w:sz w:val="32"/>
          <w:szCs w:val="32"/>
        </w:rPr>
        <w:t>吐尔洪·塔瓦库力</w:t>
      </w:r>
    </w:p>
    <w:p w14:paraId="6F55FB7F" w14:textId="77777777" w:rsidR="001D59F7" w:rsidRDefault="00000000">
      <w:pPr>
        <w:spacing w:line="540" w:lineRule="exact"/>
        <w:ind w:firstLineChars="100" w:firstLine="360"/>
        <w:rPr>
          <w:rStyle w:val="ad"/>
          <w:rFonts w:ascii="仿宋" w:eastAsia="仿宋" w:hAnsi="仿宋" w:cs="仿宋"/>
          <w:b w:val="0"/>
          <w:bCs w:val="0"/>
          <w:spacing w:val="-4"/>
          <w:sz w:val="32"/>
          <w:szCs w:val="32"/>
        </w:rPr>
      </w:pPr>
      <w:r>
        <w:rPr>
          <w:rFonts w:ascii="仿宋" w:eastAsia="仿宋" w:hAnsi="仿宋" w:cs="仿宋" w:hint="eastAsia"/>
          <w:kern w:val="0"/>
          <w:sz w:val="36"/>
          <w:szCs w:val="36"/>
        </w:rPr>
        <w:t>填报时间：</w:t>
      </w:r>
      <w:r>
        <w:rPr>
          <w:rStyle w:val="ad"/>
          <w:rFonts w:ascii="仿宋" w:eastAsia="仿宋" w:hAnsi="仿宋" w:cs="仿宋" w:hint="eastAsia"/>
          <w:b w:val="0"/>
          <w:bCs w:val="0"/>
          <w:spacing w:val="-4"/>
          <w:sz w:val="32"/>
          <w:szCs w:val="32"/>
        </w:rPr>
        <w:t>2023年03月10日</w:t>
      </w:r>
    </w:p>
    <w:p w14:paraId="509E1EE9" w14:textId="77777777" w:rsidR="001D59F7" w:rsidRDefault="00000000">
      <w:pPr>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br w:type="page"/>
      </w:r>
    </w:p>
    <w:p w14:paraId="5D14C083"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一、基本情况</w:t>
      </w:r>
    </w:p>
    <w:p w14:paraId="002A42B3" w14:textId="77777777" w:rsidR="001D59F7" w:rsidRDefault="00000000">
      <w:pPr>
        <w:spacing w:line="570" w:lineRule="exact"/>
        <w:ind w:firstLineChars="200" w:firstLine="627"/>
        <w:rPr>
          <w:rStyle w:val="ad"/>
          <w:rFonts w:ascii="方正楷体_GBK" w:eastAsia="方正楷体_GBK" w:hAnsi="方正楷体_GBK" w:cs="方正楷体_GBK"/>
          <w:bCs w:val="0"/>
          <w:spacing w:val="-4"/>
          <w:sz w:val="32"/>
          <w:szCs w:val="32"/>
        </w:rPr>
      </w:pPr>
      <w:r>
        <w:rPr>
          <w:rStyle w:val="ad"/>
          <w:rFonts w:ascii="楷体" w:eastAsia="楷体" w:hAnsi="楷体" w:cs="楷体" w:hint="eastAsia"/>
          <w:bCs w:val="0"/>
          <w:spacing w:val="-4"/>
          <w:sz w:val="32"/>
          <w:szCs w:val="32"/>
        </w:rPr>
        <w:t>（一）项目概况。包括项目背景、主要内容及实施情况、资金投入和使用情况等。</w:t>
      </w:r>
    </w:p>
    <w:p w14:paraId="704D901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根据地区财政局《关于拨付2022年自治区基层人大补助经费的通知》喀地财行【2022】11号、塔财行【2022】17号文件要求，旨在评价中央政法纪检监察转移支付资金项目实施前期、过程及效果，评价财政预算资金使用的效率及效益。通过该项目的实施，通过此项目的实施，可以很大程度上提升纪检监察工作人员的工作积极性，保障纪检监察工作的正常开展。</w:t>
        <w:br/>
        <w:t>2. 主要内容及实施情况</w:t>
        <w:br/>
        <w:t>本项目具体实施规模：本项目属于业务工作经费类项目，涉及塔什库尔干县提孜那甫乡人大办公室以及人大工作人员；主要用于我乡人大联络站改造提升，持续推进代表联络站规范化建设和改造升级，实现代表联络站标准化、规范化。通过此项目的实施，可以很大程度上提升工作人员的工作积极性，保障人大工作的正常开展。</w:t>
        <w:br/>
        <w:t>3.项目实施主体</w:t>
        <w:br/>
        <w:t>提孜那甫乡人民政府为差额事业单位，纳入2022年部门决算编制范围的有5个办公室：党政办公室、党建办公室、经济发展办公室、社会事务办公室、综合执法办公室。</w:t>
        <w:br/>
        <w:t>编制人数64人，其中：行政人员编制40人、工勤2人、事业编制22人。实有在职人数78人，其中：行政在职38人、工勤2人、参公18人、事业在职20人。离退休人员25人，其中：行政退休人员19人、事业退休6人。</w:t>
        <w:br/>
        <w:t>4. 资金投入和使用情况</w:t>
        <w:br/>
        <w:t>塔财行【2020】17号共安排下达资金2万元，为专项资金，最终确定项目资金总数为2万元。</w:t>
        <w:br/>
        <w:t>截至2022年12月31日，实际支出2万元，预算执行率100%。</w:t>
      </w:r>
    </w:p>
    <w:p w14:paraId="6A9D8BA2"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（二）项目绩效目标。包括总体目标和阶段性目标。</w:t>
      </w:r>
    </w:p>
    <w:p w14:paraId="3902C6CE"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项目绩效目标包括项目绩效总目标和阶段性目标。</w:t>
        <w:br/>
        <w:t>1.项目绩效总目标</w:t>
        <w:br/>
        <w:t>该项目计划资金2万元，用于修缮升级提孜那甫乡人民政府人大代表联络站1座，持续推进代表联络站规范化建设和改造升级，实现标准化、规范化，进而提升基层干部和人民群众的满意度。</w:t>
        <w:br/>
        <w:t>2.阶段性目标</w:t>
        <w:br/>
        <w:t>根据实际情况，持续推进代表联络站规范化建设和改造升级，修缮升级提孜那甫乡人民政府人大代表联络站，保障人大工作顺利开展，提升基层干部和人民群众的满意度。</w:t>
      </w:r>
    </w:p>
    <w:p w14:paraId="3A919777"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二、绩效评价工作开展情况</w:t>
      </w:r>
    </w:p>
    <w:p w14:paraId="7E6C86C5"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（一）绩效评价目的、对象和范围。</w:t>
      </w:r>
    </w:p>
    <w:p w14:paraId="247B2BE7"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14:paraId="24500BF8"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（二）绩效评价原则、评价指标体系（附表说明）、评价方法、评价标准等。</w:t>
      </w:r>
    </w:p>
    <w:p w14:paraId="2DE7F4C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本次绩效评价方法的选用坚持简便有效的原则采用综合分析法。采用定量与定性评价相结合的比较法，公众评判法，总分由各项指标得分汇总形成。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14:paraId="36A614F1" w14:textId="77777777" w:rsidR="001D59F7" w:rsidRDefault="00000000">
      <w:pPr>
        <w:spacing w:line="570" w:lineRule="exact"/>
        <w:ind w:firstLineChars="200" w:firstLine="627"/>
        <w:rPr>
          <w:rStyle w:val="ad"/>
          <w:rFonts w:ascii="楷体" w:eastAsia="楷体" w:hAnsi="楷体" w:cs="楷体"/>
          <w:bCs w:val="0"/>
          <w:spacing w:val="-4"/>
          <w:sz w:val="32"/>
          <w:szCs w:val="32"/>
        </w:rPr>
      </w:pPr>
      <w:r>
        <w:rPr>
          <w:rStyle w:val="ad"/>
          <w:rFonts w:ascii="楷体" w:eastAsia="楷体" w:hAnsi="楷体" w:cs="楷体" w:hint="eastAsia"/>
          <w:bCs w:val="0"/>
          <w:spacing w:val="-4"/>
          <w:sz w:val="32"/>
          <w:szCs w:val="32"/>
        </w:rPr>
        <w:t>（三）绩效评价工作过程。</w:t>
      </w:r>
    </w:p>
    <w:p w14:paraId="1C7E2031"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齐德华任评价组组长，绩效评价工作职责为负责全盘工作。</w:t>
        <w:br/>
        <w:t>艾力艾孜孜·希拉瓦尔、王媛、周军任评价组副组长，绩效评价工作职责为为对项目实施情况进行实地调查。</w:t>
        <w:br/>
        <w:t>戴耀峰、王元豪任评价组，绩效评价工作职责为负责资料审核等工作。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14:paraId="2DA5CB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三、综合评价情况及评价结论</w:t>
      </w:r>
    </w:p>
    <w:p w14:paraId="4C8DDC1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三、综合评价情况及评价结论</w:t>
        <w:br/>
        <w:t>成员</w:t>
        <w:br/>
        <w:t>（一）综合评价情况</w:t>
        <w:br/>
        <w:t>经评价组通过实地调研、综合分析法、问卷调查法等方式，主要采用综合分析法对项目的决策、实施、产出、效益进行综合评价分析，最终评分100分。</w:t>
        <w:br/>
        <w:t>提孜那甫乡中央政法纪检监察转移支付资金项目</w:t>
        <w:br/>
        <w:t>得分情况表</w:t>
        <w:br/>
        <w:t>一级指标	权重	得分率	实际得分</w:t>
        <w:br/>
        <w:t>项目决策	20	100%	20</w:t>
        <w:br/>
        <w:t>项目过程	20	100%	20</w:t>
        <w:br/>
        <w:t>项目产出	40	100%	40</w:t>
        <w:br/>
        <w:t>项目效益	20	100%	20</w:t>
        <w:br/>
        <w:t>合计	100	100%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塔什库尔干塔吉克自治县提孜那甫乡人民政府已完成提孜那甫乡中央政法纪检监察转移支付资金项目，推动了纪检监察各项工作顺利开展。该项目最终评分100分，绩效评级为“优”。</w:t>
      </w:r>
    </w:p>
    <w:p w14:paraId="7940CAF2" w14:textId="77777777" w:rsidR="001D59F7" w:rsidRDefault="00000000">
      <w:pPr>
        <w:spacing w:line="570" w:lineRule="exact"/>
        <w:ind w:firstLineChars="200" w:firstLine="624"/>
        <w:rPr>
          <w:rStyle w:val="ad"/>
          <w:rFonts w:ascii="黑体" w:eastAsia="黑体" w:hAnsi="黑体" w:cs="黑体"/>
          <w:b w:val="0"/>
          <w:sz w:val="32"/>
          <w:szCs w:val="32"/>
        </w:rPr>
      </w:pPr>
      <w:r>
        <w:rPr>
          <w:rStyle w:val="ad"/>
          <w:rFonts w:ascii="黑体" w:eastAsia="黑体" w:hAnsi="黑体" w:cs="黑体" w:hint="eastAsia"/>
          <w:b w:val="0"/>
          <w:spacing w:val="-4"/>
          <w:sz w:val="32"/>
          <w:szCs w:val="32"/>
        </w:rPr>
        <w:t xml:space="preserve">四、绩效评价指标分析 </w:t>
      </w:r>
    </w:p>
    <w:p w14:paraId="45B6A46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（一）项目决策情况。</w:t>
      </w:r>
    </w:p>
    <w:p w14:paraId="0ACD818C"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（1）立项依据充分性：结合塔什库尔干塔吉克自治县提孜那甫乡人民政府职责，并组织实施。围绕2022年度工作重点和工作计划制定经费预算，根据评分标准，该指标不扣分，得3分。</w:t>
        <w:br/>
        <w:t>（2）立项程序规范性：根据决策依据编制工作计划和经费预算，经过与分管领导进行沟通、筛选确定经费预算计划，上党委会研究确定最终预算方案，根据评分标准，该指标不扣分，得2分。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14:paraId="08EF9CF2"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（二）项目过程情况。</w:t>
      </w:r>
    </w:p>
    <w:p w14:paraId="6B64B585"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14:paraId="1194A5B5"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（三）项目产出情况。</w:t>
      </w:r>
    </w:p>
    <w:p w14:paraId="0EA5C3EF"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改造人大代表联络站1座，与预期目标一致，根据评分标准，该指标不扣分，得10分。</w:t>
        <w:br/>
        <w:t>（2）对于“产出质量”：</w:t>
        <w:br/>
        <w:t>联络站改造验收合格率100%，与预期目标一致，根据评分标准，该指标不扣分，得10分。</w:t>
        <w:br/>
        <w:t>（3）对于“产出时效”：</w:t>
        <w:br/>
        <w:t>资金拨付及时率100%，与预期目标一致，根据评分标准，该指标不扣分，得5分。</w:t>
        <w:br/>
        <w:t>项目完成时间2022年12月，与预期目标指标一致，根据评分标准，该指标不扣分，得5分。</w:t>
        <w:br/>
        <w:t>合计得10分。</w:t>
        <w:br/>
        <w:t>（4）对于“产出成本”：</w:t>
        <w:br/>
        <w:t>人大代表联络站修缮升级改造成本2万元/座，与预期目标一致，根据评分标准，该指标不扣分，得10分。</w:t>
      </w:r>
    </w:p>
    <w:p w14:paraId="085A5DA0" w14:textId="77777777" w:rsidR="001D59F7" w:rsidRDefault="00000000">
      <w:pPr>
        <w:spacing w:line="570" w:lineRule="exact"/>
        <w:ind w:firstLineChars="200" w:firstLine="627"/>
        <w:rPr>
          <w:rFonts w:ascii="楷体" w:eastAsia="楷体" w:hAnsi="楷体" w:cs="楷体"/>
          <w:b/>
          <w:spacing w:val="-4"/>
          <w:sz w:val="32"/>
          <w:szCs w:val="32"/>
        </w:rPr>
      </w:pPr>
      <w:r>
        <w:rPr>
          <w:rFonts w:ascii="楷体" w:eastAsia="楷体" w:hAnsi="楷体" w:cs="楷体" w:hint="eastAsia"/>
          <w:b/>
          <w:spacing w:val="-4"/>
          <w:sz w:val="32"/>
          <w:szCs w:val="32"/>
        </w:rPr>
        <w:t>（四）项目效益情况。</w:t>
      </w:r>
    </w:p>
    <w:p w14:paraId="0DC686A4"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项目效益类指标包括项目效益1个方面的内容，由2个三级指标构成，权重分为20分，实际得分20分，得分率为100%。</w:t>
        <w:br/>
        <w:t>项目绩效指标得分情况</w:t>
        <w:br/>
        <w:t></w:t>
        <w:br/>
        <w:t>三级指标	权重	得分率	实际得分</w:t>
        <w:br/>
        <w:t>实施效益	10	100%	10</w:t>
        <w:br/>
        <w:t>			</w:t>
        <w:br/>
        <w:t>满意度	10	100%	10</w:t>
        <w:br/>
        <w:t>合计	20	100%	20</w:t>
        <w:br/>
        <w:t>1.实施效益指标：</w:t>
        <w:br/>
        <w:t>（1）对于“社会效益指标”：</w:t>
        <w:br/>
        <w:t>改善人大代表联络站办公条件效果显著，与预期指标一致，根据评分标准，该指标不扣分，得5分。</w:t>
        <w:br/>
        <w:t>（2）对于“可持续影响指标”：</w:t>
        <w:br/>
        <w:t>该项目可持续影响年限1年，与预期指标一致，根据评分标准，该指标不扣分，得5分。</w:t>
        <w:br/>
        <w:t>实施效益指标合计得10分。</w:t>
        <w:br/>
        <w:t>（3）对于“经济效益指标”：</w:t>
        <w:br/>
        <w:t>无；</w:t>
        <w:br/>
        <w:t>（4）对于“生态效益指标”：</w:t>
        <w:br/>
        <w:t>无。</w:t>
        <w:br/>
        <w:t>2.满意度指标:</w:t>
        <w:br/>
        <w:t>对于“满意度指标：基层群众满意度100%，与预期目标一致，根据评分标准，该指标不扣分，得10分。</w:t>
      </w:r>
    </w:p>
    <w:p w14:paraId="1427E7F2"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lastRenderedPageBreak/>
        <w:t>五、预算执行进度与绩效指标偏差</w:t>
      </w:r>
    </w:p>
    <w:p w14:paraId="59F9E263" w14:textId="77777777" w:rsidR="001D59F7" w:rsidRDefault="00000000">
      <w:pPr>
        <w:spacing w:line="540" w:lineRule="exact"/>
        <w:ind w:firstLine="567"/>
        <w:rPr>
          <w:rFonts w:ascii="仿宋" w:eastAsia="仿宋" w:hAnsi="仿宋" w:cs="仿宋"/>
          <w:spacing w:val="-4"/>
          <w:sz w:val="32"/>
          <w:szCs w:val="32"/>
        </w:rPr>
      </w:pPr>
      <w:r>
        <w:rPr>
          <w:rStyle w:val="ad"/>
          <w:rFonts w:ascii="仿宋" w:eastAsia="仿宋" w:hAnsi="仿宋" w:cs="仿宋" w:hint="eastAsia"/>
          <w:b w:val="0"/>
          <w:bCs w:val="0"/>
          <w:spacing w:val="-4"/>
          <w:sz w:val="32"/>
          <w:szCs w:val="32"/>
        </w:rPr>
        <w:t>2022年自治区基层人大补助经费项目预算2万元，到位2万元，实际支出2万元，预算执行率为100%，项目绩效指标总体完成率为100%，无偏差。</w:t>
      </w:r>
    </w:p>
    <w:p w14:paraId="626EE800"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六、主要经验及做法、存在的问题及原因分析</w:t>
      </w:r>
    </w:p>
    <w:p w14:paraId="53C72163"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958C78E"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七、有关建议</w:t>
      </w:r>
    </w:p>
    <w:p w14:paraId="7DEC5E56"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14:paraId="6FEBFB95" w14:textId="77777777" w:rsidR="001D59F7" w:rsidRDefault="00000000">
      <w:pPr>
        <w:spacing w:line="570" w:lineRule="exact"/>
        <w:ind w:firstLineChars="200" w:firstLine="624"/>
        <w:rPr>
          <w:rStyle w:val="ad"/>
          <w:rFonts w:ascii="黑体" w:eastAsia="黑体" w:hAnsi="黑体" w:cs="黑体"/>
          <w:b w:val="0"/>
          <w:spacing w:val="-4"/>
          <w:sz w:val="32"/>
          <w:szCs w:val="32"/>
        </w:rPr>
      </w:pPr>
      <w:r>
        <w:rPr>
          <w:rStyle w:val="ad"/>
          <w:rFonts w:ascii="黑体" w:eastAsia="黑体" w:hAnsi="黑体" w:cs="黑体" w:hint="eastAsia"/>
          <w:b w:val="0"/>
          <w:spacing w:val="-4"/>
          <w:sz w:val="32"/>
          <w:szCs w:val="32"/>
        </w:rPr>
        <w:t>八、其他需要说明的问题</w:t>
      </w:r>
    </w:p>
    <w:p w14:paraId="4B1F6429" w14:textId="77777777" w:rsidR="001D59F7" w:rsidRDefault="00000000">
      <w:pPr>
        <w:spacing w:line="540" w:lineRule="exact"/>
        <w:ind w:firstLine="567"/>
        <w:rPr>
          <w:rStyle w:val="ad"/>
          <w:rFonts w:ascii="仿宋" w:eastAsia="仿宋" w:hAnsi="仿宋" w:cs="仿宋"/>
          <w:b w:val="0"/>
          <w:bCs w:val="0"/>
          <w:spacing w:val="-4"/>
          <w:sz w:val="32"/>
          <w:szCs w:val="32"/>
        </w:rPr>
      </w:pPr>
      <w:r>
        <w:rPr>
          <w:rStyle w:val="ad"/>
          <w:rFonts w:ascii="仿宋" w:eastAsia="仿宋" w:hAnsi="仿宋" w:cs="仿宋" w:hint="eastAsia"/>
          <w:b w:val="0"/>
          <w:bCs w:val="0"/>
          <w:spacing w:val="-4"/>
          <w:sz w:val="32"/>
          <w:szCs w:val="32"/>
        </w:rPr>
        <w:t>我单位对上述项目支出绩效评价报告内反映内容的真实性、完整性负责，接受上级部门及社会公众监督。</w:t>
      </w:r>
    </w:p>
    <w:p w14:paraId="0E525B6E" w14:textId="77777777" w:rsidR="001D59F7" w:rsidRDefault="001D59F7">
      <w:pPr>
        <w:spacing w:line="540" w:lineRule="exact"/>
        <w:ind w:firstLine="567"/>
        <w:rPr>
          <w:rStyle w:val="ad"/>
          <w:rFonts w:ascii="黑体" w:eastAsia="黑体" w:hAnsi="黑体" w:cs="黑体"/>
          <w:b w:val="0"/>
          <w:bCs w:val="0"/>
          <w:spacing w:val="-4"/>
          <w:sz w:val="32"/>
          <w:szCs w:val="32"/>
        </w:rPr>
      </w:pPr>
    </w:p>
    <w:p w14:paraId="088A38F8" w14:textId="77777777" w:rsidR="001D59F7" w:rsidRDefault="001D59F7">
      <w:pPr>
        <w:spacing w:line="540" w:lineRule="exact"/>
        <w:ind w:firstLine="567"/>
        <w:rPr>
          <w:rStyle w:val="ad"/>
          <w:rFonts w:ascii="黑体" w:eastAsia="黑体" w:hAnsi="黑体" w:cs="黑体"/>
          <w:b w:val="0"/>
          <w:bCs w:val="0"/>
          <w:spacing w:val="-4"/>
          <w:sz w:val="32"/>
          <w:szCs w:val="32"/>
        </w:rPr>
      </w:pPr>
    </w:p>
    <w:sectPr w:rsidR="001D59F7">
      <w:footerReference w:type="default" r:id="rId6"/>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B848C" w14:textId="77777777" w:rsidR="00164EEB" w:rsidRDefault="00164EEB">
      <w:r>
        <w:separator/>
      </w:r>
    </w:p>
  </w:endnote>
  <w:endnote w:type="continuationSeparator" w:id="0">
    <w:p w14:paraId="6523E723" w14:textId="77777777" w:rsidR="00164EEB" w:rsidRDefault="0016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703A45A3" w14:textId="77777777" w:rsidR="001D59F7" w:rsidRDefault="00000000">
        <w:pPr>
          <w:pStyle w:val="a5"/>
          <w:jc w:val="center"/>
        </w:pPr>
        <w:r>
          <w:fldChar w:fldCharType="begin"/>
        </w:r>
        <w:r>
          <w:instrText>PAGE   \* MERGEFORMAT</w:instrText>
        </w:r>
        <w:r>
          <w:fldChar w:fldCharType="separate"/>
        </w:r>
        <w:r>
          <w:rPr>
            <w:lang w:val="zh-CN"/>
          </w:rPr>
          <w:t>1</w:t>
        </w:r>
        <w:r>
          <w:fldChar w:fldCharType="end"/>
        </w:r>
      </w:p>
    </w:sdtContent>
  </w:sdt>
  <w:p w14:paraId="068E755B" w14:textId="77777777" w:rsidR="001D59F7" w:rsidRDefault="001D59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971B1" w14:textId="77777777" w:rsidR="00164EEB" w:rsidRDefault="00164EEB">
      <w:r>
        <w:separator/>
      </w:r>
    </w:p>
  </w:footnote>
  <w:footnote w:type="continuationSeparator" w:id="0">
    <w:p w14:paraId="180509BF" w14:textId="77777777" w:rsidR="00164EEB" w:rsidRDefault="0016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965E3"/>
  <w15:docId w15:val="{5E203BB2-B778-493E-B8E8-15A84A71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footer1.xml" Type="http://schemas.openxmlformats.org/officeDocument/2006/relationships/footer"/>
<Relationship Id="rId7" Target="fontTable.xml" Type="http://schemas.openxmlformats.org/officeDocument/2006/relationships/fontTable"/>
<Relationship Id="rId8"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Words>
  <Characters>593</Characters>
  <Application>Microsoft Office Word</Application>
  <DocSecurity>0</DocSecurity>
  <Lines>4</Lines>
  <Paragraphs>1</Paragraphs>
  <ScaleCrop>false</ScaleCrop>
  <Company>Microsoft</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易仁多</cp:lastModifiedBy>
  <cp:lastPrinted>2018-12-31T10:56:00Z</cp:lastPrinted>
  <dcterms:modified xsi:type="dcterms:W3CDTF">2023-03-14T11:09:00Z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B2EA7016946742F29F6179AB652E0BB8</vt:lpwstr>
  </property>
</Properties>
</file>