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中央政法纪检监察转移支付资金项目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塔什库尔干塔吉克自治县塔吉克阿巴提镇人民政府（本级）</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塔什库尔干塔吉克自治县塔吉克阿巴提镇人民政府</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依力木江·依明江</w:t>
      </w:r>
    </w:p>
    <w:p>
      <w:pPr>
        <w:spacing w:line="540" w:lineRule="exact"/>
        <w:ind w:firstLine="360" w:firstLineChars="100"/>
        <w:rPr>
          <w:rStyle w:val="18"/>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2023年03月09日</w:t>
      </w:r>
    </w:p>
    <w:p>
      <w:pPr>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旨在评价塔什库尔干县中央政法纪检监察转移支付资金项目实施前期、过程及效果，评价财政预算资金使用的效率及效益。通过项目实施，满足塔吉克阿巴提镇瑙阿巴提村基层干部和群众的工作、生活使用需求，发挥</w:t>
      </w:r>
      <w:r>
        <w:rPr>
          <w:rStyle w:val="18"/>
          <w:rFonts w:hint="eastAsia" w:ascii="仿宋" w:hAnsi="仿宋" w:eastAsia="仿宋" w:cs="仿宋"/>
          <w:b w:val="0"/>
          <w:bCs w:val="0"/>
          <w:spacing w:val="-4"/>
          <w:sz w:val="32"/>
          <w:szCs w:val="32"/>
          <w:lang w:eastAsia="zh-CN"/>
        </w:rPr>
        <w:t>基层党组织</w:t>
      </w:r>
      <w:bookmarkStart w:id="0" w:name="_GoBack"/>
      <w:bookmarkEnd w:id="0"/>
      <w:r>
        <w:rPr>
          <w:rStyle w:val="18"/>
          <w:rFonts w:hint="eastAsia" w:ascii="仿宋" w:hAnsi="仿宋" w:eastAsia="仿宋" w:cs="仿宋"/>
          <w:b w:val="0"/>
          <w:bCs w:val="0"/>
          <w:spacing w:val="-4"/>
          <w:sz w:val="32"/>
          <w:szCs w:val="32"/>
        </w:rPr>
        <w:t>在实施乡村振兴战略中的主力军、主阵地作用、更好地服务群众、凝聚群众的需要。</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项目计划资金1万元，用于购置日常办公用品，其中办案经费6500元、业务装备经费3500元；保障乡镇纪委监委各项工作的顺利开展，保证镇纪检监察机关开展办案、督导、办公等日常工作的运行，深入推进全面从严治党，加强党风廉政建设和反腐败斗争，从而促进党内政治生态展现新气象，反腐败斗争取得压倒性胜利，全面从严治党取得重大成果，该项目资金足额拨付率95%以上，资金及时拨付率95%以上，受益人员满意度95%以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塔什库尔干县塔吉克阿巴提镇人民政府为行政机关单位，纳入2022年部门决算编制范围的有5个办公室：党政办公室、党建办公室、经济发展办公室、社会事务办公室、综合执法办公室；六个中心:农业（畜牧业）发展服务中心、文体广电旅游服务中心、社会保障（民政）服务中心（退役军人服务站）、农村合作经济（统计）发展中心（财政所）、村镇规划建设发展中心（生态环境工作站）、综治中心（网格化服务中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编制人数71人，其中：行政人员编制45人、工勤3人、参公2人、事业编制21人。实有在职人数71人，其中：行政在职44人、工勤4人、参公15人、事业在职8人。离退休人员20人，其中：行政退休人员16人、事业退休4人。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塔什库尔干县2022年第一批巩固拓展脱贫攻坚成果同乡村振兴有效衔接项目批复》塔党农领字【2022】3号、《塔什库尔干县2022年第二批巩固拓展脱贫攻坚成果同乡村振兴有效衔接项目批复》塔党农领字【2022】21号文件要求共安排下达资金1万元，资金来源为2022年巩固拓展脱贫攻坚成果同乡村振兴有效衔接资金，最终确定项目资金总数为1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截至2022年11月22日，实际支出1万元，预算执行率100%。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项目计划资金1万元，用于购置日常办公用品，其中办案经费6500元、业务装备经费3500元；保障乡镇纪委监委各项工作的顺利开展，保证镇纪检监察机关开展办案、督导、办公等日常工作的运行，深入推进全面从严治党，加强党风廉政建设和反腐败斗争，从而促进党内政治生态展现新气象，反腐败斗争取得压倒性胜利，全面从严治党取得重大成果，该项目资金足额拨付率95%以上，资金及时拨付率95%以上，受益人员满意度95%以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塔什库尔干县中央政法纪检监察转移支付资金项目实施分为三个主要阶段：前期准备工作阶段、实施阶段，验收阶段。前期准备工作阶段：一是项目实施方案的编制和审批；实施阶段：按照项目进度比例进行拨款，验收阶段：本项目为2022年10月初开始，2022年12月完成，项目建成后组织联合验收。</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（一）绩效评价目的、对象和范围。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（二）绩效评价原则、评价指标体系、评价方法评价标准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绩效评价体系为根据财预﹝2020﹞10号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1个二级指标。项目绩效评价体系详见附件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本本次绩效评价方法的选用坚持简便有效的原则采用综合分析法。采用定量与定性评价相结合的比较法，公众评判法，总分由各项指标得分汇总形成。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比较法：通过整理本项目相关资料和数据，评价数量指标的完成情况；通过分析项目的实施情况与绩效目标实现情况，评价项目实施的效果；通过分析项目资金使用情况及产生的效果，评价预算资金分配的合理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绩效评价标准通常包括计划标准、行业标准、历史标准等，用于对绩效指标完成情况进行比较、分析、评价。本次评价主要采用了计划标准，行业标准。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行业标准：指参照国家公布的行业指标数据制定的评价标准。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（三）绩效评价工作过程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本次评价成立了评价工作组，成员如下：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第一阶段：前期准备。认真学习相关要求与规定，成立绩效评价工作组，作为绩效评价工作具体实施机构。成员构成如下：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依力木江·依明江（塔吉克阿巴提镇党委副书记、镇长）任评价组组长，绩效评价工作职责为负责全盘工作。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张梓瑾（塔吉克阿巴提镇党委委员、副镇长），付凯林（塔吉克阿巴提镇副镇长）任评价组副组长，绩效评价工作职责为为对项目实施情况进行实地调查。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黄现军，张爱效，古力米热任评价组成员，绩效评价工作职责为负责资料审核等工作。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三、综合评价情况及评价结论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经评价组通过实地调研、综合分析法、问卷调查法等方式，主要采用综合分析法对项目的决策、实施、产出、效益进行综合评价分析，最终评分100分。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中央政法纪检监察转移支付资金项目已完成保障乡镇纪委监委各项工作的顺利开展，保证镇纪检监察机关开展办案、督导、办公等日常工作的运行，深入推进全面从严治党，加强党风廉政建设和反腐败斗争，从而促进党内政治生态展现新气象，反腐败斗争取得压倒性胜利，全面从严治党取得重大成果，该项目最终评分100分，绩效评级为“优”，具体得分情况为：项目决策20分、项目过程20分、项目产出40分、项目效益20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中央政法纪检监察转移支付资金项目决策指标得分情况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（1）立项依据充分性：结合塔什库尔干县塔吉克阿巴提镇人民政府职责，并组织实施。围绕塔什库尔干县年度工作重点和工作计划制定经费预算，根据评分标准，该指标不扣分，得3分。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（2）立项程序规范性：根据决策依据编制工作计划和经费预算，经过与依力木江·依明江分管领导进行沟通、筛选确定经费预算计划，上党委会研究确定最终预算方案，根据评分标准，该指标不扣分，得2分。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 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 预算编制经过科学论证，内容与项目内容匹配，项目投资额与工作任务相匹配，根据评分标准，该指标不扣分，得5分。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（1）资金到位率：财政资金足额拨付到位，牵头单位能够及时足额按照合同约定将专项资金拨付给联合体单位，根据评分标准，该指标不扣分，得5分。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（2）预算执行率：预算编制较为详细，项目资金支出总体能够按照预算执行，根据评分标准，该指标不扣分，得5分。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（3）资金使用合规性：制定了相关的制度和管理规定对经费使用进行规范管理，财务制度健全、执行严格，根据评分标准，该指标不扣分，得5分。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（4）管理制度健全性：制定了党校相关管理办法，对财政专项资金进行严格管理，基本做到了专款专用，根据评分标准，该指标不扣分，得2分。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由部门提出经费预算支出可行性方案，经过与县政府分管领导沟通后，报党支部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项目产出类指标包括产出数量、产出质量、产出时效、产出成本四方面的内容，由4个三级指标构成，权重分为40分，实际得分40分，得分率为100%。（1）对于“数量指标”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购置办案经费数量1批，与预期目标一致，根据评分标准，该指标不扣分，得5分。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采购业务装备数量1批，与预期目标一致，根据评分标准，该指标不扣分，得5分。。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（2）对于“质量指标”：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购置办公用品合格率100%，与预期目标一致，根据评分标准，该指标不扣分，得10分。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（3）对于“时效指标”：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资金拨付及时率，与预期目标一致，根据评分标准，该指标不扣分，得5分。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项目完工时间2022年12月30日，与预期目标一致，根据评分标准，该指标不扣分，得5分。合计得10分。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（4）对于“成本指标”：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业务装备费支出成本3500元，项目经费都能控制绩效目标范围内，根据评分标准，该指标不扣分，得5分。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办案经费支出成本6500元，项目经费都能控制绩效目标范围内，根据评分标准，该指标不扣分，得5分。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合计得分10分。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中央政法纪检监察转移支付资金项目绩效指标得分情况1.实施效益指标：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清除重大政治隐患能力效果显著，与预期指标一致，根据评分标准，该指标不扣分，得5分。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（2）对于“可持续影响指标”：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该项目可持续影响年限1年，与预期指标一致，根据评分标准，该指标不扣分，得5分。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实施效益指标合计得10分。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该项目无经济效益指标。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该项目无重点生态效益指标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实施效益指标合计得10分。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对于“满意度指标：镇纪委监委工作人员满意度95%，与预期目标一致，根据评分标准，该指标不扣分,得10分。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预算执行进度与绩效指标偏差情况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塔什库尔干县中央政法纪检监察转移支付资金项目预算1万元，到位1万元，实际支出1万元，预算执行率为100%，项目绩效指标总体完成率为100%，无偏差。</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六、主要经验及做法、存在的问题及原因分析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本项目能够严格按照《项目实施方案》执行，项目执行情况较好。二是加强组织领导，本项目绩效评价工作，有县政府主要领导亲自挂帅，分管县领导具体负责，从项目到资金，均能后很好的执行。三是加强沟通协调，我单位及时向县领导汇报项目建设进度，加强与施工单位的沟通，确保项目按期完工。（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2.项目评价资料有待进一步完善。项目启动时同步做好档案的归纳与整理，及时整理、收集、汇总，健全档案资料。项目后续管理有待进一步加强和跟踪。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3.通过绩效管理，发现实施中存在漏洞，以后加强管理，及时掌握与之相关的各类信息，减少成本，使资金效益最大化。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4．评价工作应从项目实施方案源头抓起，评价工作和意识应贯穿项目整个过程。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p>
      <w:pPr>
        <w:spacing w:line="540" w:lineRule="exact"/>
        <w:ind w:firstLine="567"/>
        <w:rPr>
          <w:rStyle w:val="18"/>
          <w:rFonts w:ascii="黑体" w:hAnsi="黑体" w:eastAsia="黑体" w:cs="黑体"/>
          <w:b w:val="0"/>
          <w:bCs w:val="0"/>
          <w:spacing w:val="-4"/>
          <w:sz w:val="32"/>
          <w:szCs w:val="32"/>
        </w:rPr>
      </w:pPr>
    </w:p>
    <w:p>
      <w:pPr>
        <w:spacing w:line="540" w:lineRule="exact"/>
        <w:ind w:firstLine="567"/>
        <w:rPr>
          <w:rStyle w:val="18"/>
          <w:rFonts w:ascii="黑体" w:hAnsi="黑体" w:eastAsia="黑体" w:cs="黑体"/>
          <w:b w:val="0"/>
          <w:bCs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5ZjY4MTZmMjdlZTdiNDk2YjE2YjM5MDdjZDkwNjQifQ=="/>
  </w:docVars>
  <w:rsids>
    <w:rsidRoot w:val="00CA6457"/>
    <w:rsid w:val="000110C4"/>
    <w:rsid w:val="00037D50"/>
    <w:rsid w:val="0005416C"/>
    <w:rsid w:val="00056465"/>
    <w:rsid w:val="000E0F73"/>
    <w:rsid w:val="001028C5"/>
    <w:rsid w:val="00102DFF"/>
    <w:rsid w:val="00121AE4"/>
    <w:rsid w:val="0014601B"/>
    <w:rsid w:val="00146AAD"/>
    <w:rsid w:val="00150F05"/>
    <w:rsid w:val="00164EEB"/>
    <w:rsid w:val="00187874"/>
    <w:rsid w:val="001B3A40"/>
    <w:rsid w:val="001D59F7"/>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74CBE"/>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42E4B35"/>
    <w:rsid w:val="17C32CDD"/>
    <w:rsid w:val="2A880B33"/>
    <w:rsid w:val="2AE11386"/>
    <w:rsid w:val="2D4C6AD2"/>
    <w:rsid w:val="2D5A6638"/>
    <w:rsid w:val="340D5924"/>
    <w:rsid w:val="41EC1CB5"/>
    <w:rsid w:val="43B04001"/>
    <w:rsid w:val="4609551D"/>
    <w:rsid w:val="4D2606A1"/>
    <w:rsid w:val="4DD42C22"/>
    <w:rsid w:val="50796DE0"/>
    <w:rsid w:val="545A142F"/>
    <w:rsid w:val="5DA521F6"/>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autoRedefine/>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autoRedefine/>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autoRedefine/>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autoRedefine/>
    <w:qFormat/>
    <w:uiPriority w:val="29"/>
    <w:rPr>
      <w:i/>
      <w:sz w:val="24"/>
      <w:szCs w:val="24"/>
    </w:rPr>
  </w:style>
  <w:style w:type="paragraph" w:styleId="35">
    <w:name w:val="Intense Quote"/>
    <w:basedOn w:val="1"/>
    <w:next w:val="1"/>
    <w:link w:val="36"/>
    <w:autoRedefine/>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autoRedefine/>
    <w:qFormat/>
    <w:uiPriority w:val="30"/>
    <w:rPr>
      <w:b/>
      <w:i/>
      <w:sz w:val="24"/>
    </w:rPr>
  </w:style>
  <w:style w:type="character" w:customStyle="1" w:styleId="37">
    <w:name w:val="不明显强调1"/>
    <w:autoRedefine/>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autoRedefine/>
    <w:qFormat/>
    <w:uiPriority w:val="21"/>
    <w:rPr>
      <w:b/>
      <w:i/>
      <w:sz w:val="24"/>
      <w:szCs w:val="24"/>
      <w:u w:val="single"/>
    </w:rPr>
  </w:style>
  <w:style w:type="character" w:customStyle="1" w:styleId="39">
    <w:name w:val="不明显参考1"/>
    <w:basedOn w:val="17"/>
    <w:autoRedefine/>
    <w:qFormat/>
    <w:uiPriority w:val="31"/>
    <w:rPr>
      <w:sz w:val="24"/>
      <w:szCs w:val="24"/>
      <w:u w:val="single"/>
    </w:rPr>
  </w:style>
  <w:style w:type="character" w:customStyle="1" w:styleId="40">
    <w:name w:val="明显参考1"/>
    <w:basedOn w:val="17"/>
    <w:autoRedefine/>
    <w:qFormat/>
    <w:uiPriority w:val="32"/>
    <w:rPr>
      <w:b/>
      <w:sz w:val="24"/>
      <w:u w:val="single"/>
    </w:rPr>
  </w:style>
  <w:style w:type="character" w:customStyle="1" w:styleId="41">
    <w:name w:val="书籍标题1"/>
    <w:basedOn w:val="17"/>
    <w:autoRedefine/>
    <w:qFormat/>
    <w:uiPriority w:val="33"/>
    <w:rPr>
      <w:rFonts w:asciiTheme="majorHAnsi" w:hAnsiTheme="majorHAnsi" w:eastAsiaTheme="majorEastAsia"/>
      <w:b/>
      <w:i/>
      <w:sz w:val="24"/>
      <w:szCs w:val="24"/>
    </w:rPr>
  </w:style>
  <w:style w:type="paragraph" w:customStyle="1" w:styleId="42">
    <w:name w:val="TOC 标题1"/>
    <w:basedOn w:val="2"/>
    <w:next w:val="1"/>
    <w:autoRedefine/>
    <w:semiHidden/>
    <w:unhideWhenUsed/>
    <w:qFormat/>
    <w:uiPriority w:val="39"/>
    <w:pPr>
      <w:outlineLvl w:val="9"/>
    </w:pPr>
    <w:rPr>
      <w:lang w:eastAsia="en-US" w:bidi="en-US"/>
    </w:rPr>
  </w:style>
  <w:style w:type="character" w:customStyle="1" w:styleId="43">
    <w:name w:val="页眉 字符"/>
    <w:basedOn w:val="17"/>
    <w:link w:val="13"/>
    <w:autoRedefine/>
    <w:qFormat/>
    <w:uiPriority w:val="99"/>
    <w:rPr>
      <w:rFonts w:ascii="Calibri" w:hAnsi="Calibri" w:eastAsia="宋体"/>
      <w:kern w:val="2"/>
      <w:sz w:val="18"/>
      <w:szCs w:val="18"/>
    </w:rPr>
  </w:style>
  <w:style w:type="character" w:customStyle="1" w:styleId="44">
    <w:name w:val="页脚 字符"/>
    <w:basedOn w:val="17"/>
    <w:link w:val="12"/>
    <w:autoRedefine/>
    <w:qFormat/>
    <w:uiPriority w:val="99"/>
    <w:rPr>
      <w:rFonts w:ascii="Calibri" w:hAnsi="Calibri" w:eastAsia="宋体"/>
      <w:kern w:val="2"/>
      <w:sz w:val="18"/>
      <w:szCs w:val="18"/>
    </w:rPr>
  </w:style>
  <w:style w:type="character" w:customStyle="1" w:styleId="45">
    <w:name w:val="批注框文本 字符"/>
    <w:basedOn w:val="17"/>
    <w:link w:val="11"/>
    <w:autoRedefine/>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103</Words>
  <Characters>593</Characters>
  <Lines>4</Lines>
  <Paragraphs>1</Paragraphs>
  <TotalTime>0</TotalTime>
  <ScaleCrop>false</ScaleCrop>
  <LinksUpToDate>false</LinksUpToDate>
  <CharactersWithSpaces>695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U</cp:lastModifiedBy>
  <cp:lastPrinted>2018-12-31T10:56:00Z</cp:lastPrinted>
  <dcterms:modified xsi:type="dcterms:W3CDTF">2024-05-21T12:41:29Z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B2EA7016946742F29F6179AB652E0BB8</vt:lpwstr>
  </property>
</Properties>
</file>