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5F9FF" w14:textId="77777777" w:rsidR="001D59F7" w:rsidRDefault="001D59F7">
      <w:pPr>
        <w:spacing w:line="570" w:lineRule="exact"/>
        <w:jc w:val="center"/>
        <w:rPr>
          <w:rFonts w:ascii="华文中宋" w:eastAsia="华文中宋" w:hAnsi="华文中宋" w:cs="宋体"/>
          <w:b/>
          <w:kern w:val="0"/>
          <w:sz w:val="52"/>
          <w:szCs w:val="52"/>
        </w:rPr>
      </w:pPr>
    </w:p>
    <w:p w14:paraId="46549FB3" w14:textId="77777777" w:rsidR="001D59F7" w:rsidRDefault="001D59F7">
      <w:pPr>
        <w:spacing w:line="570" w:lineRule="exact"/>
        <w:jc w:val="center"/>
        <w:rPr>
          <w:rFonts w:ascii="华文中宋" w:eastAsia="华文中宋" w:hAnsi="华文中宋" w:cs="宋体"/>
          <w:b/>
          <w:kern w:val="0"/>
          <w:sz w:val="52"/>
          <w:szCs w:val="52"/>
        </w:rPr>
      </w:pPr>
    </w:p>
    <w:p w14:paraId="377F7DCE" w14:textId="77777777" w:rsidR="001D59F7" w:rsidRDefault="001D59F7">
      <w:pPr>
        <w:spacing w:line="570" w:lineRule="exact"/>
        <w:jc w:val="center"/>
        <w:rPr>
          <w:rFonts w:ascii="华文中宋" w:eastAsia="华文中宋" w:hAnsi="华文中宋" w:cs="宋体"/>
          <w:b/>
          <w:kern w:val="0"/>
          <w:sz w:val="52"/>
          <w:szCs w:val="52"/>
        </w:rPr>
      </w:pPr>
    </w:p>
    <w:p w14:paraId="310A1144" w14:textId="77777777" w:rsidR="001D59F7" w:rsidRDefault="001D59F7">
      <w:pPr>
        <w:spacing w:line="570" w:lineRule="exact"/>
        <w:jc w:val="center"/>
        <w:rPr>
          <w:rFonts w:ascii="华文中宋" w:eastAsia="华文中宋" w:hAnsi="华文中宋" w:cs="宋体"/>
          <w:b/>
          <w:kern w:val="0"/>
          <w:sz w:val="52"/>
          <w:szCs w:val="52"/>
        </w:rPr>
      </w:pPr>
    </w:p>
    <w:p w14:paraId="6A4537D7" w14:textId="77777777" w:rsidR="001D59F7" w:rsidRDefault="001D59F7">
      <w:pPr>
        <w:spacing w:line="570" w:lineRule="exact"/>
        <w:rPr>
          <w:rFonts w:ascii="华文中宋" w:eastAsia="华文中宋" w:hAnsi="华文中宋" w:cs="宋体"/>
          <w:b/>
          <w:kern w:val="0"/>
          <w:sz w:val="52"/>
          <w:szCs w:val="52"/>
        </w:rPr>
      </w:pPr>
    </w:p>
    <w:p w14:paraId="7C7C20A6" w14:textId="77777777" w:rsidR="001D59F7" w:rsidRDefault="001D59F7">
      <w:pPr>
        <w:spacing w:line="570" w:lineRule="exact"/>
        <w:jc w:val="center"/>
        <w:rPr>
          <w:rFonts w:ascii="华文中宋" w:eastAsia="华文中宋" w:hAnsi="华文中宋" w:cs="宋体"/>
          <w:b/>
          <w:kern w:val="0"/>
          <w:sz w:val="52"/>
          <w:szCs w:val="52"/>
        </w:rPr>
      </w:pPr>
    </w:p>
    <w:p w14:paraId="40FD6F93" w14:textId="20C65D18" w:rsidR="001D59F7" w:rsidRDefault="00000000">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w:t>
      </w:r>
      <w:r w:rsidR="00D74CBE">
        <w:rPr>
          <w:rFonts w:ascii="方正小标宋_GBK" w:eastAsia="方正小标宋_GBK" w:hAnsi="华文中宋" w:cs="宋体" w:hint="eastAsia"/>
          <w:b/>
          <w:kern w:val="0"/>
          <w:sz w:val="44"/>
          <w:szCs w:val="44"/>
        </w:rPr>
        <w:t>部门单位项目支出绩效评价报告</w:t>
      </w:r>
    </w:p>
    <w:p w14:paraId="55AE2A33" w14:textId="77777777" w:rsidR="001D59F7" w:rsidRDefault="001D59F7">
      <w:pPr>
        <w:spacing w:line="570" w:lineRule="exact"/>
        <w:jc w:val="center"/>
        <w:rPr>
          <w:rFonts w:ascii="华文中宋" w:eastAsia="华文中宋" w:hAnsi="华文中宋" w:cs="宋体"/>
          <w:b/>
          <w:kern w:val="0"/>
          <w:sz w:val="52"/>
          <w:szCs w:val="52"/>
        </w:rPr>
      </w:pPr>
    </w:p>
    <w:p w14:paraId="1595D187" w14:textId="77777777" w:rsidR="001D59F7" w:rsidRDefault="00000000">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仿宋_GB2312" w:eastAsia="仿宋_GB2312" w:hAnsi="楷体" w:hint="eastAsia"/>
          <w:spacing w:val="-4"/>
          <w:sz w:val="32"/>
          <w:szCs w:val="32"/>
        </w:rPr>
        <w:t>2022</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F93EA35" w14:textId="77777777" w:rsidR="001D59F7" w:rsidRDefault="001D59F7">
      <w:pPr>
        <w:spacing w:line="570" w:lineRule="exact"/>
        <w:jc w:val="center"/>
        <w:rPr>
          <w:rFonts w:eastAsia="仿宋_GB2312" w:hAnsi="宋体" w:cs="宋体"/>
          <w:kern w:val="0"/>
          <w:sz w:val="30"/>
          <w:szCs w:val="30"/>
        </w:rPr>
      </w:pPr>
    </w:p>
    <w:p w14:paraId="588CB5A4" w14:textId="77777777" w:rsidR="001D59F7" w:rsidRDefault="001D59F7">
      <w:pPr>
        <w:spacing w:line="570" w:lineRule="exact"/>
        <w:jc w:val="center"/>
        <w:rPr>
          <w:rFonts w:eastAsia="仿宋_GB2312" w:hAnsi="宋体" w:cs="宋体"/>
          <w:kern w:val="0"/>
          <w:sz w:val="30"/>
          <w:szCs w:val="30"/>
        </w:rPr>
      </w:pPr>
    </w:p>
    <w:p w14:paraId="29212BDF" w14:textId="77777777" w:rsidR="001D59F7" w:rsidRDefault="001D59F7">
      <w:pPr>
        <w:spacing w:line="570" w:lineRule="exact"/>
        <w:jc w:val="center"/>
        <w:rPr>
          <w:rFonts w:eastAsia="仿宋_GB2312" w:hAnsi="宋体" w:cs="宋体"/>
          <w:kern w:val="0"/>
          <w:sz w:val="30"/>
          <w:szCs w:val="30"/>
        </w:rPr>
      </w:pPr>
    </w:p>
    <w:p w14:paraId="789CD4F0" w14:textId="77777777" w:rsidR="001D59F7" w:rsidRDefault="001D59F7">
      <w:pPr>
        <w:spacing w:line="570" w:lineRule="exact"/>
        <w:jc w:val="center"/>
        <w:rPr>
          <w:rFonts w:eastAsia="仿宋_GB2312" w:hAnsi="宋体" w:cs="宋体"/>
          <w:kern w:val="0"/>
          <w:sz w:val="30"/>
          <w:szCs w:val="30"/>
        </w:rPr>
      </w:pPr>
    </w:p>
    <w:p w14:paraId="33A1ED9B" w14:textId="77777777" w:rsidR="001D59F7" w:rsidRDefault="001D59F7">
      <w:pPr>
        <w:spacing w:line="570" w:lineRule="exact"/>
        <w:jc w:val="center"/>
        <w:rPr>
          <w:rFonts w:eastAsia="仿宋_GB2312" w:hAnsi="宋体" w:cs="宋体"/>
          <w:kern w:val="0"/>
          <w:sz w:val="30"/>
          <w:szCs w:val="30"/>
        </w:rPr>
      </w:pPr>
    </w:p>
    <w:p w14:paraId="662514DE" w14:textId="77777777" w:rsidR="001D59F7" w:rsidRDefault="001D59F7">
      <w:pPr>
        <w:spacing w:line="570" w:lineRule="exact"/>
        <w:jc w:val="center"/>
        <w:rPr>
          <w:rFonts w:eastAsia="仿宋_GB2312" w:hAnsi="宋体" w:cs="宋体"/>
          <w:kern w:val="0"/>
          <w:sz w:val="30"/>
          <w:szCs w:val="30"/>
        </w:rPr>
      </w:pPr>
    </w:p>
    <w:p w14:paraId="379E8661" w14:textId="77777777" w:rsidR="001D59F7" w:rsidRDefault="00000000">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d"/>
          <w:rFonts w:ascii="仿宋" w:eastAsia="仿宋" w:hAnsi="仿宋" w:cs="仿宋" w:hint="eastAsia"/>
          <w:b w:val="0"/>
          <w:bCs w:val="0"/>
          <w:spacing w:val="-4"/>
          <w:sz w:val="32"/>
          <w:szCs w:val="32"/>
        </w:rPr>
        <w:t>塔什库尔干县塔吉克阿巴提镇现代畜牧业规模化养殖项目</w:t>
      </w:r>
    </w:p>
    <w:p w14:paraId="57960922" w14:textId="77777777" w:rsidR="001D59F7" w:rsidRDefault="00000000">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d"/>
          <w:rFonts w:ascii="仿宋" w:eastAsia="仿宋" w:hAnsi="仿宋" w:cs="仿宋" w:hint="eastAsia"/>
          <w:b w:val="0"/>
          <w:bCs w:val="0"/>
          <w:spacing w:val="-4"/>
          <w:sz w:val="32"/>
          <w:szCs w:val="32"/>
        </w:rPr>
        <w:t>塔什库尔干塔吉克自治县塔吉克阿巴提镇人民政府（本级）</w:t>
      </w:r>
    </w:p>
    <w:p w14:paraId="31E94BA6" w14:textId="77777777" w:rsidR="001D59F7" w:rsidRDefault="00000000">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Pr>
          <w:rStyle w:val="ad"/>
          <w:rFonts w:ascii="仿宋" w:eastAsia="仿宋" w:hAnsi="仿宋" w:cs="仿宋" w:hint="eastAsia"/>
          <w:b w:val="0"/>
          <w:bCs w:val="0"/>
          <w:spacing w:val="-4"/>
          <w:sz w:val="32"/>
          <w:szCs w:val="32"/>
        </w:rPr>
        <w:t>塔什库尔干县乡村振兴局</w:t>
      </w:r>
    </w:p>
    <w:p w14:paraId="5E07E12A" w14:textId="77777777" w:rsidR="001D59F7" w:rsidRDefault="00000000">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d"/>
          <w:rFonts w:ascii="仿宋" w:eastAsia="仿宋" w:hAnsi="仿宋" w:cs="仿宋" w:hint="eastAsia"/>
          <w:b w:val="0"/>
          <w:bCs w:val="0"/>
          <w:spacing w:val="-4"/>
          <w:sz w:val="32"/>
          <w:szCs w:val="32"/>
        </w:rPr>
        <w:t>依力木江·依明江</w:t>
      </w:r>
    </w:p>
    <w:p w14:paraId="6F55FB7F" w14:textId="77777777" w:rsidR="001D59F7" w:rsidRDefault="00000000">
      <w:pPr>
        <w:spacing w:line="540" w:lineRule="exact"/>
        <w:ind w:firstLineChars="100" w:firstLine="360"/>
        <w:rPr>
          <w:rStyle w:val="ad"/>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d"/>
          <w:rFonts w:ascii="仿宋" w:eastAsia="仿宋" w:hAnsi="仿宋" w:cs="仿宋" w:hint="eastAsia"/>
          <w:b w:val="0"/>
          <w:bCs w:val="0"/>
          <w:spacing w:val="-4"/>
          <w:sz w:val="32"/>
          <w:szCs w:val="32"/>
        </w:rPr>
        <w:t>2023年03月10日</w:t>
      </w:r>
    </w:p>
    <w:p w14:paraId="509E1EE9" w14:textId="77777777" w:rsidR="001D59F7" w:rsidRDefault="00000000">
      <w:pPr>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br w:type="page"/>
      </w:r>
    </w:p>
    <w:p w14:paraId="5D14C083"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一、基本情况</w:t>
      </w:r>
    </w:p>
    <w:p w14:paraId="002A42B3" w14:textId="77777777" w:rsidR="001D59F7" w:rsidRDefault="00000000">
      <w:pPr>
        <w:spacing w:line="570" w:lineRule="exact"/>
        <w:ind w:firstLineChars="200" w:firstLine="627"/>
        <w:rPr>
          <w:rStyle w:val="ad"/>
          <w:rFonts w:ascii="方正楷体_GBK" w:eastAsia="方正楷体_GBK" w:hAnsi="方正楷体_GBK" w:cs="方正楷体_GBK"/>
          <w:bCs w:val="0"/>
          <w:spacing w:val="-4"/>
          <w:sz w:val="32"/>
          <w:szCs w:val="32"/>
        </w:rPr>
      </w:pPr>
      <w:r>
        <w:rPr>
          <w:rStyle w:val="ad"/>
          <w:rFonts w:ascii="楷体" w:eastAsia="楷体" w:hAnsi="楷体" w:cs="楷体" w:hint="eastAsia"/>
          <w:bCs w:val="0"/>
          <w:spacing w:val="-4"/>
          <w:sz w:val="32"/>
          <w:szCs w:val="32"/>
        </w:rPr>
        <w:t>（一）项目概况。包括项目背景、主要内容及实施情况、资金投入和使用情况等。</w:t>
      </w:r>
    </w:p>
    <w:p w14:paraId="704D901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旨在评价塔什库尔干县塔吉克阿巴提镇现代畜牧业规模化养殖建设项目实施前期、过程及效果，评价财政预算资金使用的效率及效益。通过项目实施，可直接带动塔吉克阿巴提镇畜牧业发展和品种改良，提高饲养牲畜的综合效益，既可巩固脱贫攻坚成果，又带动社会其他产业发展，形成地方经济协同发展，共同进步的良好局面。</w:t>
        <w:br/>
        <w:t>2. 主要内容及实施情况</w:t>
        <w:br/>
        <w:t xml:space="preserve"> 该项目2022年筹集资金472.05万元，用于化解塔什库尔干县塔吉克阿巴提镇现代畜牧业规模化养殖项目债务472.05万元。为政府性公共服务提供保障，100%完成年度还款计划。</w:t>
        <w:br/>
        <w:t>3.项目实施主体</w:t>
        <w:br/>
        <w:t>塔什库尔干县塔吉克阿巴提镇人民政府为行政机关单位，纳入2022年部门决算编制范围的有5个办公室：党政办公室、党建办公室、经济发展办公室、社会事务办公室、综合执法办公室；六个中心:农业（畜牧业）发展服务中心、文体广电旅游服务中心、社会保障（民政）服务中心（退役军人服务站）、农村合作经济（统计）发展中心（财政所）、村镇规划建设发展中心（生态环境工作站）、综治中心（网格化服务中心）。</w:t>
        <w:br/>
        <w:t>编制人数71人，其中：行政人员编制45人、工勤3人、参公2人、事业编制21人。实有在职人数71人，其中：行政在职44人、工勤4人、参公15人、事业在职8人。离退休人员20人，其中：行政退休人员16人、事业退休4人。</w:t>
        <w:br/>
        <w:t>4. 资金投入和使用情况</w:t>
        <w:br/>
        <w:t>依据《塔什库尔干县2022年第一批巩固拓展脱贫攻坚成果同乡村振兴有效衔接项目批复》塔党农领字【2022】3号、《塔什库尔干县2022年第二批巩固拓展脱贫攻坚成果同乡村振兴有效衔接项目批复》塔党农领字【2022】21号文件要求共安排下达资金472.05万元，资金来源为2022年巩固拓展脱贫攻坚成果同乡村振兴有效衔接资金，最终确定项目资金总数为472.05万元。</w:t>
        <w:br/>
        <w:t>截至2022年11月22日，实际支出472.05万元，预算执行率100%。</w:t>
      </w:r>
    </w:p>
    <w:p w14:paraId="6A9D8BA2"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（二）项目绩效目标。包括总体目标和阶段性目标。</w:t>
      </w:r>
    </w:p>
    <w:p w14:paraId="3902C6CE"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该项目2022年筹集资金472.05万元，用于化解塔什库尔干县塔吉克阿巴提镇现代畜牧业规模化养殖项目债务472.05万元。为政府性公共服务提供保障，100%完成年度还款计划。</w:t>
        <w:br/>
        <w:t>2.阶段性目标</w:t>
        <w:br/>
        <w:t>塔什库尔干县塔吉克阿巴提镇现代畜牧业规模化养殖建设项目实施分为三个主要阶段：前期准备工作阶段、实施阶段，验收阶段。前期准备工作阶段：一是项目实施方案的编制和审批；实施阶段：按照项目进度比例进行拨款，验收阶段：本项目为2022年1月初开始，2022年12月完成，项目建成后组织联合验收。</w:t>
      </w:r>
    </w:p>
    <w:p w14:paraId="3A919777"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二、绩效评价工作开展情况</w:t>
      </w:r>
    </w:p>
    <w:p w14:paraId="7E6C86C5"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（一）绩效评价目的、对象和范围。</w:t>
      </w:r>
    </w:p>
    <w:p w14:paraId="247B2BE7"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14:paraId="24500BF8"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（二）绩效评价原则、评价指标体系（附表说明）、评价方法、评价标准等。</w:t>
      </w:r>
    </w:p>
    <w:p w14:paraId="2DE7F4C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</w:t>
        <w:br/>
        <w:t>3. 绩效评价方法</w:t>
        <w:br/>
        <w:t>本本次绩效评价方法的选用坚持简便有效的原则采用综合分析法。采用定量与定性评价相结合的比较法，公众评判法，总分由各项指标得分汇总形成。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绩效评价标准通常包括计划标准、行业标准、历史标准等，用于对绩效指标完成情况进行比较、分析、评价。本次评价主要采用了计划标准，行业标准。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14:paraId="36A614F1"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（三）绩效评价工作过程。</w:t>
      </w:r>
    </w:p>
    <w:p w14:paraId="1C7E2031"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依力木江·依明江（塔吉克阿巴提镇党委副书记、镇长）任评价组组长，绩效评价工作职责为负责全盘工作。</w:t>
        <w:br/>
        <w:t>张梓瑾（塔吉克阿巴提镇党委委员、副镇长），付凯林（塔吉克阿巴提镇副镇长）任评价组副组长，绩效评价工作职责为为对项目实施情况进行实地调查。</w:t>
        <w:br/>
        <w:t>黄现军，张爱效，古力米热任评价组成员，绩效评价工作职责为负责资料审核等工作。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14:paraId="2DA5CB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三、综合评价情况及评价结论</w:t>
      </w:r>
    </w:p>
    <w:p w14:paraId="4C8DDC1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（一）综合评价情况</w:t>
        <w:br/>
        <w:t>经评价组通过实地调研、综合分析法、问卷调查法等方式，主要采用综合分析法对项目的决策、实施、产出、效益进行综合评价分析，最终评分100分。</w:t>
        <w:br/>
        <w:t>塔什库尔干县塔吉克阿巴提镇现代畜牧业规模化养殖项目得分情况表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塔吉克阿巴提镇现代畜牧业规模化养殖建设项目已完成为政府性公共服务提供保障，100%完成年度还款计划。该项目最终评分100分，绩效评级为“优”，具体得分情况为：项目决策20分、项目过程20分、项目产出40分、项目效益20分。绩效评级为“优”。</w:t>
      </w:r>
    </w:p>
    <w:p w14:paraId="7940CAF2" w14:textId="77777777" w:rsidR="001D59F7" w:rsidRDefault="00000000">
      <w:pPr>
        <w:spacing w:line="570" w:lineRule="exact"/>
        <w:ind w:firstLineChars="200" w:firstLine="624"/>
        <w:rPr>
          <w:rStyle w:val="ad"/>
          <w:rFonts w:ascii="黑体" w:eastAsia="黑体" w:hAnsi="黑体" w:cs="黑体"/>
          <w:b w:val="0"/>
          <w:sz w:val="32"/>
          <w:szCs w:val="32"/>
        </w:rPr>
      </w:pPr>
      <w:r>
        <w:rPr>
          <w:rStyle w:val="ad"/>
          <w:rFonts w:ascii="黑体" w:eastAsia="黑体" w:hAnsi="黑体" w:cs="黑体" w:hint="eastAsia"/>
          <w:b w:val="0"/>
          <w:spacing w:val="-4"/>
          <w:sz w:val="32"/>
          <w:szCs w:val="32"/>
        </w:rPr>
        <w:t xml:space="preserve">四、绩效评价指标分析 </w:t>
      </w:r>
    </w:p>
    <w:p w14:paraId="45B6A46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14:paraId="0ACD818C"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（一）项目决策情况</w:t>
        <w:br/>
        <w:t>项目决策类指标包括项目立项、绩效目标和资金投入三方面的内容，由6个三级指标构成，权重分为 20 分，实际得分20分，得分率为100%。</w:t>
        <w:br/>
        <w:t>塔什库尔干县塔吉克阿巴提镇现代畜牧业规模化养殖项目决策指标得分情况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（1）立项依据充分性：结合塔什库尔干县塔吉克阿巴提镇人民政府职责，并组织实施。围绕塔什库尔干县年度工作重点和工作计划制定经费预算，根据评分标准，该指标不扣分，得3分。</w:t>
        <w:br/>
        <w:t>（2）立项程序规范性：根据决策依据编制工作计划和经费预算，经过与依力木江·依明江分管领导进行沟通、筛选确定经费预算计划，上党委会研究确定最终预算方案，根据评分标准，该指标不扣分，得2分。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（6）资金分配合理性：资金分配与实际相适应，根据评分标准，该指标不扣分，得5分。</w:t>
      </w:r>
    </w:p>
    <w:p w14:paraId="08EF9CF2"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14:paraId="6B64B585"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（二）项目过程情况</w:t>
        <w:br/>
        <w:t>项目过程类指标包括资金管理和组织实施两方面的内容，由 5个三级指标构成，权重分为20分，实际得分20 分，得分率为100%。</w:t>
        <w:br/>
        <w:t>塔什库尔干县塔吉克阿巴提镇现代畜牧业规模化养殖项目过程指标得分情况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（1）资金到位率：财政资金足额拨付到位，牵头单位能够及时足额按照合同约定将专项资金拨付给联合体单位，根据评分标准，该指标不扣分，得5分。   </w:t>
        <w:br/>
        <w:t>（2）预算执行率：预算编制较为详细，项目资金支出总体能够按照预算执行，根据评分标准，该指标不扣分，得5分。</w:t>
        <w:br/>
        <w:t>（3）资金使用合规性：制定了相关的制度和管理规定对经费使用进行规范管理，财务制度健全、执行严格，根据评分标准，该指标不扣分，得5分。</w:t>
        <w:br/>
        <w:t>（4）管理制度健全性：制定了党校相关管理办法，对财政专项资金进行严格管理，基本做到了专款专用，根据评分标准，该指标不扣分，得2分。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14:paraId="1194A5B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14:paraId="0EA5C3EF"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（三）项目产出情况</w:t>
        <w:br/>
        <w:t>项目产出类指标包括产出数量、产出质量、产出时效、产出成本四方面的内容，由4个三级指标构成，权重分为40分，实际得分40分，得分率为100%。</w:t>
        <w:br/>
        <w:t>塔什库尔干县塔吉克阿巴提镇现代畜牧业规模化养殖项目产出指标得分情况</w:t>
        <w:br/>
        <w:t>三级指标	权重	得分率	实际得分</w:t>
        <w:br/>
        <w:t>数量指标	10	100%	10</w:t>
        <w:br/>
        <w:t>质量指标	10	100%	10</w:t>
        <w:br/>
        <w:t>时效指标	10	100%	10</w:t>
        <w:br/>
        <w:t>成本指标	10	100%	10</w:t>
        <w:br/>
        <w:t>合计	40	100%	40</w:t>
        <w:br/>
        <w:t>（1）对于“数量指标”</w:t>
        <w:br/>
        <w:t>债务化解项目个数1个，与预期目标一致，根据评分标准，该指标不扣分，得10分。</w:t>
        <w:br/>
        <w:t>合计得10分。</w:t>
        <w:br/>
        <w:t>（2）对于“质量指标”：</w:t>
        <w:br/>
        <w:t>债务化解任务完成率100%，与预期目标一致，根据评分标准，该指标不扣分，得10分。</w:t>
        <w:br/>
        <w:t>合计得10分。</w:t>
        <w:br/>
        <w:t>（3）对于“时效指标”：</w:t>
        <w:br/>
        <w:t>资金拨付及时率100%，与预期目标一致，根据评分标准，该指标不扣分，得5分。</w:t>
        <w:br/>
        <w:t>项目完工时间2022年12月30日，与预期目标一致，根据评分标准，该指标不扣分，得5分。。</w:t>
        <w:br/>
        <w:t>合计得10分。</w:t>
        <w:br/>
        <w:t>（4）对于“成本指标”：</w:t>
        <w:br/>
        <w:t>偿还资金成本472.05万元，项目经费都能控制绩效目标范围内，根据评分标准，该指标不扣分，得10分。</w:t>
        <w:br/>
        <w:t>合计得分10分。</w:t>
      </w:r>
    </w:p>
    <w:p w14:paraId="085A5DA0"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14:paraId="0DC686A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（四）项目效益情况</w:t>
        <w:br/>
        <w:t>项目效益类指标包括项目效益1个方面的内容，由2个三级指标构成，权重分为20分，实际得分20分，得分率为100%。</w:t>
        <w:br/>
        <w:t>塔什库尔干县塔吉克阿巴提镇现代畜牧业规模化养殖项目绩效指标得分情况</w:t>
        <w:br/>
        <w:t>三级指标	权重	得分率	实际得分</w:t>
        <w:br/>
        <w:t>实施效益	10	100%	10</w:t>
        <w:br/>
        <w:t>			</w:t>
        <w:br/>
        <w:t>满意度	10	100%	10</w:t>
        <w:br/>
        <w:t>合计	20	100%	20</w:t>
        <w:br/>
        <w:t>1.实施效益指标：</w:t>
        <w:br/>
        <w:t>（1）对于“社会效益指标”：</w:t>
        <w:br/>
        <w:t>确保地方政府债务化解，有效提升政府公信力，与预期目标一致，根据评分标准，该指标不扣分，得5分。 </w:t>
        <w:br/>
        <w:t>（2）对于“可持续影响指标”：</w:t>
        <w:br/>
        <w:t>项目资金可持续影响年限1年，与预期目标一致，根据评分标准，该指标不扣分，得5分。</w:t>
        <w:br/>
        <w:t>实施效益指标合计得10分。</w:t>
        <w:br/>
        <w:t>（3）对于“经济效益指标”：</w:t>
        <w:br/>
        <w:t>无。</w:t>
        <w:br/>
        <w:t>（4）对于“生态效益指标”：</w:t>
        <w:br/>
        <w:t>无。</w:t>
        <w:br/>
        <w:t>实施效益指标合计得10分。</w:t>
        <w:br/>
        <w:t>2.满意度指标:</w:t>
        <w:br/>
        <w:t>对于“满意度指标：受益债务化解对象满意度95%，与预期目标一致，根据评分标准，该指标不扣分,得10分。</w:t>
      </w:r>
    </w:p>
    <w:p w14:paraId="1427E7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五、预算执行进度与绩效指标偏差</w:t>
      </w:r>
    </w:p>
    <w:p w14:paraId="59F9E263" w14:textId="77777777" w:rsidR="001D59F7" w:rsidRDefault="00000000">
      <w:pPr>
        <w:spacing w:line="540" w:lineRule="exact"/>
        <w:ind w:firstLine="567"/>
        <w:rPr>
          <w:rFonts w:ascii="仿宋" w:eastAsia="仿宋" w:hAnsi="仿宋" w:cs="仿宋"/>
          <w:spacing w:val="-4"/>
          <w:sz w:val="32"/>
          <w:szCs w:val="32"/>
        </w:rPr>
      </w:pPr>
      <w:r>
        <w:rPr>
          <w:rStyle w:val="ad"/>
          <w:rFonts w:ascii="仿宋" w:eastAsia="仿宋" w:hAnsi="仿宋" w:cs="仿宋" w:hint="eastAsia"/>
          <w:b w:val="0"/>
          <w:bCs w:val="0"/>
          <w:spacing w:val="-4"/>
          <w:sz w:val="32"/>
          <w:szCs w:val="32"/>
        </w:rPr>
        <w:t>塔什库尔干县塔吉克阿巴提镇现代畜牧业规模化养殖建设项目预算472.05万元，到位472.05万元，实际支出472.05万元，预算执行率为100%，项目绩效指标总体完成率为100%，无偏差。</w:t>
      </w:r>
    </w:p>
    <w:p w14:paraId="626EE800"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六、主要经验及做法、存在的问题及原因分析</w:t>
      </w:r>
    </w:p>
    <w:p w14:paraId="53C72163"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（一）主要经验及做法</w:t>
        <w:b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1958C78E"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七、有关建议</w:t>
      </w:r>
    </w:p>
    <w:p w14:paraId="7DEC5E5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14:paraId="6FEBFB95"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八、其他需要说明的问题</w:t>
      </w:r>
    </w:p>
    <w:p w14:paraId="4B1F6429"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我单位对上述项目支出绩效评价报告内反映内容的真实性、完整性负责，接受上级部门及社会公众监督。</w:t>
      </w:r>
    </w:p>
    <w:p w14:paraId="0E525B6E" w14:textId="77777777" w:rsidR="001D59F7" w:rsidRDefault="001D59F7">
      <w:pPr>
        <w:spacing w:line="540" w:lineRule="exact"/>
        <w:ind w:firstLine="567"/>
        <w:rPr>
          <w:rStyle w:val="ad"/>
          <w:rFonts w:ascii="黑体" w:eastAsia="黑体" w:hAnsi="黑体" w:cs="黑体"/>
          <w:b w:val="0"/>
          <w:bCs w:val="0"/>
          <w:spacing w:val="-4"/>
          <w:sz w:val="32"/>
          <w:szCs w:val="32"/>
        </w:rPr>
      </w:pPr>
    </w:p>
    <w:p w14:paraId="088A38F8" w14:textId="77777777" w:rsidR="001D59F7" w:rsidRDefault="001D59F7">
      <w:pPr>
        <w:spacing w:line="540" w:lineRule="exact"/>
        <w:ind w:firstLine="567"/>
        <w:rPr>
          <w:rStyle w:val="ad"/>
          <w:rFonts w:ascii="黑体" w:eastAsia="黑体" w:hAnsi="黑体" w:cs="黑体"/>
          <w:b w:val="0"/>
          <w:bCs w:val="0"/>
          <w:spacing w:val="-4"/>
          <w:sz w:val="32"/>
          <w:szCs w:val="32"/>
        </w:rPr>
      </w:pPr>
    </w:p>
    <w:sectPr w:rsidR="001D59F7">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848C" w14:textId="77777777" w:rsidR="00164EEB" w:rsidRDefault="00164EEB">
      <w:r>
        <w:separator/>
      </w:r>
    </w:p>
  </w:endnote>
  <w:endnote w:type="continuationSeparator" w:id="0">
    <w:p w14:paraId="6523E723" w14:textId="77777777" w:rsidR="00164EEB" w:rsidRDefault="0016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703A45A3" w14:textId="77777777" w:rsidR="001D59F7" w:rsidRDefault="00000000">
        <w:pPr>
          <w:pStyle w:val="a5"/>
          <w:jc w:val="center"/>
        </w:pPr>
        <w:r>
          <w:fldChar w:fldCharType="begin"/>
        </w:r>
        <w:r>
          <w:instrText>PAGE   \* MERGEFORMAT</w:instrText>
        </w:r>
        <w:r>
          <w:fldChar w:fldCharType="separate"/>
        </w:r>
        <w:r>
          <w:rPr>
            <w:lang w:val="zh-CN"/>
          </w:rPr>
          <w:t>1</w:t>
        </w:r>
        <w:r>
          <w:fldChar w:fldCharType="end"/>
        </w:r>
      </w:p>
    </w:sdtContent>
  </w:sdt>
  <w:p w14:paraId="068E755B" w14:textId="77777777" w:rsidR="001D59F7" w:rsidRDefault="001D59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971B1" w14:textId="77777777" w:rsidR="00164EEB" w:rsidRDefault="00164EEB">
      <w:r>
        <w:separator/>
      </w:r>
    </w:p>
  </w:footnote>
  <w:footnote w:type="continuationSeparator" w:id="0">
    <w:p w14:paraId="180509BF" w14:textId="77777777" w:rsidR="00164EEB" w:rsidRDefault="00164E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DA521F6"/>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965E3"/>
  <w15:docId w15:val="{5E203BB2-B778-493E-B8E8-15A84A71F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oter1.xml" Type="http://schemas.openxmlformats.org/officeDocument/2006/relationships/footer"/>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Words>
  <Characters>593</Characters>
  <Application>Microsoft Office Word</Application>
  <DocSecurity>0</DocSecurity>
  <Lines>4</Lines>
  <Paragraphs>1</Paragraphs>
  <ScaleCrop>false</ScaleCrop>
  <Company>Microsoft</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易仁多</cp:lastModifiedBy>
  <cp:lastPrinted>2018-12-31T10:56:00Z</cp:lastPrinted>
  <dcterms:modified xsi:type="dcterms:W3CDTF">2023-03-14T11:09:00Z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2052-11.1.0.11405</vt:lpwstr>
  </property>
  <property fmtid="{D5CDD505-2E9C-101B-9397-08002B2CF9AE}" pid="3" name="ICV">
    <vt:lpwstr>B2EA7016946742F29F6179AB652E0BB8</vt:lpwstr>
  </property>
</Properties>
</file>