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塔什库尔干塔吉克自治县塔什库尔干镇人民政府2024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6DB779">
      <w:r>
        <w:br w:type="page"/>
      </w:r>
    </w:p>
    <w:p w14:paraId="4B75592D">
      <w:pPr>
        <w:spacing w:line="640" w:lineRule="exact"/>
        <w:jc w:val="center"/>
        <w:outlineLvl w:val="1"/>
      </w:pPr>
      <w:r>
        <w:rPr>
          <w:rFonts w:ascii="黑体" w:hAnsi="黑体" w:eastAsia="黑体"/>
          <w:sz w:val="32"/>
        </w:rPr>
        <w:t>第一部分 单位概况</w:t>
      </w:r>
    </w:p>
    <w:p w14:paraId="4A32F2FC">
      <w:pPr>
        <w:spacing w:line="640" w:lineRule="exact"/>
        <w:ind w:firstLine="640"/>
        <w:jc w:val="both"/>
        <w:outlineLvl w:val="2"/>
      </w:pPr>
      <w:r>
        <w:rPr>
          <w:rFonts w:ascii="黑体" w:hAnsi="黑体" w:eastAsia="黑体"/>
          <w:sz w:val="32"/>
        </w:rPr>
        <w:t>一、主要职能</w:t>
      </w:r>
    </w:p>
    <w:p w14:paraId="5857D2CB">
      <w:pPr>
        <w:spacing w:line="580" w:lineRule="exact"/>
        <w:ind w:firstLine="640"/>
        <w:jc w:val="both"/>
      </w:pPr>
      <w:r>
        <w:rPr>
          <w:rFonts w:ascii="仿宋_GB2312" w:hAnsi="仿宋_GB2312" w:eastAsia="仿宋_GB2312"/>
          <w:sz w:val="32"/>
        </w:rPr>
        <w:t>塔什库尔干镇机关负责贯彻落实党中央关于基层工作的方针政策、决策部署和自治区党委、地委和县委的工作要求，把坚持和加强党对基层工作的集中统一领导落实到履行职责过程中。主要职责是。</w:t>
      </w:r>
    </w:p>
    <w:p w14:paraId="6F093A22">
      <w:pPr>
        <w:spacing w:line="580" w:lineRule="exact"/>
        <w:ind w:firstLine="640"/>
        <w:jc w:val="both"/>
      </w:pPr>
      <w:r>
        <w:rPr>
          <w:rFonts w:ascii="仿宋_GB2312" w:hAnsi="仿宋_GB2312" w:eastAsia="仿宋_GB2312"/>
          <w:sz w:val="32"/>
        </w:rPr>
        <w:t>（一）贯彻执行党的路线、方针、政策和国家的法律法规，落实上级党委、政府决策部署和</w:t>
      </w:r>
      <w:r>
        <w:rPr>
          <w:rFonts w:hint="eastAsia" w:ascii="仿宋_GB2312" w:hAnsi="仿宋_GB2312" w:eastAsia="仿宋_GB2312"/>
          <w:sz w:val="32"/>
          <w:lang w:eastAsia="zh-CN"/>
        </w:rPr>
        <w:t>县委、县政府</w:t>
      </w:r>
      <w:r>
        <w:rPr>
          <w:rFonts w:ascii="仿宋_GB2312" w:hAnsi="仿宋_GB2312" w:eastAsia="仿宋_GB2312"/>
          <w:sz w:val="32"/>
        </w:rPr>
        <w:t>相关工作安排，执行本级人民代表大会决议，在履行职责过程中坚持和加强党的集中统一领导。</w:t>
      </w:r>
    </w:p>
    <w:p w14:paraId="718A4F4C">
      <w:pPr>
        <w:spacing w:line="580" w:lineRule="exact"/>
        <w:ind w:firstLine="640"/>
        <w:jc w:val="both"/>
      </w:pPr>
      <w:r>
        <w:rPr>
          <w:rFonts w:ascii="仿宋_GB2312" w:hAnsi="仿宋_GB2312" w:eastAsia="仿宋_GB2312"/>
          <w:sz w:val="32"/>
        </w:rPr>
        <w:t>（二）根据自治区党委、地委相关决策部署和县委相关工作安排，讨论和决定本行政区域内经济建设、政治建设、文化建设、社会建设、生态文明建设和党的建设以及乡村振兴中的重大问题。</w:t>
      </w:r>
    </w:p>
    <w:p w14:paraId="36DEA008">
      <w:pPr>
        <w:spacing w:line="580" w:lineRule="exact"/>
        <w:ind w:firstLine="640"/>
        <w:jc w:val="both"/>
      </w:pPr>
      <w:r>
        <w:rPr>
          <w:rFonts w:ascii="仿宋_GB2312" w:hAnsi="仿宋_GB2312" w:eastAsia="仿宋_GB2312"/>
          <w:sz w:val="32"/>
        </w:rPr>
        <w:t>（三）落实基层党建工作责任制，负责党风廉政建设、宣传、意识形态、精神文明等工作；负责做好辖区各类社会组织的党建工作和发展党员工作，协调、指导辖区社会单位党组织和党员积极参加政治文化生活；负责做好人大、政协等事务工作；依法指导和规范管辖范围内的群团组织等其他各类组织。</w:t>
      </w:r>
    </w:p>
    <w:p w14:paraId="4AFAF160">
      <w:pPr>
        <w:spacing w:line="580" w:lineRule="exact"/>
        <w:ind w:firstLine="640"/>
        <w:jc w:val="both"/>
      </w:pPr>
      <w:r>
        <w:rPr>
          <w:rFonts w:ascii="仿宋_GB2312" w:hAnsi="仿宋_GB2312" w:eastAsia="仿宋_GB2312"/>
          <w:sz w:val="32"/>
        </w:rPr>
        <w:t>（四）负责社会治安、综合治理、扫黑除恶等工作。落实社会矛盾纠纷排查调处机制，实施社会治安综合治理，依法严厉打击黑恶势力、宗族恶势力、</w:t>
      </w:r>
      <w:r>
        <w:rPr>
          <w:rFonts w:hint="eastAsia" w:ascii="仿宋_GB2312" w:hAnsi="仿宋_GB2312" w:eastAsia="仿宋_GB2312"/>
          <w:sz w:val="32"/>
          <w:lang w:eastAsia="zh-CN"/>
        </w:rPr>
        <w:t>ZJ</w:t>
      </w:r>
      <w:r>
        <w:rPr>
          <w:rFonts w:ascii="仿宋_GB2312" w:hAnsi="仿宋_GB2312" w:eastAsia="仿宋_GB2312"/>
          <w:sz w:val="32"/>
        </w:rPr>
        <w:t>极端势力、“村霸”，严防其侵蚀基层干部和基层政权。</w:t>
      </w:r>
    </w:p>
    <w:p w14:paraId="4D60F700">
      <w:pPr>
        <w:spacing w:line="580" w:lineRule="exact"/>
        <w:ind w:firstLine="640"/>
        <w:jc w:val="both"/>
      </w:pPr>
      <w:r>
        <w:rPr>
          <w:rFonts w:ascii="仿宋_GB2312" w:hAnsi="仿宋_GB2312" w:eastAsia="仿宋_GB2312"/>
          <w:sz w:val="32"/>
        </w:rPr>
        <w:t>（五）根据相关规定，负责组织实施与群众生活密切相关的各项公共服务，负责做好民政、社会保障、教育体育、科技文化、卫生健康、劳动就业、</w:t>
      </w:r>
      <w:r>
        <w:rPr>
          <w:rFonts w:hint="eastAsia" w:ascii="仿宋_GB2312" w:hAnsi="仿宋_GB2312" w:eastAsia="仿宋_GB2312"/>
          <w:sz w:val="32"/>
          <w:lang w:eastAsia="zh-CN"/>
        </w:rPr>
        <w:t>JHSY</w:t>
      </w:r>
      <w:r>
        <w:rPr>
          <w:rFonts w:ascii="仿宋_GB2312" w:hAnsi="仿宋_GB2312" w:eastAsia="仿宋_GB2312"/>
          <w:sz w:val="32"/>
        </w:rPr>
        <w:t>、拥军优属、助残、统计等方面工作。以“最多跑一次”改革为引导，强化基层便民服务。</w:t>
      </w:r>
    </w:p>
    <w:p w14:paraId="4783BDD9">
      <w:pPr>
        <w:spacing w:line="580" w:lineRule="exact"/>
        <w:ind w:firstLine="640"/>
        <w:jc w:val="both"/>
      </w:pPr>
      <w:r>
        <w:rPr>
          <w:rFonts w:ascii="仿宋_GB2312" w:hAnsi="仿宋_GB2312" w:eastAsia="仿宋_GB2312"/>
          <w:sz w:val="32"/>
        </w:rPr>
        <w:t>（六）负责做好统一战线、民族</w:t>
      </w:r>
      <w:r>
        <w:rPr>
          <w:rFonts w:hint="eastAsia" w:ascii="仿宋_GB2312" w:hAnsi="仿宋_GB2312" w:eastAsia="仿宋_GB2312"/>
          <w:sz w:val="32"/>
          <w:lang w:eastAsia="zh-CN"/>
        </w:rPr>
        <w:t>ZJ</w:t>
      </w:r>
      <w:r>
        <w:rPr>
          <w:rFonts w:ascii="仿宋_GB2312" w:hAnsi="仿宋_GB2312" w:eastAsia="仿宋_GB2312"/>
          <w:sz w:val="32"/>
        </w:rPr>
        <w:t>等工作；管理好</w:t>
      </w:r>
      <w:r>
        <w:rPr>
          <w:rFonts w:hint="eastAsia" w:ascii="仿宋_GB2312" w:hAnsi="仿宋_GB2312" w:eastAsia="仿宋_GB2312"/>
          <w:sz w:val="32"/>
          <w:lang w:eastAsia="zh-CN"/>
        </w:rPr>
        <w:t>ZJ</w:t>
      </w:r>
      <w:r>
        <w:rPr>
          <w:rFonts w:ascii="仿宋_GB2312" w:hAnsi="仿宋_GB2312" w:eastAsia="仿宋_GB2312"/>
          <w:sz w:val="32"/>
        </w:rPr>
        <w:t>活动场所，依法制止利用</w:t>
      </w:r>
      <w:r>
        <w:rPr>
          <w:rFonts w:hint="eastAsia" w:ascii="仿宋_GB2312" w:hAnsi="仿宋_GB2312" w:eastAsia="仿宋_GB2312"/>
          <w:sz w:val="32"/>
          <w:lang w:eastAsia="zh-CN"/>
        </w:rPr>
        <w:t>ZJ</w:t>
      </w:r>
      <w:r>
        <w:rPr>
          <w:rFonts w:ascii="仿宋_GB2312" w:hAnsi="仿宋_GB2312" w:eastAsia="仿宋_GB2312"/>
          <w:sz w:val="32"/>
        </w:rPr>
        <w:t>干涉基层公共事务的行为，坚决抵御非法</w:t>
      </w:r>
      <w:r>
        <w:rPr>
          <w:rFonts w:hint="eastAsia" w:ascii="仿宋_GB2312" w:hAnsi="仿宋_GB2312" w:eastAsia="仿宋_GB2312"/>
          <w:sz w:val="32"/>
          <w:lang w:eastAsia="zh-CN"/>
        </w:rPr>
        <w:t>ZJ</w:t>
      </w:r>
      <w:r>
        <w:rPr>
          <w:rFonts w:ascii="仿宋_GB2312" w:hAnsi="仿宋_GB2312" w:eastAsia="仿宋_GB2312"/>
          <w:sz w:val="32"/>
        </w:rPr>
        <w:t>活动和境外渗透活动。</w:t>
      </w:r>
    </w:p>
    <w:p w14:paraId="7D0F1AC2">
      <w:pPr>
        <w:spacing w:line="580" w:lineRule="exact"/>
        <w:ind w:firstLine="640"/>
        <w:jc w:val="both"/>
      </w:pPr>
      <w:r>
        <w:rPr>
          <w:rFonts w:ascii="仿宋_GB2312" w:hAnsi="仿宋_GB2312" w:eastAsia="仿宋_GB2312"/>
          <w:sz w:val="32"/>
        </w:rPr>
        <w:t>（七）负责乡村振兴战略有关政策措施的贯彻落实；负责扶贫开发、产业规划发展、美丽社区建设、生态环境、人居环境整治等工作。</w:t>
      </w:r>
    </w:p>
    <w:p w14:paraId="01E25F2E">
      <w:pPr>
        <w:spacing w:line="580" w:lineRule="exact"/>
        <w:ind w:firstLine="640"/>
        <w:jc w:val="both"/>
      </w:pPr>
      <w:r>
        <w:rPr>
          <w:rFonts w:ascii="仿宋_GB2312" w:hAnsi="仿宋_GB2312" w:eastAsia="仿宋_GB2312"/>
          <w:sz w:val="32"/>
        </w:rPr>
        <w:t>（八）根据行业主管部门相关规定，协助做好农畜产品质量安全、农牧业机械维护和管理等工作；负责加强动物防疫和重大</w:t>
      </w:r>
      <w:r>
        <w:rPr>
          <w:rFonts w:hint="eastAsia" w:ascii="仿宋_GB2312" w:hAnsi="仿宋_GB2312" w:eastAsia="仿宋_GB2312"/>
          <w:sz w:val="32"/>
          <w:lang w:eastAsia="zh-CN"/>
        </w:rPr>
        <w:t>YQ</w:t>
      </w:r>
      <w:r>
        <w:rPr>
          <w:rFonts w:ascii="仿宋_GB2312" w:hAnsi="仿宋_GB2312" w:eastAsia="仿宋_GB2312"/>
          <w:sz w:val="32"/>
        </w:rPr>
        <w:t>的监控工作，落实动物防疫责任制和疫病的分级管理</w:t>
      </w:r>
      <w:r>
        <w:rPr>
          <w:rFonts w:hint="eastAsia" w:ascii="仿宋_GB2312" w:hAnsi="仿宋_GB2312" w:eastAsia="仿宋_GB2312"/>
          <w:sz w:val="32"/>
          <w:lang w:eastAsia="zh-CN"/>
        </w:rPr>
        <w:t>制度</w:t>
      </w:r>
      <w:r>
        <w:rPr>
          <w:rFonts w:ascii="仿宋_GB2312" w:hAnsi="仿宋_GB2312" w:eastAsia="仿宋_GB2312"/>
          <w:sz w:val="32"/>
        </w:rPr>
        <w:t>；加强辖区内林业管理；开展水土保持宣传教育，普及水土保持科学知识，防止水土流失。</w:t>
      </w:r>
    </w:p>
    <w:p w14:paraId="1B53147C">
      <w:pPr>
        <w:spacing w:line="580" w:lineRule="exact"/>
        <w:ind w:firstLine="640"/>
        <w:jc w:val="both"/>
      </w:pPr>
      <w:r>
        <w:rPr>
          <w:rFonts w:ascii="仿宋_GB2312" w:hAnsi="仿宋_GB2312" w:eastAsia="仿宋_GB2312"/>
          <w:sz w:val="32"/>
        </w:rPr>
        <w:t>（九）负责辖区公共安全及安全生产监管，构建公共安全防控体系，建立应对突发紧急事件的处理预案，做好安全生产、防汛、防火、防疫等灾害防御及食品药品安全等应急管理工作。</w:t>
      </w:r>
    </w:p>
    <w:p w14:paraId="5A186CF9">
      <w:pPr>
        <w:spacing w:line="580" w:lineRule="exact"/>
        <w:ind w:firstLine="640"/>
        <w:jc w:val="both"/>
      </w:pPr>
      <w:r>
        <w:rPr>
          <w:rFonts w:ascii="仿宋_GB2312" w:hAnsi="仿宋_GB2312" w:eastAsia="仿宋_GB2312"/>
          <w:sz w:val="32"/>
        </w:rPr>
        <w:t>（十）负责综合协调辖区内镇容镇貌、环境卫生、小区物业、公共设施管理等工作。</w:t>
      </w:r>
    </w:p>
    <w:p w14:paraId="2106EC71">
      <w:pPr>
        <w:spacing w:line="580" w:lineRule="exact"/>
        <w:ind w:firstLine="640"/>
        <w:jc w:val="both"/>
      </w:pPr>
      <w:r>
        <w:rPr>
          <w:rFonts w:ascii="仿宋_GB2312" w:hAnsi="仿宋_GB2312" w:eastAsia="仿宋_GB2312"/>
          <w:sz w:val="32"/>
        </w:rPr>
        <w:t>（十一）负责推进法治政府建设和网格化服务管理工作；负责社区管理和指导工作；负责做好维护老年人、妇女、未成年人和残疾人的合法权益，保障适龄儿童、少年接受义务教育等工作。</w:t>
      </w:r>
    </w:p>
    <w:p w14:paraId="6E9844B3">
      <w:pPr>
        <w:spacing w:line="580" w:lineRule="exact"/>
        <w:ind w:firstLine="640"/>
        <w:jc w:val="both"/>
      </w:pPr>
      <w:r>
        <w:rPr>
          <w:rFonts w:ascii="仿宋_GB2312" w:hAnsi="仿宋_GB2312" w:eastAsia="仿宋_GB2312"/>
          <w:sz w:val="32"/>
        </w:rPr>
        <w:t>（十二）根据自治区党委、政府赋予乡镇行政权力事项清单，与县相关执法队伍和部门协调配合行使行政许可、行政确认、行政处罚等相关权力。</w:t>
      </w:r>
    </w:p>
    <w:p w14:paraId="30C848F0">
      <w:pPr>
        <w:spacing w:line="580" w:lineRule="exact"/>
        <w:ind w:firstLine="640"/>
        <w:jc w:val="both"/>
      </w:pPr>
      <w:r>
        <w:rPr>
          <w:rFonts w:ascii="仿宋_GB2312" w:hAnsi="仿宋_GB2312" w:eastAsia="仿宋_GB2312"/>
          <w:sz w:val="32"/>
        </w:rPr>
        <w:t>（十三）负责本辖区社会领域、生态环境领域、党的建设领域等重大风险的防范、排查、化解，保密机要、意识形态、信访等工作。</w:t>
      </w:r>
    </w:p>
    <w:p w14:paraId="36F95692">
      <w:pPr>
        <w:spacing w:line="580" w:lineRule="exact"/>
        <w:ind w:firstLine="640"/>
        <w:jc w:val="both"/>
      </w:pPr>
      <w:r>
        <w:rPr>
          <w:rFonts w:ascii="仿宋_GB2312" w:hAnsi="仿宋_GB2312" w:eastAsia="仿宋_GB2312"/>
          <w:sz w:val="32"/>
        </w:rPr>
        <w:t>（十四）负责党建引领基层治理和基层政权建设、城乡社区服务体系建设、“两企三新”党建、社会工作人才队伍建设等工作。</w:t>
      </w:r>
    </w:p>
    <w:p w14:paraId="1BA32BAF">
      <w:pPr>
        <w:spacing w:line="580" w:lineRule="exact"/>
        <w:ind w:firstLine="640"/>
        <w:jc w:val="both"/>
      </w:pPr>
      <w:r>
        <w:rPr>
          <w:rFonts w:ascii="仿宋_GB2312" w:hAnsi="仿宋_GB2312" w:eastAsia="仿宋_GB2312"/>
          <w:sz w:val="32"/>
        </w:rPr>
        <w:t>（十五）完成县委、县政府交办的其他工作。</w:t>
      </w:r>
    </w:p>
    <w:p w14:paraId="7DBD3D31">
      <w:pPr>
        <w:spacing w:line="640" w:lineRule="exact"/>
        <w:ind w:firstLine="640"/>
        <w:jc w:val="both"/>
        <w:outlineLvl w:val="2"/>
      </w:pPr>
      <w:r>
        <w:rPr>
          <w:rFonts w:ascii="黑体" w:hAnsi="黑体" w:eastAsia="黑体"/>
          <w:sz w:val="32"/>
        </w:rPr>
        <w:t>二、机构设置及人员情况</w:t>
      </w:r>
    </w:p>
    <w:p w14:paraId="25EE207B">
      <w:pPr>
        <w:spacing w:line="580" w:lineRule="exact"/>
        <w:ind w:firstLine="640"/>
        <w:jc w:val="both"/>
      </w:pPr>
      <w:r>
        <w:rPr>
          <w:rFonts w:ascii="仿宋_GB2312" w:hAnsi="仿宋_GB2312" w:eastAsia="仿宋_GB2312"/>
          <w:sz w:val="32"/>
        </w:rPr>
        <w:t>塔什库尔干塔吉克自治县塔什库尔干镇人民政府2024年度，实有人数142人，其中：在职人员100人，减少14人；离休人员0人，增加0人；退休人员42人,增加3人。</w:t>
      </w:r>
    </w:p>
    <w:p w14:paraId="17205106">
      <w:pPr>
        <w:spacing w:line="580" w:lineRule="exact"/>
        <w:ind w:firstLine="640"/>
        <w:jc w:val="both"/>
      </w:pPr>
      <w:r>
        <w:rPr>
          <w:rFonts w:ascii="仿宋_GB2312" w:hAnsi="仿宋_GB2312" w:eastAsia="仿宋_GB2312"/>
          <w:sz w:val="32"/>
        </w:rPr>
        <w:t>单位无下属预算单位，下设11个科室，分别是：党政办公室、党建办公室、经济发展办公室、社会事务办公室、综合执法办公室、文体广电旅游服务中心、社会保障服务中心、经济发展中心、规划建设发展中心、综治中心、财政所。</w:t>
      </w:r>
    </w:p>
    <w:p w14:paraId="0AC4B85B">
      <w:r>
        <w:br w:type="page"/>
      </w:r>
    </w:p>
    <w:p w14:paraId="032D9A42">
      <w:pPr>
        <w:spacing w:line="240" w:lineRule="auto"/>
        <w:jc w:val="center"/>
        <w:outlineLvl w:val="1"/>
      </w:pPr>
      <w:r>
        <w:rPr>
          <w:rFonts w:ascii="黑体" w:hAnsi="黑体" w:eastAsia="黑体"/>
          <w:sz w:val="32"/>
        </w:rPr>
        <w:t>第二部分 部门决算情况说明</w:t>
      </w:r>
    </w:p>
    <w:p w14:paraId="1756CC3C">
      <w:pPr>
        <w:spacing w:line="640" w:lineRule="exact"/>
        <w:ind w:firstLine="640"/>
        <w:jc w:val="both"/>
        <w:outlineLvl w:val="2"/>
      </w:pPr>
      <w:r>
        <w:rPr>
          <w:rFonts w:ascii="黑体" w:hAnsi="黑体" w:eastAsia="黑体"/>
          <w:sz w:val="32"/>
        </w:rPr>
        <w:t>一、收入支出决算总体情况说明</w:t>
      </w:r>
    </w:p>
    <w:p w14:paraId="213EC15E">
      <w:pPr>
        <w:spacing w:line="580" w:lineRule="exact"/>
        <w:ind w:firstLine="640"/>
        <w:jc w:val="both"/>
      </w:pPr>
      <w:r>
        <w:rPr>
          <w:rFonts w:ascii="仿宋_GB2312" w:hAnsi="仿宋_GB2312" w:eastAsia="仿宋_GB2312"/>
          <w:b/>
          <w:sz w:val="32"/>
        </w:rPr>
        <w:t>2024年度收入总计2,672.81万元，</w:t>
      </w:r>
      <w:r>
        <w:rPr>
          <w:rFonts w:ascii="仿宋_GB2312" w:hAnsi="仿宋_GB2312" w:eastAsia="仿宋_GB2312"/>
          <w:b w:val="0"/>
          <w:sz w:val="32"/>
        </w:rPr>
        <w:t>其中：本年收入合计2,672.81万元，使用非财政拨款结余（含专用结余）0.00万元，年初结转和结余0.00万元。</w:t>
      </w:r>
    </w:p>
    <w:p w14:paraId="0A7995BC">
      <w:pPr>
        <w:spacing w:line="580" w:lineRule="exact"/>
        <w:ind w:firstLine="640"/>
        <w:jc w:val="both"/>
      </w:pPr>
      <w:r>
        <w:rPr>
          <w:rFonts w:ascii="仿宋_GB2312" w:hAnsi="仿宋_GB2312" w:eastAsia="仿宋_GB2312"/>
          <w:b/>
          <w:sz w:val="32"/>
        </w:rPr>
        <w:t>2024年度支出总计2,672.81万元，</w:t>
      </w:r>
      <w:r>
        <w:rPr>
          <w:rFonts w:ascii="仿宋_GB2312" w:hAnsi="仿宋_GB2312" w:eastAsia="仿宋_GB2312"/>
          <w:b w:val="0"/>
          <w:sz w:val="32"/>
        </w:rPr>
        <w:t>其中：本年支出合计2,672.81万元，结余分配0.00万元，年末结转和结余0.00万元。</w:t>
      </w:r>
    </w:p>
    <w:p w14:paraId="4E958739">
      <w:pPr>
        <w:spacing w:line="580" w:lineRule="exact"/>
        <w:ind w:firstLine="640"/>
        <w:jc w:val="both"/>
      </w:pPr>
      <w:r>
        <w:rPr>
          <w:rFonts w:ascii="仿宋_GB2312" w:hAnsi="仿宋_GB2312" w:eastAsia="仿宋_GB2312"/>
          <w:b w:val="0"/>
          <w:sz w:val="32"/>
        </w:rPr>
        <w:t>收入支出总体与上年相比，增加317.51万元，增长13.48%，主要原因是：本年在职人员工资调增，社保、公积金基数调增，人员经费增加；本年度增加文化站经费项目、国有企业退休人员社会化管理补助资金项目、社区运转经费增加，导致经费较上年增加。</w:t>
      </w:r>
    </w:p>
    <w:p w14:paraId="089650F5">
      <w:pPr>
        <w:spacing w:line="640" w:lineRule="exact"/>
        <w:ind w:firstLine="640"/>
        <w:jc w:val="both"/>
        <w:outlineLvl w:val="2"/>
      </w:pPr>
      <w:r>
        <w:rPr>
          <w:rFonts w:ascii="黑体" w:hAnsi="黑体" w:eastAsia="黑体"/>
          <w:sz w:val="32"/>
        </w:rPr>
        <w:t>二、收入决算情况说明</w:t>
      </w:r>
    </w:p>
    <w:p w14:paraId="414B17C7">
      <w:pPr>
        <w:spacing w:line="580" w:lineRule="exact"/>
        <w:ind w:firstLine="640"/>
        <w:jc w:val="both"/>
      </w:pPr>
      <w:r>
        <w:rPr>
          <w:rFonts w:ascii="仿宋_GB2312" w:hAnsi="仿宋_GB2312" w:eastAsia="仿宋_GB2312"/>
          <w:b/>
          <w:sz w:val="32"/>
        </w:rPr>
        <w:t>本年收入2,672.81万元，</w:t>
      </w:r>
      <w:r>
        <w:rPr>
          <w:rFonts w:ascii="仿宋_GB2312" w:hAnsi="仿宋_GB2312" w:eastAsia="仿宋_GB2312"/>
          <w:b w:val="0"/>
          <w:sz w:val="32"/>
        </w:rPr>
        <w:t>其中：财政拨款收入2,672.81万元，占100.00%；上级补助收入0.00万元，占0.00%；事业收入0.00万元，占0.00%；经营收入0.00万元，占0.00%；附属单位上缴收入0.00万元，占0.00%；其他收入0.00万元，占0.00%。</w:t>
      </w:r>
    </w:p>
    <w:p w14:paraId="1A409B4A">
      <w:pPr>
        <w:spacing w:line="640" w:lineRule="exact"/>
        <w:ind w:firstLine="640"/>
        <w:jc w:val="both"/>
        <w:outlineLvl w:val="2"/>
      </w:pPr>
      <w:r>
        <w:rPr>
          <w:rFonts w:ascii="黑体" w:hAnsi="黑体" w:eastAsia="黑体"/>
          <w:sz w:val="32"/>
        </w:rPr>
        <w:t>三、支出决算情况说明</w:t>
      </w:r>
    </w:p>
    <w:p w14:paraId="2E3647FA">
      <w:pPr>
        <w:spacing w:line="580" w:lineRule="exact"/>
        <w:ind w:firstLine="640"/>
        <w:jc w:val="both"/>
      </w:pPr>
      <w:r>
        <w:rPr>
          <w:rFonts w:ascii="仿宋_GB2312" w:hAnsi="仿宋_GB2312" w:eastAsia="仿宋_GB2312"/>
          <w:b/>
          <w:sz w:val="32"/>
        </w:rPr>
        <w:t>本年支出2,672.81万元，</w:t>
      </w:r>
      <w:r>
        <w:rPr>
          <w:rFonts w:ascii="仿宋_GB2312" w:hAnsi="仿宋_GB2312" w:eastAsia="仿宋_GB2312"/>
          <w:b w:val="0"/>
          <w:sz w:val="32"/>
        </w:rPr>
        <w:t>其中：基本支出2,474.81万元，占92.59%；项目支出198.00万元，占7.41%；上缴上级支出0.00万元，占0.00%；经营支出0.00万元，占0.00%；对附属单位补助支出0.00万元，占0.00%。</w:t>
      </w:r>
    </w:p>
    <w:p w14:paraId="5481A561">
      <w:pPr>
        <w:spacing w:line="640" w:lineRule="exact"/>
        <w:ind w:firstLine="640"/>
        <w:jc w:val="both"/>
        <w:outlineLvl w:val="2"/>
      </w:pPr>
      <w:r>
        <w:rPr>
          <w:rFonts w:ascii="黑体" w:hAnsi="黑体" w:eastAsia="黑体"/>
          <w:sz w:val="32"/>
        </w:rPr>
        <w:t>四、财政拨款收入支出决算总体情况说明</w:t>
      </w:r>
    </w:p>
    <w:p w14:paraId="08FB1C1E">
      <w:pPr>
        <w:spacing w:line="580" w:lineRule="exact"/>
        <w:ind w:firstLine="640"/>
        <w:jc w:val="both"/>
      </w:pPr>
      <w:r>
        <w:rPr>
          <w:rFonts w:ascii="仿宋_GB2312" w:hAnsi="仿宋_GB2312" w:eastAsia="仿宋_GB2312"/>
          <w:b/>
          <w:sz w:val="32"/>
        </w:rPr>
        <w:t>2024年度财政拨款收入总计2,672.81万元，</w:t>
      </w:r>
      <w:r>
        <w:rPr>
          <w:rFonts w:ascii="仿宋_GB2312" w:hAnsi="仿宋_GB2312" w:eastAsia="仿宋_GB2312"/>
          <w:b w:val="0"/>
          <w:sz w:val="32"/>
        </w:rPr>
        <w:t>其中：年初财政拨款结转和结余0.00万元，本年财政拨款收入2,672.81万元。</w:t>
      </w:r>
      <w:r>
        <w:rPr>
          <w:rFonts w:ascii="仿宋_GB2312" w:hAnsi="仿宋_GB2312" w:eastAsia="仿宋_GB2312"/>
          <w:b/>
          <w:sz w:val="32"/>
        </w:rPr>
        <w:t>财政拨款支出总计2,672.81万元，</w:t>
      </w:r>
      <w:r>
        <w:rPr>
          <w:rFonts w:ascii="仿宋_GB2312" w:hAnsi="仿宋_GB2312" w:eastAsia="仿宋_GB2312"/>
          <w:b w:val="0"/>
          <w:sz w:val="32"/>
        </w:rPr>
        <w:t>其中：年末财政拨款结转和结余0.00万元，本年财政拨款支出2,672.81万元。</w:t>
      </w:r>
    </w:p>
    <w:p w14:paraId="5FEDAD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317.51万元，增长13.48%，主要原因是：本年在职人员工资调增，社保、公积金基数调增，人员经费增加；本年度增加文化站经费项目、国有企业退休人员社会化管理补助资金项目、社区运转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2,455.33万元，决算数2,672.81万元，预决算差异率8.86%，主要原因是：年中追加人员工资、社保、公积金基数调增部分资金，年中追加文化站经费项目、国有企业退休人员社会化管理补助资金项目经费，导致预决算存在差异。</w:t>
      </w:r>
    </w:p>
    <w:p w14:paraId="4A379EC2">
      <w:pPr>
        <w:spacing w:line="640" w:lineRule="exact"/>
        <w:ind w:firstLine="640"/>
        <w:jc w:val="both"/>
        <w:outlineLvl w:val="2"/>
      </w:pPr>
      <w:r>
        <w:rPr>
          <w:rFonts w:ascii="黑体" w:hAnsi="黑体" w:eastAsia="黑体"/>
          <w:sz w:val="32"/>
        </w:rPr>
        <w:t>五、一般公共预算财政拨款支出决算情况说明</w:t>
      </w:r>
    </w:p>
    <w:p w14:paraId="193AFA77">
      <w:pPr>
        <w:spacing w:line="640" w:lineRule="exact"/>
        <w:ind w:firstLine="640"/>
        <w:jc w:val="both"/>
        <w:outlineLvl w:val="3"/>
      </w:pPr>
      <w:r>
        <w:rPr>
          <w:rFonts w:ascii="楷体_GB2312" w:hAnsi="楷体_GB2312" w:eastAsia="楷体_GB2312"/>
          <w:b/>
          <w:sz w:val="32"/>
        </w:rPr>
        <w:t>（一）一般公共预算财政拨款支出决算总体情况</w:t>
      </w:r>
    </w:p>
    <w:p w14:paraId="370C1F3B">
      <w:pPr>
        <w:spacing w:line="580" w:lineRule="exact"/>
        <w:ind w:firstLine="640"/>
        <w:jc w:val="both"/>
      </w:pPr>
      <w:r>
        <w:rPr>
          <w:rFonts w:ascii="仿宋_GB2312" w:hAnsi="仿宋_GB2312" w:eastAsia="仿宋_GB2312"/>
          <w:b/>
          <w:sz w:val="32"/>
        </w:rPr>
        <w:t>2024年度一般公共预算财政拨款支出2,671.38万元，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317.82万元，增长13.50%，主要原因是：本年在职人员工资调增，社保、公积金基数调增，人员经费增加；本年度增加文化站经费项目、国有企业退休人员社会化管理补助资金项目、社区运转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2,455.33万元，决算数2,671.38万元，预决算差异率8.80%，主要原因是：年中追加人员工资、社保、公积金基数调增部分资金，年中追加文化站经费项目、国有企业退休人员社会化管理补助资金项目经费，导致预决算存在差异。</w:t>
      </w:r>
    </w:p>
    <w:p w14:paraId="15419CB3">
      <w:pPr>
        <w:spacing w:line="640" w:lineRule="exact"/>
        <w:ind w:firstLine="640"/>
        <w:jc w:val="both"/>
        <w:outlineLvl w:val="3"/>
      </w:pPr>
      <w:r>
        <w:rPr>
          <w:rFonts w:ascii="楷体_GB2312" w:hAnsi="楷体_GB2312" w:eastAsia="楷体_GB2312"/>
          <w:b/>
          <w:sz w:val="32"/>
        </w:rPr>
        <w:t>（二）一般公共预算财政拨款支出决算结构情况</w:t>
      </w:r>
    </w:p>
    <w:p w14:paraId="5F2CEF19">
      <w:pPr>
        <w:spacing w:line="580" w:lineRule="exact"/>
        <w:ind w:firstLine="640"/>
        <w:jc w:val="both"/>
      </w:pPr>
      <w:r>
        <w:rPr>
          <w:rFonts w:ascii="仿宋_GB2312" w:hAnsi="仿宋_GB2312" w:eastAsia="仿宋_GB2312"/>
          <w:b w:val="0"/>
          <w:sz w:val="32"/>
        </w:rPr>
        <w:t>1.一般公共服务支出(类)1,924.71万元,占72.05%。</w:t>
      </w:r>
    </w:p>
    <w:p w14:paraId="525FE22E">
      <w:pPr>
        <w:spacing w:line="580" w:lineRule="exact"/>
        <w:ind w:firstLine="640"/>
        <w:jc w:val="both"/>
      </w:pPr>
      <w:r>
        <w:rPr>
          <w:rFonts w:ascii="仿宋_GB2312" w:hAnsi="仿宋_GB2312" w:eastAsia="仿宋_GB2312"/>
          <w:b w:val="0"/>
          <w:sz w:val="32"/>
        </w:rPr>
        <w:t>2.文化旅游体育与传媒支出(类)5.00万元,占0.19%。</w:t>
      </w:r>
    </w:p>
    <w:p w14:paraId="6F63B615">
      <w:pPr>
        <w:spacing w:line="580" w:lineRule="exact"/>
        <w:ind w:firstLine="640"/>
        <w:jc w:val="both"/>
      </w:pPr>
      <w:r>
        <w:rPr>
          <w:rFonts w:ascii="仿宋_GB2312" w:hAnsi="仿宋_GB2312" w:eastAsia="仿宋_GB2312"/>
          <w:b w:val="0"/>
          <w:sz w:val="32"/>
        </w:rPr>
        <w:t>3.社会保障和就业支出(类)271.14万元,占10.15%。</w:t>
      </w:r>
    </w:p>
    <w:p w14:paraId="0F703BB1">
      <w:pPr>
        <w:spacing w:line="580" w:lineRule="exact"/>
        <w:ind w:firstLine="640"/>
        <w:jc w:val="both"/>
      </w:pPr>
      <w:r>
        <w:rPr>
          <w:rFonts w:ascii="仿宋_GB2312" w:hAnsi="仿宋_GB2312" w:eastAsia="仿宋_GB2312"/>
          <w:b w:val="0"/>
          <w:sz w:val="32"/>
        </w:rPr>
        <w:t>4.卫生健康支出(类)111.82万元,占4.19%。</w:t>
      </w:r>
    </w:p>
    <w:p w14:paraId="2CCEC5CE">
      <w:pPr>
        <w:spacing w:line="580" w:lineRule="exact"/>
        <w:ind w:firstLine="640"/>
        <w:jc w:val="both"/>
      </w:pPr>
      <w:r>
        <w:rPr>
          <w:rFonts w:ascii="仿宋_GB2312" w:hAnsi="仿宋_GB2312" w:eastAsia="仿宋_GB2312"/>
          <w:b w:val="0"/>
          <w:sz w:val="32"/>
        </w:rPr>
        <w:t>5.城乡社区支出(类)120.00万元,占4.49%。</w:t>
      </w:r>
    </w:p>
    <w:p w14:paraId="5C836DDB">
      <w:pPr>
        <w:spacing w:line="580" w:lineRule="exact"/>
        <w:ind w:firstLine="640"/>
        <w:jc w:val="both"/>
      </w:pPr>
      <w:r>
        <w:rPr>
          <w:rFonts w:ascii="仿宋_GB2312" w:hAnsi="仿宋_GB2312" w:eastAsia="仿宋_GB2312"/>
          <w:b w:val="0"/>
          <w:sz w:val="32"/>
        </w:rPr>
        <w:t>6.农林水支出(类)8.35万元,占0.31%。</w:t>
      </w:r>
    </w:p>
    <w:p w14:paraId="61F3D30C">
      <w:pPr>
        <w:spacing w:line="580" w:lineRule="exact"/>
        <w:ind w:firstLine="640"/>
        <w:jc w:val="both"/>
      </w:pPr>
      <w:r>
        <w:rPr>
          <w:rFonts w:ascii="仿宋_GB2312" w:hAnsi="仿宋_GB2312" w:eastAsia="仿宋_GB2312"/>
          <w:b w:val="0"/>
          <w:sz w:val="32"/>
        </w:rPr>
        <w:t>7.住房保障支出(类)195.36万元,占7.31%。</w:t>
      </w:r>
    </w:p>
    <w:p w14:paraId="119A9366">
      <w:pPr>
        <w:spacing w:line="580" w:lineRule="exact"/>
        <w:ind w:firstLine="640"/>
        <w:jc w:val="both"/>
      </w:pPr>
      <w:r>
        <w:rPr>
          <w:rFonts w:ascii="仿宋_GB2312" w:hAnsi="仿宋_GB2312" w:eastAsia="仿宋_GB2312"/>
          <w:b w:val="0"/>
          <w:sz w:val="32"/>
        </w:rPr>
        <w:t>8.其他支出(类)35.00万元,占1.31%。</w:t>
      </w:r>
    </w:p>
    <w:p w14:paraId="06C4A313">
      <w:pPr>
        <w:spacing w:line="640" w:lineRule="exact"/>
        <w:ind w:firstLine="640"/>
        <w:jc w:val="both"/>
        <w:outlineLvl w:val="3"/>
      </w:pPr>
      <w:r>
        <w:rPr>
          <w:rFonts w:ascii="楷体_GB2312" w:hAnsi="楷体_GB2312" w:eastAsia="楷体_GB2312"/>
          <w:b/>
          <w:sz w:val="32"/>
        </w:rPr>
        <w:t>（三）一般公共预算财政拨款支出决算具体情况</w:t>
      </w:r>
    </w:p>
    <w:p w14:paraId="0EAAF4D6">
      <w:pPr>
        <w:spacing w:line="580" w:lineRule="exact"/>
        <w:ind w:firstLine="640"/>
        <w:jc w:val="both"/>
      </w:pPr>
      <w:r>
        <w:rPr>
          <w:rFonts w:ascii="仿宋_GB2312" w:hAnsi="仿宋_GB2312" w:eastAsia="仿宋_GB2312"/>
          <w:b w:val="0"/>
          <w:sz w:val="32"/>
        </w:rPr>
        <w:t>1.一般公共服务支出(类)人大事务(款)人大会议(项):支出决算数为1.36万元，比上年决算增加1.36万元，增长100.00%,主要原因是：2024年新增人大会议经费。</w:t>
      </w:r>
    </w:p>
    <w:p w14:paraId="4324A9ED">
      <w:pPr>
        <w:spacing w:line="580" w:lineRule="exact"/>
        <w:ind w:firstLine="640"/>
        <w:jc w:val="both"/>
      </w:pPr>
      <w:r>
        <w:rPr>
          <w:rFonts w:ascii="仿宋_GB2312" w:hAnsi="仿宋_GB2312" w:eastAsia="仿宋_GB2312"/>
          <w:b w:val="0"/>
          <w:sz w:val="32"/>
        </w:rPr>
        <w:t>2.一般公共服务支出(类)人大事务(款)代表工作(项):支出决算数为6.12万元，比上年决算减少5.49万元，下降47.29%,主要原因是：本年人大活动经费，人大代表工作联络站经费减少。</w:t>
      </w:r>
    </w:p>
    <w:p w14:paraId="3AC6DBD7">
      <w:pPr>
        <w:spacing w:line="580" w:lineRule="exact"/>
        <w:ind w:firstLine="640"/>
        <w:jc w:val="both"/>
      </w:pPr>
      <w:r>
        <w:rPr>
          <w:rFonts w:ascii="仿宋_GB2312" w:hAnsi="仿宋_GB2312" w:eastAsia="仿宋_GB2312"/>
          <w:b w:val="0"/>
          <w:sz w:val="32"/>
        </w:rPr>
        <w:t>3.一般公共服务支出(类)政协事务(款)其他政协事务支出(项):支出决算数为2.10万元，比上年决算增加1.90万元，增长950.00%,主要原因是：本年增加政协工作站经费，导致经费较上年增加。</w:t>
      </w:r>
    </w:p>
    <w:p w14:paraId="086CA079">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1,242.11万元，比上年决算增加54.30万元，增长4.57%,主要原因是：本年在职人员工资调增，导致相关人员经费较上年有所增加。</w:t>
      </w:r>
    </w:p>
    <w:p w14:paraId="6AC0C622">
      <w:pPr>
        <w:spacing w:line="580" w:lineRule="exact"/>
        <w:ind w:firstLine="640"/>
        <w:jc w:val="both"/>
      </w:pPr>
      <w:r>
        <w:rPr>
          <w:rFonts w:ascii="仿宋_GB2312" w:hAnsi="仿宋_GB2312" w:eastAsia="仿宋_GB2312"/>
          <w:b w:val="0"/>
          <w:sz w:val="32"/>
        </w:rPr>
        <w:t>5.一般公共服务支出(类)政府办公厅（室）及相关机构事务(款)事业运行(项):支出决算数为646.03万元，比上年决算增加130.74万元，增长25.37%,主要原因是：本年在职人员工资调增，导致相关人员经费较上年有所增加。</w:t>
      </w:r>
    </w:p>
    <w:p w14:paraId="1ED8EE1B">
      <w:pPr>
        <w:spacing w:line="580" w:lineRule="exact"/>
        <w:ind w:firstLine="640"/>
        <w:jc w:val="both"/>
      </w:pPr>
      <w:r>
        <w:rPr>
          <w:rFonts w:ascii="仿宋_GB2312" w:hAnsi="仿宋_GB2312" w:eastAsia="仿宋_GB2312"/>
          <w:b w:val="0"/>
          <w:sz w:val="32"/>
        </w:rPr>
        <w:t>6.一般公共服务支出(类)政府办公厅（室）及相关机构事务(款)其他政府办公厅（室）及相关机构事务支出(项):支出决算数为25.00万元，比上年决算增加16.38万元，增长190.02%,主要原因是：本年新增环境整治项目经费，导致经费较上年增加。</w:t>
      </w:r>
    </w:p>
    <w:p w14:paraId="66037AA1">
      <w:pPr>
        <w:spacing w:line="580" w:lineRule="exact"/>
        <w:ind w:firstLine="640"/>
        <w:jc w:val="both"/>
      </w:pPr>
      <w:r>
        <w:rPr>
          <w:rFonts w:ascii="仿宋_GB2312" w:hAnsi="仿宋_GB2312" w:eastAsia="仿宋_GB2312"/>
          <w:b w:val="0"/>
          <w:sz w:val="32"/>
        </w:rPr>
        <w:t>7.一般公共服务支出(类)纪检监察事务(款)其他纪检监察事务支出(项):支出决算数为2.00万元，比上年决算增加0.50万元，增长33.33%,主要原因是：本年新增纪检业务装备经费资金项目，导致经费较上年增加。</w:t>
      </w:r>
    </w:p>
    <w:p w14:paraId="02F6779F">
      <w:pPr>
        <w:spacing w:line="580" w:lineRule="exact"/>
        <w:ind w:firstLine="640"/>
        <w:jc w:val="both"/>
      </w:pPr>
      <w:r>
        <w:rPr>
          <w:rFonts w:ascii="仿宋_GB2312" w:hAnsi="仿宋_GB2312" w:eastAsia="仿宋_GB2312"/>
          <w:b w:val="0"/>
          <w:sz w:val="32"/>
        </w:rPr>
        <w:t>8.一般公共服务支出(类)组织事务(款)其他组织事务支出(项):支出决算数为0.00万元，比上年决算减少5.00万元，下降100.00%,主要原因是：本年减少拆迁项目，导致经费较上年减少。</w:t>
      </w:r>
    </w:p>
    <w:p w14:paraId="50BF9645">
      <w:pPr>
        <w:spacing w:line="580" w:lineRule="exact"/>
        <w:ind w:firstLine="640"/>
        <w:jc w:val="both"/>
      </w:pPr>
      <w:r>
        <w:rPr>
          <w:rFonts w:ascii="仿宋_GB2312" w:hAnsi="仿宋_GB2312" w:eastAsia="仿宋_GB2312"/>
          <w:b w:val="0"/>
          <w:sz w:val="32"/>
        </w:rPr>
        <w:t>9.一般公共服务支出(类)宣传事务(款)其他宣传事务支出(项):支出决算数为0.00万元，比上年决算减少1.00万元，下降100.00%,主要原因是：本年较上年减少扫黄打非项目资金，导致经费较上年减少。</w:t>
      </w:r>
    </w:p>
    <w:p w14:paraId="484EFE0F">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10.文化旅游体育与传媒支出(类)文化和旅游(款)其他文化和旅游支出(项):支出决算数为5.00万元，比上年决算增加0.00万元，增长0.00%,主要原因是：塔什库尔干镇文化站经费与上年一致无变化。</w:t>
      </w:r>
    </w:p>
    <w:p w14:paraId="521CEE24">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11.社会保障和就业支出(类)行政事业单位养老支出(款)行政单位离退休(项):支出决算数为53.89万元，比上年决算增加9.34万元，增长20.97%,主要原因是：本年退休人员增加，退休费支出增加。</w:t>
      </w:r>
    </w:p>
    <w:p w14:paraId="17F51946">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183.52万元，比上年决算增加0.82万元，增长0.45%,主要原因是：本年在职人员工资基数调增，养老缴费基数上涨，相应支出增加。</w:t>
      </w:r>
    </w:p>
    <w:p w14:paraId="153C40ED">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33.74万元，比上年决算增加18.94万元，增长127.97%,主要原因是：本年在职人员转退休，职业年金缴费支出增加。</w:t>
      </w:r>
    </w:p>
    <w:p w14:paraId="11F1C10A">
      <w:pPr>
        <w:spacing w:line="580" w:lineRule="exact"/>
        <w:ind w:firstLine="640"/>
        <w:jc w:val="both"/>
      </w:pPr>
      <w:r>
        <w:rPr>
          <w:rFonts w:ascii="仿宋_GB2312" w:hAnsi="仿宋_GB2312" w:eastAsia="仿宋_GB2312"/>
          <w:b w:val="0"/>
          <w:sz w:val="32"/>
        </w:rPr>
        <w:t>14.卫生健康支出(类)行政事业单位医疗(款)行政单位医疗(项):支出决算数为94.73万元，比上年决算减少6.90万元，下降6.79%,主要原因是：本年在职人员减少，行政事业单位医疗较上年减少。</w:t>
      </w:r>
    </w:p>
    <w:p w14:paraId="5793D6C2">
      <w:pPr>
        <w:spacing w:line="580" w:lineRule="exact"/>
        <w:ind w:firstLine="640"/>
        <w:jc w:val="both"/>
      </w:pPr>
      <w:r>
        <w:rPr>
          <w:rFonts w:ascii="仿宋_GB2312" w:hAnsi="仿宋_GB2312" w:eastAsia="仿宋_GB2312"/>
          <w:b w:val="0"/>
          <w:sz w:val="32"/>
        </w:rPr>
        <w:t>15.卫生健康支出(类)行政事业单位医疗(款)公务员医疗补助(项):支出决算数为17.09万元，比上年决算减少3.11万元，下降15.40%,主要原因是：本年在职人员减少，公务员医疗补助较上年减少。</w:t>
      </w:r>
    </w:p>
    <w:p w14:paraId="29488C7A">
      <w:pPr>
        <w:spacing w:line="580" w:lineRule="exact"/>
        <w:ind w:firstLine="640"/>
        <w:jc w:val="both"/>
      </w:pPr>
      <w:r>
        <w:rPr>
          <w:rFonts w:ascii="仿宋_GB2312" w:hAnsi="仿宋_GB2312" w:eastAsia="仿宋_GB2312"/>
          <w:b w:val="0"/>
          <w:sz w:val="32"/>
        </w:rPr>
        <w:t>16.城乡社区支出(类)城乡社区管理事务(款)其他城乡社区管理事务支出(项):支出决算数为60.00万元，比上年决算增加60.00万元，增长100.00%,主要原因是：本年新增社区运转经费。</w:t>
      </w:r>
    </w:p>
    <w:p w14:paraId="2C362C6B">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17.城乡社区支出(类)城乡社区公共设施(款)其他城乡社区公共设施支出(项):支出决算数为60.00万元，比上年决算增加60.00万元，增长100.00%,主要原因是：本年新增小区环境治理项目。</w:t>
      </w:r>
    </w:p>
    <w:p w14:paraId="1B9E71A4">
      <w:pPr>
        <w:spacing w:line="580" w:lineRule="exact"/>
        <w:ind w:firstLine="640"/>
        <w:jc w:val="both"/>
      </w:pPr>
      <w:r>
        <w:rPr>
          <w:rFonts w:ascii="仿宋_GB2312" w:hAnsi="仿宋_GB2312" w:eastAsia="仿宋_GB2312"/>
          <w:b w:val="0"/>
          <w:sz w:val="32"/>
        </w:rPr>
        <w:t>18.农林水支出(类)农业农村(款)事业运行(项):支出决算数为8.35万元，比上年决算减少25.29万元，下降75.18%,主要原因是：本年在职人员减少，相应人员经费较上年减少。</w:t>
      </w:r>
    </w:p>
    <w:p w14:paraId="4BC79D28">
      <w:pPr>
        <w:spacing w:line="580" w:lineRule="exact"/>
        <w:ind w:firstLine="640"/>
        <w:jc w:val="both"/>
      </w:pPr>
      <w:r>
        <w:rPr>
          <w:rFonts w:ascii="仿宋_GB2312" w:hAnsi="仿宋_GB2312" w:eastAsia="仿宋_GB2312"/>
          <w:b w:val="0"/>
          <w:sz w:val="32"/>
        </w:rPr>
        <w:t>19.农林水支出(类)农村综合改革(款)对村民委员会和村党支部的补助(项):支出决算数为0.00万元，比上年决算减少15.30万元，下降100.00%,主要原因是：本年减少示范点打造经费。</w:t>
      </w:r>
    </w:p>
    <w:p w14:paraId="17F20C18">
      <w:pPr>
        <w:spacing w:line="580" w:lineRule="exact"/>
        <w:ind w:firstLine="640"/>
        <w:jc w:val="both"/>
      </w:pPr>
      <w:r>
        <w:rPr>
          <w:rFonts w:ascii="仿宋_GB2312" w:hAnsi="仿宋_GB2312" w:eastAsia="仿宋_GB2312"/>
          <w:b w:val="0"/>
          <w:sz w:val="32"/>
        </w:rPr>
        <w:t>20.农林水支出(类)其他农林水支出(款)其他农林水支出(项):支出决算数为0.00万元，比上年决算减少6.00万元，下降100.00%,主要原因是：较上年减少小区绿化租用洒水车项目经费，导致经费较上年减少。</w:t>
      </w:r>
    </w:p>
    <w:p w14:paraId="27AA9369">
      <w:pPr>
        <w:spacing w:line="580" w:lineRule="exact"/>
        <w:ind w:firstLine="640"/>
        <w:jc w:val="both"/>
      </w:pPr>
      <w:r>
        <w:rPr>
          <w:rFonts w:ascii="仿宋_GB2312" w:hAnsi="仿宋_GB2312" w:eastAsia="仿宋_GB2312"/>
          <w:b w:val="0"/>
          <w:sz w:val="32"/>
        </w:rPr>
        <w:t>21.住房保障支出(类)住房改革支出(款)住房公积金(项):支出决算数为195.36万元，比上年决算增加40.22万元，增长25.92%,主要原因是：本年在职人员工资基数调增，公积金缴费基数上涨，相应支出增加。</w:t>
      </w:r>
    </w:p>
    <w:p w14:paraId="4CB4ABD2">
      <w:pPr>
        <w:spacing w:line="580" w:lineRule="exact"/>
        <w:ind w:firstLine="640"/>
        <w:jc w:val="both"/>
      </w:pPr>
      <w:r>
        <w:rPr>
          <w:rFonts w:ascii="仿宋_GB2312" w:hAnsi="仿宋_GB2312" w:eastAsia="仿宋_GB2312"/>
          <w:b w:val="0"/>
          <w:sz w:val="32"/>
        </w:rPr>
        <w:t>22.其他支出(类)其他支出(款)其他支出(项):支出决算数为35.00万元，比上年决算减少8.56万元，下降19.65%,主要原因是：本年拆迁置换赔偿款项目资金减少，导致经费较上年减少。</w:t>
      </w:r>
    </w:p>
    <w:p w14:paraId="11532D78">
      <w:pPr>
        <w:spacing w:line="640" w:lineRule="exact"/>
        <w:ind w:firstLine="640"/>
        <w:jc w:val="both"/>
        <w:outlineLvl w:val="2"/>
      </w:pPr>
      <w:r>
        <w:rPr>
          <w:rFonts w:ascii="黑体" w:hAnsi="黑体" w:eastAsia="黑体"/>
          <w:sz w:val="32"/>
        </w:rPr>
        <w:t>六、一般公共预算财政拨款基本支出决算情况说明</w:t>
      </w:r>
    </w:p>
    <w:p w14:paraId="05DBCCD3">
      <w:pPr>
        <w:spacing w:line="580" w:lineRule="exact"/>
        <w:ind w:firstLine="640"/>
        <w:jc w:val="both"/>
      </w:pPr>
      <w:r>
        <w:rPr>
          <w:rFonts w:ascii="仿宋_GB2312" w:hAnsi="仿宋_GB2312" w:eastAsia="仿宋_GB2312"/>
          <w:b w:val="0"/>
          <w:sz w:val="32"/>
        </w:rPr>
        <w:t>2024年度一般公共预算财政拨款基本支出2,474.81万元，其中：</w:t>
      </w:r>
      <w:r>
        <w:rPr>
          <w:rFonts w:ascii="仿宋_GB2312" w:hAnsi="仿宋_GB2312" w:eastAsia="仿宋_GB2312"/>
          <w:b/>
          <w:sz w:val="32"/>
        </w:rPr>
        <w:t>人员经费2,394.81万元，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01D1D1E0">
      <w:pPr>
        <w:spacing w:line="580" w:lineRule="exact"/>
        <w:ind w:firstLine="640"/>
        <w:jc w:val="both"/>
      </w:pPr>
      <w:r>
        <w:rPr>
          <w:rFonts w:ascii="仿宋_GB2312" w:hAnsi="仿宋_GB2312" w:eastAsia="仿宋_GB2312"/>
          <w:b/>
          <w:sz w:val="32"/>
        </w:rPr>
        <w:t>公用经费80.00万元，</w:t>
      </w:r>
      <w:r>
        <w:rPr>
          <w:rFonts w:ascii="仿宋_GB2312" w:hAnsi="仿宋_GB2312" w:eastAsia="仿宋_GB2312"/>
          <w:b w:val="0"/>
          <w:sz w:val="32"/>
        </w:rPr>
        <w:t>包括：办公费、水费、电费、邮电费、取暖费、差旅费、公务用车运行维护费。</w:t>
      </w:r>
    </w:p>
    <w:p w14:paraId="3D900AAE">
      <w:pPr>
        <w:spacing w:line="640" w:lineRule="exact"/>
        <w:ind w:firstLine="640"/>
        <w:jc w:val="both"/>
        <w:outlineLvl w:val="2"/>
      </w:pPr>
      <w:r>
        <w:rPr>
          <w:rFonts w:ascii="黑体" w:hAnsi="黑体" w:eastAsia="黑体"/>
          <w:sz w:val="32"/>
        </w:rPr>
        <w:t>七、政府性基金预算财政拨款收入支出决算情况说明</w:t>
      </w:r>
    </w:p>
    <w:p w14:paraId="7939C83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BFF10EA">
      <w:pPr>
        <w:spacing w:line="640" w:lineRule="exact"/>
        <w:ind w:firstLine="640"/>
        <w:jc w:val="both"/>
        <w:outlineLvl w:val="2"/>
      </w:pPr>
      <w:r>
        <w:rPr>
          <w:rFonts w:ascii="黑体" w:hAnsi="黑体" w:eastAsia="黑体"/>
          <w:sz w:val="32"/>
        </w:rPr>
        <w:t>八、国有资本经营预算财政拨款收入支出决算情况说明</w:t>
      </w:r>
    </w:p>
    <w:p w14:paraId="040FE463">
      <w:pPr>
        <w:spacing w:line="580" w:lineRule="exact"/>
        <w:ind w:firstLine="640"/>
        <w:jc w:val="both"/>
      </w:pPr>
      <w:r>
        <w:rPr>
          <w:rFonts w:ascii="仿宋_GB2312" w:hAnsi="仿宋_GB2312" w:eastAsia="仿宋_GB2312"/>
          <w:b/>
          <w:sz w:val="32"/>
        </w:rPr>
        <w:t>2024年度国有资本经营预算财政拨款收入总计1.43万元，</w:t>
      </w:r>
      <w:r>
        <w:rPr>
          <w:rFonts w:ascii="仿宋_GB2312" w:hAnsi="仿宋_GB2312" w:eastAsia="仿宋_GB2312"/>
          <w:b w:val="0"/>
          <w:sz w:val="32"/>
        </w:rPr>
        <w:t>其中：年初结转和结余0.00万元，本年收入1.43万元。</w:t>
      </w:r>
      <w:r>
        <w:rPr>
          <w:rFonts w:ascii="仿宋_GB2312" w:hAnsi="仿宋_GB2312" w:eastAsia="仿宋_GB2312"/>
          <w:b/>
          <w:sz w:val="32"/>
        </w:rPr>
        <w:t>国有资本经营预算财政拨款支出总计1.43万元，</w:t>
      </w:r>
      <w:r>
        <w:rPr>
          <w:rFonts w:ascii="仿宋_GB2312" w:hAnsi="仿宋_GB2312" w:eastAsia="仿宋_GB2312"/>
          <w:b w:val="0"/>
          <w:sz w:val="32"/>
        </w:rPr>
        <w:t>其中：年末结转和结余0.00万元，本年支出1.43万元。</w:t>
      </w:r>
    </w:p>
    <w:p w14:paraId="79B12B86">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减少0.31万元，下降17.82%，主要原因是：本年国有企业退休人员社会化管理补助资金较上年减少。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年初预算数0.00万元，决算数1.43万元，预决算差异率100.00%，主要原因是：年中追加国有企业退休人员社会化管理补助资金。</w:t>
      </w:r>
    </w:p>
    <w:p w14:paraId="6F51234D">
      <w:pPr>
        <w:spacing w:line="580" w:lineRule="exact"/>
        <w:ind w:firstLine="640"/>
        <w:jc w:val="both"/>
      </w:pPr>
      <w:r>
        <w:rPr>
          <w:rFonts w:ascii="仿宋_GB2312" w:hAnsi="仿宋_GB2312" w:eastAsia="仿宋_GB2312"/>
          <w:sz w:val="32"/>
        </w:rPr>
        <w:t>国有资本经营预算财政拨款支出1.43万元。</w:t>
      </w:r>
    </w:p>
    <w:p w14:paraId="14275C2D">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1.43万元，比上年决算减少0.31万元，下降17.82%,主要原因是：本年国有企业退休人员社会化管理补助资金较上年减少。</w:t>
      </w:r>
    </w:p>
    <w:p w14:paraId="407BB39A">
      <w:pPr>
        <w:spacing w:line="640" w:lineRule="exact"/>
        <w:ind w:firstLine="640"/>
        <w:jc w:val="both"/>
        <w:outlineLvl w:val="2"/>
      </w:pPr>
      <w:r>
        <w:rPr>
          <w:rFonts w:ascii="黑体" w:hAnsi="黑体" w:eastAsia="黑体"/>
          <w:sz w:val="32"/>
        </w:rPr>
        <w:t>九、财政拨款“三公”经费支出决算情况说明</w:t>
      </w:r>
    </w:p>
    <w:p w14:paraId="131E1F13">
      <w:pPr>
        <w:spacing w:line="580" w:lineRule="exact"/>
        <w:ind w:firstLine="640"/>
        <w:jc w:val="both"/>
      </w:pPr>
      <w:r>
        <w:rPr>
          <w:rFonts w:ascii="仿宋_GB2312" w:hAnsi="仿宋_GB2312" w:eastAsia="仿宋_GB2312"/>
          <w:b/>
          <w:sz w:val="32"/>
        </w:rPr>
        <w:t>2024年度财政拨款“三公”经费支出14.40万元，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14.40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21BBC269">
      <w:pPr>
        <w:spacing w:line="580" w:lineRule="exact"/>
        <w:ind w:firstLine="640"/>
        <w:jc w:val="both"/>
      </w:pPr>
      <w:r>
        <w:rPr>
          <w:rFonts w:ascii="仿宋_GB2312" w:hAnsi="仿宋_GB2312" w:eastAsia="仿宋_GB2312"/>
          <w:b/>
          <w:sz w:val="32"/>
        </w:rPr>
        <w:t>具体情况如下：</w:t>
      </w:r>
    </w:p>
    <w:p w14:paraId="25C5CC3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7763E3">
      <w:pPr>
        <w:spacing w:line="580" w:lineRule="exact"/>
        <w:ind w:firstLine="640"/>
        <w:jc w:val="both"/>
      </w:pPr>
      <w:r>
        <w:rPr>
          <w:rFonts w:ascii="仿宋_GB2312" w:hAnsi="仿宋_GB2312" w:eastAsia="仿宋_GB2312"/>
          <w:b w:val="0"/>
          <w:sz w:val="32"/>
        </w:rPr>
        <w:t>公务用车购置及运行维护费14.40万元，其中：公务用车购置费0.00万元，公务用车运行维护费14.40万元。公务用车运行维护费开支内容包括车辆加油费、维修费、保险费、审车费、过路费等。公务用车购置数0辆，公务用车保有量8辆。国有资产占用情况中固定资产车辆8辆，与公务用车保有量差异原因是：本单位固定资产车辆与公务用车保有量一致无差异。</w:t>
      </w:r>
    </w:p>
    <w:p w14:paraId="2ADA4E6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640E8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14.40万元，决算数14.40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3F1BF196">
      <w:pPr>
        <w:spacing w:line="640" w:lineRule="exact"/>
        <w:ind w:firstLine="640"/>
        <w:jc w:val="both"/>
        <w:outlineLvl w:val="2"/>
      </w:pPr>
      <w:r>
        <w:rPr>
          <w:rFonts w:ascii="黑体" w:hAnsi="黑体" w:eastAsia="黑体"/>
          <w:sz w:val="32"/>
        </w:rPr>
        <w:t>十、其他重要事项的情况说明</w:t>
      </w:r>
    </w:p>
    <w:p w14:paraId="518C8FC1">
      <w:pPr>
        <w:spacing w:line="640" w:lineRule="exact"/>
        <w:ind w:firstLine="640"/>
        <w:jc w:val="both"/>
        <w:outlineLvl w:val="3"/>
      </w:pPr>
      <w:r>
        <w:rPr>
          <w:rFonts w:ascii="楷体_GB2312" w:hAnsi="楷体_GB2312" w:eastAsia="楷体_GB2312"/>
          <w:b/>
          <w:sz w:val="32"/>
        </w:rPr>
        <w:t>（一）机关运行经费及公用经费支出情况</w:t>
      </w:r>
    </w:p>
    <w:p w14:paraId="12C38F18">
      <w:pPr>
        <w:spacing w:line="580" w:lineRule="exact"/>
        <w:ind w:firstLine="640"/>
        <w:jc w:val="both"/>
      </w:pPr>
      <w:r>
        <w:rPr>
          <w:rFonts w:ascii="仿宋_GB2312" w:hAnsi="仿宋_GB2312" w:eastAsia="仿宋_GB2312"/>
          <w:b w:val="0"/>
          <w:sz w:val="32"/>
        </w:rPr>
        <w:t>2024年度塔什库尔干塔吉克自治县塔什库尔干镇人民政府（行政单位和参照公务员法管理事业单位）机关运行经费支出80.00万元，比上年减少2.70万元，下降3.26%，主要原因是：严控经费支出，厉行节约，减少经费支出。</w:t>
      </w:r>
    </w:p>
    <w:p w14:paraId="3186B3C3">
      <w:pPr>
        <w:spacing w:line="640" w:lineRule="exact"/>
        <w:ind w:firstLine="640"/>
        <w:jc w:val="both"/>
        <w:outlineLvl w:val="3"/>
      </w:pPr>
      <w:r>
        <w:rPr>
          <w:rFonts w:ascii="楷体_GB2312" w:hAnsi="楷体_GB2312" w:eastAsia="楷体_GB2312"/>
          <w:b/>
          <w:sz w:val="32"/>
        </w:rPr>
        <w:t>（二）政府采购情况</w:t>
      </w:r>
    </w:p>
    <w:p w14:paraId="2CAA471E">
      <w:pPr>
        <w:spacing w:line="580" w:lineRule="exact"/>
        <w:ind w:firstLine="640"/>
        <w:jc w:val="both"/>
      </w:pPr>
      <w:r>
        <w:rPr>
          <w:rFonts w:ascii="仿宋_GB2312" w:hAnsi="仿宋_GB2312" w:eastAsia="仿宋_GB2312"/>
          <w:b w:val="0"/>
          <w:sz w:val="32"/>
        </w:rPr>
        <w:t>2024年度政府采购支出总额88.10万元，其中：政府采购货物支出24.61万元、政府采购工程支出51.78万元、政府采购服务支出11.71万元。</w:t>
      </w:r>
    </w:p>
    <w:p w14:paraId="785DEA25">
      <w:pPr>
        <w:spacing w:line="580" w:lineRule="exact"/>
        <w:ind w:firstLine="640"/>
        <w:jc w:val="both"/>
      </w:pPr>
      <w:r>
        <w:rPr>
          <w:rFonts w:ascii="仿宋_GB2312" w:hAnsi="仿宋_GB2312" w:eastAsia="仿宋_GB2312"/>
          <w:b w:val="0"/>
          <w:sz w:val="32"/>
        </w:rPr>
        <w:t>授予中小企业合同金额77.27万元，占政府采购支出总额的87.71%，其中：授予小微企业合同金额77.27万元，占政府采购支出总额的87.71%。</w:t>
      </w:r>
    </w:p>
    <w:p w14:paraId="337EE215">
      <w:pPr>
        <w:spacing w:line="640" w:lineRule="exact"/>
        <w:ind w:firstLine="640"/>
        <w:jc w:val="both"/>
        <w:outlineLvl w:val="3"/>
      </w:pPr>
      <w:r>
        <w:rPr>
          <w:rFonts w:ascii="楷体_GB2312" w:hAnsi="楷体_GB2312" w:eastAsia="楷体_GB2312"/>
          <w:b/>
          <w:sz w:val="32"/>
        </w:rPr>
        <w:t>（三）国有资产占用情况说明</w:t>
      </w:r>
    </w:p>
    <w:p w14:paraId="121FA85E">
      <w:pPr>
        <w:spacing w:line="580" w:lineRule="exact"/>
        <w:ind w:firstLine="640"/>
        <w:jc w:val="both"/>
      </w:pPr>
      <w:r>
        <w:rPr>
          <w:rFonts w:ascii="仿宋_GB2312" w:hAnsi="仿宋_GB2312" w:eastAsia="仿宋_GB2312"/>
          <w:b w:val="0"/>
          <w:sz w:val="32"/>
        </w:rPr>
        <w:t>截至2024年12月31日，房屋1,003.60平方米，价值381.56万元。车辆8辆，价值69.05万元，其中：副部（省）级及以上领导用车0辆、主要负责人用车0辆、机要通信用车0辆、应急保障用车0辆、执法执勤用车1辆、特种专业技术用车0辆、离退休干部服务用车0辆、其他用车7辆，其他用车主要是：一般公务用车。单价100万元（含）以上设备（不含车辆）0台（套）。</w:t>
      </w:r>
    </w:p>
    <w:p w14:paraId="0999E180">
      <w:pPr>
        <w:spacing w:line="640" w:lineRule="exact"/>
        <w:ind w:firstLine="640"/>
        <w:jc w:val="both"/>
        <w:outlineLvl w:val="2"/>
      </w:pPr>
      <w:r>
        <w:rPr>
          <w:rFonts w:ascii="黑体" w:hAnsi="黑体" w:eastAsia="黑体"/>
          <w:sz w:val="32"/>
        </w:rPr>
        <w:t>十一、预算绩效的情况说明</w:t>
      </w:r>
    </w:p>
    <w:p w14:paraId="432DEB0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2,672.81万元，实际执行总额2,672.81万元；预算绩效评价项目5个，全年预算数39.90万元，全年执行数39.90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1ACAA1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542A4B">
        <w:tblPrEx>
          <w:tblCellMar>
            <w:top w:w="0" w:type="dxa"/>
            <w:left w:w="108" w:type="dxa"/>
            <w:bottom w:w="0" w:type="dxa"/>
            <w:right w:w="108" w:type="dxa"/>
          </w:tblCellMar>
        </w:tblPrEx>
        <w:tc>
          <w:tcPr>
            <w:tcW w:w="8847" w:type="dxa"/>
            <w:gridSpan w:val="9"/>
            <w:vAlign w:val="center"/>
          </w:tcPr>
          <w:p w14:paraId="6F549F09">
            <w:pPr>
              <w:jc w:val="center"/>
            </w:pPr>
            <w:r>
              <w:rPr>
                <w:rFonts w:ascii="宋体" w:hAnsi="宋体" w:eastAsia="宋体"/>
                <w:sz w:val="24"/>
              </w:rPr>
              <w:t>单位整体支出绩效自评表</w:t>
            </w:r>
          </w:p>
        </w:tc>
      </w:tr>
      <w:tr w14:paraId="2E7A59FF">
        <w:tblPrEx>
          <w:tblCellMar>
            <w:top w:w="0" w:type="dxa"/>
            <w:left w:w="108" w:type="dxa"/>
            <w:bottom w:w="0" w:type="dxa"/>
            <w:right w:w="108" w:type="dxa"/>
          </w:tblCellMar>
        </w:tblPrEx>
        <w:tc>
          <w:tcPr>
            <w:tcW w:w="8847" w:type="dxa"/>
            <w:gridSpan w:val="9"/>
            <w:vAlign w:val="center"/>
          </w:tcPr>
          <w:p w14:paraId="17CC35EF">
            <w:pPr>
              <w:jc w:val="center"/>
            </w:pPr>
            <w:r>
              <w:rPr>
                <w:rFonts w:ascii="宋体" w:hAnsi="宋体" w:eastAsia="宋体"/>
                <w:sz w:val="24"/>
              </w:rPr>
              <w:t>（2024年度）</w:t>
            </w:r>
          </w:p>
        </w:tc>
      </w:tr>
      <w:tr w14:paraId="20BFEF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CE1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E7B2EA">
            <w:pPr>
              <w:jc w:val="center"/>
            </w:pPr>
            <w:r>
              <w:rPr>
                <w:rFonts w:ascii="宋体" w:hAnsi="宋体" w:eastAsia="宋体"/>
                <w:sz w:val="16"/>
              </w:rPr>
              <w:t>塔什库尔干塔吉克自治县塔什库尔干镇人民政府</w:t>
            </w:r>
          </w:p>
        </w:tc>
      </w:tr>
      <w:tr w14:paraId="084644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AAC5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90B7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109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35D2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0CE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1708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320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7B136">
            <w:pPr>
              <w:jc w:val="center"/>
            </w:pPr>
            <w:r>
              <w:rPr>
                <w:rFonts w:ascii="宋体" w:hAnsi="宋体" w:eastAsia="宋体"/>
                <w:sz w:val="16"/>
              </w:rPr>
              <w:t>得分</w:t>
            </w:r>
          </w:p>
        </w:tc>
      </w:tr>
      <w:tr w14:paraId="03FD4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937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D15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0BBD">
            <w:pPr>
              <w:jc w:val="center"/>
            </w:pPr>
            <w:r>
              <w:rPr>
                <w:rFonts w:ascii="宋体" w:hAnsi="宋体" w:eastAsia="宋体"/>
                <w:sz w:val="16"/>
              </w:rPr>
              <w:t>2,455.33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B8488">
            <w:pPr>
              <w:jc w:val="center"/>
            </w:pPr>
            <w:r>
              <w:rPr>
                <w:rFonts w:ascii="宋体" w:hAnsi="宋体" w:eastAsia="宋体"/>
                <w:sz w:val="16"/>
              </w:rPr>
              <w:t>2,672.81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551F">
            <w:pPr>
              <w:jc w:val="center"/>
            </w:pPr>
            <w:r>
              <w:rPr>
                <w:rFonts w:ascii="宋体" w:hAnsi="宋体" w:eastAsia="宋体"/>
                <w:sz w:val="16"/>
              </w:rPr>
              <w:t>2,672.81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890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AF0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658D">
            <w:pPr>
              <w:jc w:val="center"/>
            </w:pPr>
            <w:r>
              <w:rPr>
                <w:rFonts w:ascii="宋体" w:hAnsi="宋体" w:eastAsia="宋体"/>
                <w:sz w:val="16"/>
              </w:rPr>
              <w:t>10</w:t>
            </w:r>
          </w:p>
        </w:tc>
      </w:tr>
      <w:tr w14:paraId="389A54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BD8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158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71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A0CD">
            <w:pPr>
              <w:jc w:val="center"/>
            </w:pPr>
            <w:r>
              <w:rPr>
                <w:rFonts w:ascii="宋体" w:hAnsi="宋体" w:eastAsia="宋体"/>
                <w:sz w:val="16"/>
              </w:rPr>
              <w:t>785.31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7F05">
            <w:pPr>
              <w:jc w:val="center"/>
            </w:pPr>
            <w:r>
              <w:rPr>
                <w:rFonts w:ascii="宋体" w:hAnsi="宋体" w:eastAsia="宋体"/>
                <w:sz w:val="16"/>
              </w:rPr>
              <w:t>785.31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29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B2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D78A7">
            <w:pPr>
              <w:jc w:val="center"/>
            </w:pPr>
            <w:r>
              <w:rPr>
                <w:rFonts w:ascii="宋体" w:hAnsi="宋体" w:eastAsia="宋体"/>
                <w:sz w:val="16"/>
              </w:rPr>
              <w:t>—</w:t>
            </w:r>
          </w:p>
        </w:tc>
      </w:tr>
      <w:tr w14:paraId="72024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4F2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DB1B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BCD0">
            <w:pPr>
              <w:jc w:val="center"/>
            </w:pPr>
            <w:r>
              <w:rPr>
                <w:rFonts w:ascii="宋体" w:hAnsi="宋体" w:eastAsia="宋体"/>
                <w:sz w:val="16"/>
              </w:rPr>
              <w:t>2,455.33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772D">
            <w:pPr>
              <w:jc w:val="center"/>
            </w:pPr>
            <w:r>
              <w:rPr>
                <w:rFonts w:ascii="宋体" w:hAnsi="宋体" w:eastAsia="宋体"/>
                <w:sz w:val="16"/>
              </w:rPr>
              <w:t>1,887.50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E59F">
            <w:pPr>
              <w:jc w:val="center"/>
            </w:pPr>
            <w:r>
              <w:rPr>
                <w:rFonts w:ascii="宋体" w:hAnsi="宋体" w:eastAsia="宋体"/>
                <w:sz w:val="16"/>
              </w:rPr>
              <w:t>1,887.50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A1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BD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6A89">
            <w:pPr>
              <w:jc w:val="center"/>
            </w:pPr>
            <w:r>
              <w:rPr>
                <w:rFonts w:ascii="宋体" w:hAnsi="宋体" w:eastAsia="宋体"/>
                <w:sz w:val="16"/>
              </w:rPr>
              <w:t>—</w:t>
            </w:r>
          </w:p>
        </w:tc>
      </w:tr>
      <w:tr w14:paraId="6E7E6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F8A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9E1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1BE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15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C4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48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58F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016D">
            <w:pPr>
              <w:jc w:val="center"/>
            </w:pPr>
            <w:r>
              <w:rPr>
                <w:rFonts w:ascii="宋体" w:hAnsi="宋体" w:eastAsia="宋体"/>
                <w:sz w:val="16"/>
              </w:rPr>
              <w:t>—</w:t>
            </w:r>
          </w:p>
        </w:tc>
      </w:tr>
      <w:tr w14:paraId="0DDF3A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9D2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C400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3BAA8">
            <w:pPr>
              <w:jc w:val="center"/>
            </w:pPr>
            <w:r>
              <w:rPr>
                <w:rFonts w:ascii="宋体" w:hAnsi="宋体" w:eastAsia="宋体"/>
                <w:sz w:val="16"/>
              </w:rPr>
              <w:t>实际完成目标</w:t>
            </w:r>
          </w:p>
        </w:tc>
      </w:tr>
      <w:tr w14:paraId="186A5F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F487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519778">
            <w:pPr>
              <w:jc w:val="both"/>
            </w:pPr>
            <w:r>
              <w:rPr>
                <w:rFonts w:ascii="宋体" w:hAnsi="宋体" w:eastAsia="宋体"/>
                <w:sz w:val="16"/>
              </w:rPr>
              <w:t>塔什库尔干镇将始终坚持以习近平新时代中国特色社会主义思想为指导，全面贯彻党的二十大精神，深入贯彻习近平总书记视察新疆时重要讲话重要指示精神，坚决落实中央、自治区、地区、自治县各级工作会议部署要求，聚焦自治县发展战略，坚持发展第一要务，坚持稳中求进工作总基调，完整、准确、全面贯彻新发展理念，解放思想、守正创新，更好统筹发展和安全，推动基层治理体系和治理能力现代化，着力保障和改善民生，保持社会大局稳定，围绕塔什库尔干镇发展蓝图，创先争优、追赶跨越，全力推动经济社会各项事业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A5FEBD">
            <w:pPr>
              <w:jc w:val="both"/>
            </w:pPr>
            <w:r>
              <w:rPr>
                <w:rFonts w:ascii="宋体" w:hAnsi="宋体" w:eastAsia="宋体"/>
                <w:sz w:val="16"/>
              </w:rPr>
              <w:t>塔什库尔干镇在自治区党委、地委及县委的坚强领导下，深入贯彻落实党的二十大和二十届二中、三中全会精神，认真贯彻落实自治区党委十届历次全会精神和地委、县委扩大会议精神，始终高举习近平新时代中国特色社会主义伟大旗帜，完整准确贯彻新时代党的治疆方略，紧紧围绕社会稳定和长治久安总目标，进一步履职尽责、奋勇进取，各项工作稳步向前推进。2024年具体完成的重要工作有：开展评选活动达48场次，开展普法宣传达12场次，开展监督检查达24场次，完成了2个基层党建示范社区打造、开展就业技能培训达10场次。</w:t>
            </w:r>
          </w:p>
        </w:tc>
      </w:tr>
      <w:tr w14:paraId="25E423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246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1D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4E1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718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1D41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C72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F67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656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A6F7">
            <w:pPr>
              <w:jc w:val="center"/>
            </w:pPr>
            <w:r>
              <w:rPr>
                <w:rFonts w:ascii="宋体" w:hAnsi="宋体" w:eastAsia="宋体"/>
                <w:sz w:val="16"/>
              </w:rPr>
              <w:t>得分</w:t>
            </w:r>
          </w:p>
        </w:tc>
      </w:tr>
      <w:tr w14:paraId="6CCD68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0061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C822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6329F">
            <w:pPr>
              <w:jc w:val="center"/>
            </w:pPr>
            <w:r>
              <w:rPr>
                <w:rFonts w:ascii="宋体" w:hAnsi="宋体" w:eastAsia="宋体"/>
                <w:sz w:val="16"/>
              </w:rPr>
              <w:t>开展评选活动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B5BE">
            <w:pPr>
              <w:jc w:val="center"/>
            </w:pPr>
            <w:r>
              <w:rPr>
                <w:rFonts w:ascii="宋体" w:hAnsi="宋体" w:eastAsia="宋体"/>
                <w:sz w:val="16"/>
              </w:rPr>
              <w:t>&gt;=48场次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3EA7B">
            <w:pPr>
              <w:jc w:val="center"/>
            </w:pPr>
            <w:r>
              <w:rPr>
                <w:rFonts w:ascii="宋体" w:hAnsi="宋体" w:eastAsia="宋体"/>
                <w:sz w:val="16"/>
              </w:rPr>
              <w:t>单位2024年度政府工作报告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8D6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54A7">
            <w:pPr>
              <w:jc w:val="center"/>
            </w:pPr>
            <w:r>
              <w:rPr>
                <w:rFonts w:ascii="宋体" w:hAnsi="宋体" w:eastAsia="宋体"/>
                <w:sz w:val="16"/>
              </w:rPr>
              <w:t>48场次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EFB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ED0C9">
            <w:pPr>
              <w:jc w:val="center"/>
            </w:pPr>
            <w:r>
              <w:rPr>
                <w:rFonts w:ascii="宋体" w:hAnsi="宋体" w:eastAsia="宋体"/>
                <w:sz w:val="16"/>
              </w:rPr>
              <w:t>20</w:t>
            </w:r>
          </w:p>
        </w:tc>
      </w:tr>
      <w:tr w14:paraId="74C5E3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9CC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7F5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899AF">
            <w:pPr>
              <w:jc w:val="center"/>
            </w:pPr>
            <w:r>
              <w:rPr>
                <w:rFonts w:ascii="宋体" w:hAnsi="宋体" w:eastAsia="宋体"/>
                <w:sz w:val="16"/>
              </w:rPr>
              <w:t>开展普法宣传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297C">
            <w:pPr>
              <w:jc w:val="center"/>
            </w:pPr>
            <w:r>
              <w:rPr>
                <w:rFonts w:ascii="宋体" w:hAnsi="宋体" w:eastAsia="宋体"/>
                <w:sz w:val="16"/>
              </w:rPr>
              <w:t>&gt;=12场次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E9CB">
            <w:pPr>
              <w:jc w:val="center"/>
            </w:pPr>
            <w:r>
              <w:rPr>
                <w:rFonts w:ascii="宋体" w:hAnsi="宋体" w:eastAsia="宋体"/>
                <w:sz w:val="16"/>
              </w:rPr>
              <w:t>单位2023年度政府单位2024年度政府工作</w:t>
            </w:r>
            <w:r>
              <w:rPr>
                <w:rFonts w:hint="eastAsia" w:ascii="宋体" w:hAnsi="宋体"/>
                <w:sz w:val="16"/>
                <w:lang w:eastAsia="zh-CN"/>
              </w:rPr>
              <w:t>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ED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8C79">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35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B6C7F">
            <w:pPr>
              <w:jc w:val="center"/>
            </w:pPr>
            <w:r>
              <w:rPr>
                <w:rFonts w:ascii="宋体" w:hAnsi="宋体" w:eastAsia="宋体"/>
                <w:sz w:val="16"/>
              </w:rPr>
              <w:t>20</w:t>
            </w:r>
          </w:p>
        </w:tc>
      </w:tr>
      <w:tr w14:paraId="4FA82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474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2AC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A1427">
            <w:pPr>
              <w:jc w:val="center"/>
            </w:pPr>
            <w:r>
              <w:rPr>
                <w:rFonts w:ascii="宋体" w:hAnsi="宋体" w:eastAsia="宋体"/>
                <w:sz w:val="16"/>
              </w:rPr>
              <w:t>开展监督检查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10881">
            <w:pPr>
              <w:jc w:val="center"/>
            </w:pPr>
            <w:r>
              <w:rPr>
                <w:rFonts w:ascii="宋体" w:hAnsi="宋体" w:eastAsia="宋体"/>
                <w:sz w:val="16"/>
              </w:rPr>
              <w:t>&gt;=24场次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94F3">
            <w:pPr>
              <w:jc w:val="center"/>
            </w:pPr>
            <w:r>
              <w:rPr>
                <w:rFonts w:ascii="宋体" w:hAnsi="宋体" w:eastAsia="宋体"/>
                <w:sz w:val="16"/>
              </w:rPr>
              <w:t>单位2024年度政府工作报告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E0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31A7">
            <w:pPr>
              <w:jc w:val="center"/>
            </w:pPr>
            <w:r>
              <w:rPr>
                <w:rFonts w:ascii="宋体" w:hAnsi="宋体" w:eastAsia="宋体"/>
                <w:sz w:val="16"/>
              </w:rPr>
              <w:t>24场次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EC4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FEBCF">
            <w:pPr>
              <w:jc w:val="center"/>
            </w:pPr>
            <w:r>
              <w:rPr>
                <w:rFonts w:ascii="宋体" w:hAnsi="宋体" w:eastAsia="宋体"/>
                <w:sz w:val="16"/>
              </w:rPr>
              <w:t>20</w:t>
            </w:r>
          </w:p>
        </w:tc>
      </w:tr>
      <w:tr w14:paraId="2D0FAD5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873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129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FA00">
            <w:pPr>
              <w:jc w:val="center"/>
            </w:pPr>
            <w:r>
              <w:rPr>
                <w:rFonts w:ascii="宋体" w:hAnsi="宋体" w:eastAsia="宋体"/>
                <w:sz w:val="16"/>
              </w:rPr>
              <w:t>打造为基层党建示范社区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D424">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8496">
            <w:pPr>
              <w:jc w:val="center"/>
            </w:pPr>
            <w:r>
              <w:rPr>
                <w:rFonts w:ascii="宋体" w:hAnsi="宋体" w:eastAsia="宋体"/>
                <w:sz w:val="16"/>
              </w:rPr>
              <w:t>单位2024年度政府工作报告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394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1537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174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2A13E">
            <w:pPr>
              <w:jc w:val="center"/>
            </w:pPr>
            <w:r>
              <w:rPr>
                <w:rFonts w:ascii="宋体" w:hAnsi="宋体" w:eastAsia="宋体"/>
                <w:sz w:val="16"/>
              </w:rPr>
              <w:t>20</w:t>
            </w:r>
          </w:p>
        </w:tc>
      </w:tr>
      <w:tr w14:paraId="502110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A35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072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2F3F">
            <w:pPr>
              <w:jc w:val="center"/>
            </w:pPr>
            <w:r>
              <w:rPr>
                <w:rFonts w:ascii="宋体" w:hAnsi="宋体" w:eastAsia="宋体"/>
                <w:sz w:val="16"/>
              </w:rPr>
              <w:t>开展就业技能培训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0E4C5">
            <w:pPr>
              <w:jc w:val="center"/>
            </w:pPr>
            <w:r>
              <w:rPr>
                <w:rFonts w:ascii="宋体" w:hAnsi="宋体" w:eastAsia="宋体"/>
                <w:sz w:val="16"/>
              </w:rPr>
              <w:t>&gt;=10场次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CEE2">
            <w:pPr>
              <w:jc w:val="center"/>
            </w:pPr>
            <w:r>
              <w:rPr>
                <w:rFonts w:ascii="宋体" w:hAnsi="宋体" w:eastAsia="宋体"/>
                <w:sz w:val="16"/>
              </w:rPr>
              <w:t>单位2024年度政府工作报告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35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FC704">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9C4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7051">
            <w:pPr>
              <w:jc w:val="center"/>
            </w:pPr>
            <w:r>
              <w:rPr>
                <w:rFonts w:ascii="宋体" w:hAnsi="宋体" w:eastAsia="宋体"/>
                <w:sz w:val="16"/>
              </w:rPr>
              <w:t>10</w:t>
            </w:r>
          </w:p>
        </w:tc>
      </w:tr>
    </w:tbl>
    <w:p w14:paraId="622D6A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FC58B4B">
        <w:tblPrEx>
          <w:tblCellMar>
            <w:top w:w="0" w:type="dxa"/>
            <w:left w:w="108" w:type="dxa"/>
            <w:bottom w:w="0" w:type="dxa"/>
            <w:right w:w="108" w:type="dxa"/>
          </w:tblCellMar>
        </w:tblPrEx>
        <w:tc>
          <w:tcPr>
            <w:tcW w:w="8848" w:type="dxa"/>
            <w:gridSpan w:val="14"/>
            <w:vAlign w:val="center"/>
          </w:tcPr>
          <w:p w14:paraId="02B5A29A">
            <w:pPr>
              <w:jc w:val="center"/>
            </w:pPr>
            <w:r>
              <w:rPr>
                <w:rFonts w:ascii="宋体" w:hAnsi="宋体" w:eastAsia="宋体"/>
                <w:sz w:val="24"/>
              </w:rPr>
              <w:t>项目支出绩效自评表</w:t>
            </w:r>
          </w:p>
        </w:tc>
      </w:tr>
      <w:tr w14:paraId="6650A146">
        <w:tblPrEx>
          <w:tblCellMar>
            <w:top w:w="0" w:type="dxa"/>
            <w:left w:w="108" w:type="dxa"/>
            <w:bottom w:w="0" w:type="dxa"/>
            <w:right w:w="108" w:type="dxa"/>
          </w:tblCellMar>
        </w:tblPrEx>
        <w:tc>
          <w:tcPr>
            <w:tcW w:w="8848" w:type="dxa"/>
            <w:gridSpan w:val="14"/>
            <w:vAlign w:val="center"/>
          </w:tcPr>
          <w:p w14:paraId="01E327D7">
            <w:pPr>
              <w:jc w:val="center"/>
            </w:pPr>
            <w:r>
              <w:rPr>
                <w:rFonts w:ascii="宋体" w:hAnsi="宋体" w:eastAsia="宋体"/>
                <w:sz w:val="24"/>
              </w:rPr>
              <w:t>(2024年度)</w:t>
            </w:r>
          </w:p>
        </w:tc>
      </w:tr>
      <w:tr w14:paraId="41A77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D4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EE2411">
            <w:pPr>
              <w:jc w:val="center"/>
            </w:pPr>
            <w:r>
              <w:rPr>
                <w:rFonts w:ascii="宋体" w:hAnsi="宋体" w:eastAsia="宋体"/>
                <w:sz w:val="16"/>
              </w:rPr>
              <w:t>2024年塔什库尔干镇文化站项目</w:t>
            </w:r>
          </w:p>
        </w:tc>
      </w:tr>
      <w:tr w14:paraId="448030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05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4F172">
            <w:pPr>
              <w:jc w:val="center"/>
            </w:pPr>
            <w:r>
              <w:rPr>
                <w:rFonts w:ascii="宋体" w:hAnsi="宋体" w:eastAsia="宋体"/>
                <w:sz w:val="16"/>
              </w:rPr>
              <w:t>塔什库尔干塔吉克自治县塔什库尔干镇人民政府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45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5E5E9">
            <w:pPr>
              <w:jc w:val="center"/>
            </w:pPr>
            <w:r>
              <w:rPr>
                <w:rFonts w:ascii="宋体" w:hAnsi="宋体" w:eastAsia="宋体"/>
                <w:sz w:val="16"/>
              </w:rPr>
              <w:t>塔什库尔干塔吉克自治县塔什库尔干镇人民政府</w:t>
            </w:r>
          </w:p>
        </w:tc>
      </w:tr>
      <w:tr w14:paraId="7C1C4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4C9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6C5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D7D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63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06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39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81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5CF9">
            <w:pPr>
              <w:jc w:val="center"/>
            </w:pPr>
            <w:r>
              <w:rPr>
                <w:rFonts w:ascii="宋体" w:hAnsi="宋体" w:eastAsia="宋体"/>
                <w:sz w:val="16"/>
              </w:rPr>
              <w:t>得分</w:t>
            </w:r>
          </w:p>
        </w:tc>
      </w:tr>
      <w:tr w14:paraId="0CDF34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235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D6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F21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7B1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B54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51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CA69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84D3">
            <w:pPr>
              <w:jc w:val="center"/>
            </w:pPr>
            <w:r>
              <w:rPr>
                <w:rFonts w:ascii="宋体" w:hAnsi="宋体" w:eastAsia="宋体"/>
                <w:sz w:val="16"/>
              </w:rPr>
              <w:t>10.00分</w:t>
            </w:r>
          </w:p>
        </w:tc>
      </w:tr>
      <w:tr w14:paraId="5CB6D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D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66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A73D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AD8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B37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825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E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0361">
            <w:pPr>
              <w:jc w:val="center"/>
            </w:pPr>
            <w:r>
              <w:rPr>
                <w:rFonts w:ascii="宋体" w:hAnsi="宋体" w:eastAsia="宋体"/>
                <w:sz w:val="16"/>
              </w:rPr>
              <w:t>—</w:t>
            </w:r>
          </w:p>
        </w:tc>
      </w:tr>
      <w:tr w14:paraId="54051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67C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3A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53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D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7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DC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6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4D5C">
            <w:pPr>
              <w:jc w:val="center"/>
            </w:pPr>
            <w:r>
              <w:rPr>
                <w:rFonts w:ascii="宋体" w:hAnsi="宋体" w:eastAsia="宋体"/>
                <w:sz w:val="16"/>
              </w:rPr>
              <w:t>—</w:t>
            </w:r>
          </w:p>
        </w:tc>
      </w:tr>
      <w:tr w14:paraId="41F60B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A90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ADA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12B6B">
            <w:pPr>
              <w:jc w:val="center"/>
            </w:pPr>
            <w:r>
              <w:rPr>
                <w:rFonts w:ascii="宋体" w:hAnsi="宋体" w:eastAsia="宋体"/>
                <w:sz w:val="16"/>
              </w:rPr>
              <w:t>实际完成情况</w:t>
            </w:r>
          </w:p>
        </w:tc>
      </w:tr>
      <w:tr w14:paraId="57E6E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431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D67D6">
            <w:pPr>
              <w:jc w:val="both"/>
            </w:pPr>
            <w:r>
              <w:rPr>
                <w:rFonts w:ascii="宋体" w:hAnsi="宋体" w:eastAsia="宋体"/>
                <w:sz w:val="16"/>
              </w:rPr>
              <w:t>文化站经费共5万元，本次支出总计5万元，主要用于：我镇组织公益性群众文化活动，村级文化骨干辅导，设备运行维护，采购广告装饰牌、发放奖品等，计划采购办公用品，预计5万元。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5FEFE7">
            <w:pPr>
              <w:jc w:val="both"/>
            </w:pPr>
            <w:r>
              <w:rPr>
                <w:rFonts w:ascii="宋体" w:hAnsi="宋体" w:eastAsia="宋体"/>
                <w:sz w:val="16"/>
              </w:rPr>
              <w:t>文化站经费实际支出总计5万元，举办文化活动1次，采购文化宣传展板设施1套，购买图书，有效丰富了居民文化活动，服务对象满意度达到100%。</w:t>
            </w:r>
          </w:p>
        </w:tc>
      </w:tr>
      <w:tr w14:paraId="29695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C265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A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E1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2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00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FD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5B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D6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07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96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21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A2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CFA3">
            <w:pPr>
              <w:jc w:val="center"/>
            </w:pPr>
            <w:r>
              <w:rPr>
                <w:rFonts w:ascii="宋体" w:hAnsi="宋体" w:eastAsia="宋体"/>
                <w:sz w:val="16"/>
              </w:rPr>
              <w:t>偏差原因分析及改进措施</w:t>
            </w:r>
          </w:p>
        </w:tc>
      </w:tr>
      <w:tr w14:paraId="55C57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A1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17C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B38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BD3A">
            <w:pPr>
              <w:jc w:val="center"/>
            </w:pPr>
            <w:r>
              <w:rPr>
                <w:rFonts w:ascii="宋体" w:hAnsi="宋体" w:eastAsia="宋体"/>
                <w:sz w:val="16"/>
              </w:rPr>
              <w:t>举办活动次数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870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0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8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5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3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7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8FB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D4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C99B">
            <w:pPr>
              <w:jc w:val="center"/>
            </w:pPr>
          </w:p>
        </w:tc>
      </w:tr>
      <w:tr w14:paraId="0C57D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F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55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A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D8EB">
            <w:pPr>
              <w:jc w:val="center"/>
            </w:pPr>
            <w:r>
              <w:rPr>
                <w:rFonts w:ascii="宋体" w:hAnsi="宋体" w:eastAsia="宋体"/>
                <w:sz w:val="16"/>
              </w:rPr>
              <w:t>更新硬件配套设施数量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5886">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A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6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2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F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2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197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5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D1EC7">
            <w:pPr>
              <w:jc w:val="center"/>
            </w:pPr>
          </w:p>
        </w:tc>
      </w:tr>
      <w:tr w14:paraId="760FF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6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1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75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663A">
            <w:pPr>
              <w:jc w:val="center"/>
            </w:pPr>
            <w:r>
              <w:rPr>
                <w:rFonts w:ascii="宋体" w:hAnsi="宋体" w:eastAsia="宋体"/>
                <w:sz w:val="16"/>
              </w:rPr>
              <w:t>活动举办完成率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8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9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7F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0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2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F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5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E1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9D90C">
            <w:pPr>
              <w:jc w:val="center"/>
            </w:pPr>
          </w:p>
        </w:tc>
      </w:tr>
      <w:tr w14:paraId="1FBF3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6A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2AD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076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5E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1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1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B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C1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7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9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C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E2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C7A48">
            <w:pPr>
              <w:jc w:val="center"/>
            </w:pPr>
          </w:p>
        </w:tc>
      </w:tr>
      <w:tr w14:paraId="102D9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2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8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8E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044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C65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9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E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B1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8E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0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3D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B8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F8BD">
            <w:pPr>
              <w:jc w:val="center"/>
            </w:pPr>
          </w:p>
        </w:tc>
      </w:tr>
      <w:tr w14:paraId="3994B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DF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47F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CC7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832A">
            <w:pPr>
              <w:jc w:val="center"/>
            </w:pPr>
            <w:r>
              <w:rPr>
                <w:rFonts w:ascii="宋体" w:hAnsi="宋体" w:eastAsia="宋体"/>
                <w:sz w:val="16"/>
              </w:rPr>
              <w:t>举办各类活动成本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E79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97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0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3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5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C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B0D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AC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209E">
            <w:pPr>
              <w:jc w:val="center"/>
            </w:pPr>
          </w:p>
        </w:tc>
      </w:tr>
      <w:tr w14:paraId="538A0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9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72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E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B308">
            <w:pPr>
              <w:jc w:val="center"/>
            </w:pPr>
            <w:r>
              <w:rPr>
                <w:rFonts w:ascii="宋体" w:hAnsi="宋体" w:eastAsia="宋体"/>
                <w:sz w:val="16"/>
              </w:rPr>
              <w:t>更新硬件配套设施成本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A6E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FA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F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0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D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F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03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53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EBAFF">
            <w:pPr>
              <w:jc w:val="center"/>
            </w:pPr>
          </w:p>
        </w:tc>
      </w:tr>
      <w:tr w14:paraId="57E0E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6B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30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08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E645">
            <w:pPr>
              <w:jc w:val="center"/>
            </w:pPr>
            <w:r>
              <w:rPr>
                <w:rFonts w:ascii="宋体" w:hAnsi="宋体" w:eastAsia="宋体"/>
                <w:sz w:val="16"/>
              </w:rPr>
              <w:t>营造良好文化氛围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BABD">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2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E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42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4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513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5CB4">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ED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27FA">
            <w:pPr>
              <w:jc w:val="center"/>
            </w:pPr>
          </w:p>
        </w:tc>
      </w:tr>
      <w:tr w14:paraId="442F3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1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AD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0A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C0E2">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5C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E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F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47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03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1D6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F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C3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6AA3">
            <w:pPr>
              <w:jc w:val="center"/>
            </w:pPr>
            <w:r>
              <w:rPr>
                <w:rFonts w:ascii="宋体" w:hAnsi="宋体" w:eastAsia="宋体"/>
                <w:sz w:val="16"/>
              </w:rPr>
              <w:t>项目完成情况较好，实际农牧民满意度较高，所以指标出现正偏差</w:t>
            </w:r>
          </w:p>
        </w:tc>
      </w:tr>
      <w:tr w14:paraId="06738D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99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F7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BA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9C61F6">
            <w:pPr>
              <w:jc w:val="center"/>
            </w:pPr>
            <w:r>
              <w:rPr>
                <w:rFonts w:ascii="宋体" w:hAnsi="宋体" w:eastAsia="宋体"/>
                <w:sz w:val="16"/>
              </w:rPr>
              <w:t>100分</w:t>
            </w:r>
          </w:p>
        </w:tc>
      </w:tr>
    </w:tbl>
    <w:p w14:paraId="476CD3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D8FE468">
        <w:tblPrEx>
          <w:tblCellMar>
            <w:top w:w="0" w:type="dxa"/>
            <w:left w:w="108" w:type="dxa"/>
            <w:bottom w:w="0" w:type="dxa"/>
            <w:right w:w="108" w:type="dxa"/>
          </w:tblCellMar>
        </w:tblPrEx>
        <w:tc>
          <w:tcPr>
            <w:tcW w:w="8848" w:type="dxa"/>
            <w:gridSpan w:val="14"/>
            <w:vAlign w:val="center"/>
          </w:tcPr>
          <w:p w14:paraId="74D0EC97">
            <w:pPr>
              <w:jc w:val="center"/>
            </w:pPr>
            <w:r>
              <w:rPr>
                <w:rFonts w:ascii="宋体" w:hAnsi="宋体" w:eastAsia="宋体"/>
                <w:sz w:val="24"/>
              </w:rPr>
              <w:t>项目支出绩效自评表</w:t>
            </w:r>
          </w:p>
        </w:tc>
      </w:tr>
      <w:tr w14:paraId="654E02DF">
        <w:tblPrEx>
          <w:tblCellMar>
            <w:top w:w="0" w:type="dxa"/>
            <w:left w:w="108" w:type="dxa"/>
            <w:bottom w:w="0" w:type="dxa"/>
            <w:right w:w="108" w:type="dxa"/>
          </w:tblCellMar>
        </w:tblPrEx>
        <w:tc>
          <w:tcPr>
            <w:tcW w:w="8848" w:type="dxa"/>
            <w:gridSpan w:val="14"/>
            <w:vAlign w:val="center"/>
          </w:tcPr>
          <w:p w14:paraId="7B9079E6">
            <w:pPr>
              <w:jc w:val="center"/>
            </w:pPr>
            <w:r>
              <w:rPr>
                <w:rFonts w:ascii="宋体" w:hAnsi="宋体" w:eastAsia="宋体"/>
                <w:sz w:val="24"/>
              </w:rPr>
              <w:t>(2024年度)</w:t>
            </w:r>
          </w:p>
        </w:tc>
      </w:tr>
      <w:tr w14:paraId="648A04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BF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C820D9">
            <w:pPr>
              <w:jc w:val="center"/>
            </w:pPr>
            <w:r>
              <w:rPr>
                <w:rFonts w:ascii="宋体" w:hAnsi="宋体" w:eastAsia="宋体"/>
                <w:sz w:val="16"/>
              </w:rPr>
              <w:t>塔什库尔干镇2024年度国有企业退休人员社会化管理补助项目</w:t>
            </w:r>
          </w:p>
        </w:tc>
      </w:tr>
      <w:tr w14:paraId="2D709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28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D35D6">
            <w:pPr>
              <w:jc w:val="center"/>
            </w:pPr>
            <w:r>
              <w:rPr>
                <w:rFonts w:ascii="宋体" w:hAnsi="宋体" w:eastAsia="宋体"/>
                <w:sz w:val="16"/>
              </w:rPr>
              <w:t>塔什库尔干塔吉克自治县塔什库尔干镇人民政府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CB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8F21EF">
            <w:pPr>
              <w:jc w:val="center"/>
            </w:pPr>
            <w:r>
              <w:rPr>
                <w:rFonts w:ascii="宋体" w:hAnsi="宋体" w:eastAsia="宋体"/>
                <w:sz w:val="16"/>
              </w:rPr>
              <w:t>塔什库尔干塔吉克自治县塔什库尔干镇人民政府</w:t>
            </w:r>
          </w:p>
        </w:tc>
      </w:tr>
      <w:tr w14:paraId="7493B9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B013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8686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A3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DD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1A8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53C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8E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FF8A">
            <w:pPr>
              <w:jc w:val="center"/>
            </w:pPr>
            <w:r>
              <w:rPr>
                <w:rFonts w:ascii="宋体" w:hAnsi="宋体" w:eastAsia="宋体"/>
                <w:sz w:val="16"/>
              </w:rPr>
              <w:t>得分</w:t>
            </w:r>
          </w:p>
        </w:tc>
      </w:tr>
      <w:tr w14:paraId="2BCD3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BDD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4A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57B7">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D1DB">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CDF1">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10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62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2B72">
            <w:pPr>
              <w:jc w:val="center"/>
            </w:pPr>
            <w:r>
              <w:rPr>
                <w:rFonts w:ascii="宋体" w:hAnsi="宋体" w:eastAsia="宋体"/>
                <w:sz w:val="16"/>
              </w:rPr>
              <w:t>10.00分</w:t>
            </w:r>
          </w:p>
        </w:tc>
      </w:tr>
      <w:tr w14:paraId="45DC4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0A0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09B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75D7">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D981">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EA0B">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DD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3C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BECD">
            <w:pPr>
              <w:jc w:val="center"/>
            </w:pPr>
            <w:r>
              <w:rPr>
                <w:rFonts w:ascii="宋体" w:hAnsi="宋体" w:eastAsia="宋体"/>
                <w:sz w:val="16"/>
              </w:rPr>
              <w:t>—</w:t>
            </w:r>
          </w:p>
        </w:tc>
      </w:tr>
      <w:tr w14:paraId="13E05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2E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47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B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F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B8E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AD7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18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0009">
            <w:pPr>
              <w:jc w:val="center"/>
            </w:pPr>
            <w:r>
              <w:rPr>
                <w:rFonts w:ascii="宋体" w:hAnsi="宋体" w:eastAsia="宋体"/>
                <w:sz w:val="16"/>
              </w:rPr>
              <w:t>—</w:t>
            </w:r>
          </w:p>
        </w:tc>
      </w:tr>
      <w:tr w14:paraId="23AFB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CFA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476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D18AC">
            <w:pPr>
              <w:jc w:val="center"/>
            </w:pPr>
            <w:r>
              <w:rPr>
                <w:rFonts w:ascii="宋体" w:hAnsi="宋体" w:eastAsia="宋体"/>
                <w:sz w:val="16"/>
              </w:rPr>
              <w:t>实际完成情况</w:t>
            </w:r>
          </w:p>
        </w:tc>
      </w:tr>
      <w:tr w14:paraId="771FC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43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C5DE8">
            <w:pPr>
              <w:jc w:val="both"/>
            </w:pPr>
            <w:r>
              <w:rPr>
                <w:rFonts w:ascii="宋体" w:hAnsi="宋体" w:eastAsia="宋体"/>
                <w:sz w:val="16"/>
              </w:rPr>
              <w:t>该项目资金为1.43万元，用于对塔什库尔干镇幸福社区对国有企业退休人员服务管理，国有企业已退休人员数量为67人；通过此项目的实施加大对退休人员的关爱和服务，可以提高其生活质量，缓解社会矛盾，同时也能够传递企业正能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B5F49">
            <w:pPr>
              <w:jc w:val="both"/>
            </w:pPr>
            <w:r>
              <w:rPr>
                <w:rFonts w:ascii="宋体" w:hAnsi="宋体" w:eastAsia="宋体"/>
                <w:sz w:val="16"/>
              </w:rPr>
              <w:t>该项目实际支出1.43万元，全部用于对塔什库尔干镇幸福社区对国有企业退休人员服务管理，国有企业已退休人员数量为67人；通过此项目的实施加大对退休人员的关爱和服务，提高了其生活质量，缓解了社会矛盾，同时传递了企业正能量。国有企业退休人员满意度达到100%。</w:t>
            </w:r>
          </w:p>
        </w:tc>
      </w:tr>
      <w:tr w14:paraId="18DC24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7CA4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7F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6F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BA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94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B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AD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F7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B9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87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EE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D0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7A9D">
            <w:pPr>
              <w:jc w:val="center"/>
            </w:pPr>
            <w:r>
              <w:rPr>
                <w:rFonts w:ascii="宋体" w:hAnsi="宋体" w:eastAsia="宋体"/>
                <w:sz w:val="16"/>
              </w:rPr>
              <w:t>偏差原因分析及改进措施</w:t>
            </w:r>
          </w:p>
        </w:tc>
      </w:tr>
      <w:tr w14:paraId="74E63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383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D31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DA1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206E">
            <w:pPr>
              <w:jc w:val="center"/>
            </w:pPr>
            <w:r>
              <w:rPr>
                <w:rFonts w:ascii="宋体" w:hAnsi="宋体" w:eastAsia="宋体"/>
                <w:sz w:val="16"/>
              </w:rPr>
              <w:t>国有企业已退休人员管理服务工作与原企业分离的比例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5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A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A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CA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6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C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B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10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6A9D">
            <w:pPr>
              <w:jc w:val="center"/>
            </w:pPr>
          </w:p>
        </w:tc>
      </w:tr>
      <w:tr w14:paraId="4E0EE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DE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0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C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45C7">
            <w:pPr>
              <w:jc w:val="center"/>
            </w:pPr>
            <w:r>
              <w:rPr>
                <w:rFonts w:ascii="宋体" w:hAnsi="宋体" w:eastAsia="宋体"/>
                <w:sz w:val="16"/>
              </w:rPr>
              <w:t>国有企业已退休人员数量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AF9E">
            <w:pPr>
              <w:jc w:val="center"/>
            </w:pPr>
            <w:r>
              <w:rPr>
                <w:rFonts w:ascii="宋体" w:hAnsi="宋体" w:eastAsia="宋体"/>
                <w:sz w:val="16"/>
              </w:rPr>
              <w:t>&gt;=67人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E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6EF0">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D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F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7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001D">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D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DFB3B">
            <w:pPr>
              <w:jc w:val="center"/>
            </w:pPr>
          </w:p>
        </w:tc>
      </w:tr>
      <w:tr w14:paraId="01FD0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98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DD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E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B939">
            <w:pPr>
              <w:jc w:val="center"/>
            </w:pPr>
            <w:r>
              <w:rPr>
                <w:rFonts w:ascii="宋体" w:hAnsi="宋体" w:eastAsia="宋体"/>
                <w:sz w:val="16"/>
              </w:rPr>
              <w:t>资金拨付足额率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F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5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1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A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3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F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B6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CD34">
            <w:pPr>
              <w:jc w:val="center"/>
            </w:pPr>
          </w:p>
        </w:tc>
      </w:tr>
      <w:tr w14:paraId="585B1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7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A86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BC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18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B7D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1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2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B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33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9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352C">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EA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158B">
            <w:pPr>
              <w:jc w:val="center"/>
            </w:pPr>
          </w:p>
        </w:tc>
      </w:tr>
      <w:tr w14:paraId="48BED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6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47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93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2AD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4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5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10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5F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1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4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1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B3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8F98">
            <w:pPr>
              <w:jc w:val="center"/>
            </w:pPr>
          </w:p>
        </w:tc>
      </w:tr>
      <w:tr w14:paraId="3BB27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83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B1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C5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4D94">
            <w:pPr>
              <w:jc w:val="center"/>
            </w:pPr>
            <w:r>
              <w:rPr>
                <w:rFonts w:ascii="宋体" w:hAnsi="宋体" w:eastAsia="宋体"/>
                <w:sz w:val="16"/>
              </w:rPr>
              <w:t>已退休人员管理服务成本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2886">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8C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C057">
            <w:pPr>
              <w:jc w:val="center"/>
            </w:pPr>
            <w:r>
              <w:rPr>
                <w:rFonts w:ascii="宋体" w:hAnsi="宋体" w:eastAsia="宋体"/>
                <w:sz w:val="16"/>
              </w:rPr>
              <w: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B1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E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9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C85D">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F7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1C9E7">
            <w:pPr>
              <w:jc w:val="center"/>
            </w:pPr>
          </w:p>
        </w:tc>
      </w:tr>
      <w:tr w14:paraId="6957A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B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6B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18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BB1A">
            <w:pPr>
              <w:jc w:val="center"/>
            </w:pPr>
            <w:r>
              <w:rPr>
                <w:rFonts w:ascii="宋体" w:hAnsi="宋体" w:eastAsia="宋体"/>
                <w:sz w:val="16"/>
              </w:rPr>
              <w:t>提高其生活质量，缓解社会矛盾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B07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8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B3E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3A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E0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F3A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854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79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D436B">
            <w:pPr>
              <w:jc w:val="center"/>
            </w:pPr>
          </w:p>
        </w:tc>
      </w:tr>
      <w:tr w14:paraId="00ECE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B7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D4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5A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6448">
            <w:pPr>
              <w:jc w:val="center"/>
            </w:pPr>
            <w:r>
              <w:rPr>
                <w:rFonts w:ascii="宋体" w:hAnsi="宋体" w:eastAsia="宋体"/>
                <w:sz w:val="16"/>
              </w:rPr>
              <w:t>国有企业退休人员满意度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E2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0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0A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5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7B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52E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7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9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4578">
            <w:pPr>
              <w:jc w:val="center"/>
            </w:pPr>
            <w:r>
              <w:rPr>
                <w:rFonts w:ascii="宋体" w:hAnsi="宋体" w:eastAsia="宋体"/>
                <w:sz w:val="16"/>
              </w:rPr>
              <w:t>项目完成情况较好，实际国有企业退休人员满意度较高，所以指标出现正偏差</w:t>
            </w:r>
          </w:p>
        </w:tc>
      </w:tr>
      <w:tr w14:paraId="56854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54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3D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76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5E4A2">
            <w:pPr>
              <w:jc w:val="center"/>
            </w:pPr>
            <w:r>
              <w:rPr>
                <w:rFonts w:ascii="宋体" w:hAnsi="宋体" w:eastAsia="宋体"/>
                <w:sz w:val="16"/>
              </w:rPr>
              <w:t>100分</w:t>
            </w:r>
          </w:p>
        </w:tc>
      </w:tr>
    </w:tbl>
    <w:p w14:paraId="771D96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A7B6D16">
        <w:tblPrEx>
          <w:tblCellMar>
            <w:top w:w="0" w:type="dxa"/>
            <w:left w:w="108" w:type="dxa"/>
            <w:bottom w:w="0" w:type="dxa"/>
            <w:right w:w="108" w:type="dxa"/>
          </w:tblCellMar>
        </w:tblPrEx>
        <w:tc>
          <w:tcPr>
            <w:tcW w:w="8848" w:type="dxa"/>
            <w:gridSpan w:val="14"/>
            <w:vAlign w:val="center"/>
          </w:tcPr>
          <w:p w14:paraId="70DCA784">
            <w:pPr>
              <w:jc w:val="center"/>
            </w:pPr>
            <w:r>
              <w:rPr>
                <w:rFonts w:ascii="宋体" w:hAnsi="宋体" w:eastAsia="宋体"/>
                <w:sz w:val="24"/>
              </w:rPr>
              <w:t>项目支出绩效自评表</w:t>
            </w:r>
          </w:p>
        </w:tc>
      </w:tr>
      <w:tr w14:paraId="4B2239FD">
        <w:tblPrEx>
          <w:tblCellMar>
            <w:top w:w="0" w:type="dxa"/>
            <w:left w:w="108" w:type="dxa"/>
            <w:bottom w:w="0" w:type="dxa"/>
            <w:right w:w="108" w:type="dxa"/>
          </w:tblCellMar>
        </w:tblPrEx>
        <w:tc>
          <w:tcPr>
            <w:tcW w:w="8848" w:type="dxa"/>
            <w:gridSpan w:val="14"/>
            <w:vAlign w:val="center"/>
          </w:tcPr>
          <w:p w14:paraId="202A4D77">
            <w:pPr>
              <w:jc w:val="center"/>
            </w:pPr>
            <w:r>
              <w:rPr>
                <w:rFonts w:ascii="宋体" w:hAnsi="宋体" w:eastAsia="宋体"/>
                <w:sz w:val="24"/>
              </w:rPr>
              <w:t>(2024年度)</w:t>
            </w:r>
          </w:p>
        </w:tc>
      </w:tr>
      <w:tr w14:paraId="7C76AB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93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C4B88C">
            <w:pPr>
              <w:jc w:val="center"/>
            </w:pPr>
            <w:r>
              <w:rPr>
                <w:rFonts w:ascii="宋体" w:hAnsi="宋体" w:eastAsia="宋体"/>
                <w:sz w:val="16"/>
              </w:rPr>
              <w:t>塔干镇2024年人大代</w:t>
            </w:r>
            <w:r>
              <w:rPr>
                <w:rFonts w:hint="eastAsia" w:ascii="宋体" w:hAnsi="宋体"/>
                <w:sz w:val="16"/>
                <w:lang w:eastAsia="zh-CN"/>
              </w:rPr>
              <w:t>表大</w:t>
            </w:r>
            <w:r>
              <w:rPr>
                <w:rFonts w:ascii="宋体" w:hAnsi="宋体" w:eastAsia="宋体"/>
                <w:sz w:val="16"/>
              </w:rPr>
              <w:t>会经费</w:t>
            </w:r>
          </w:p>
        </w:tc>
      </w:tr>
      <w:tr w14:paraId="7FB550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6C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D25ED">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F6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76A90D">
            <w:pPr>
              <w:jc w:val="center"/>
            </w:pPr>
            <w:r>
              <w:rPr>
                <w:rFonts w:ascii="宋体" w:hAnsi="宋体" w:eastAsia="宋体"/>
                <w:sz w:val="16"/>
              </w:rPr>
              <w:t>塔什库尔干塔吉克自治县塔什库尔干镇人民政府</w:t>
            </w:r>
          </w:p>
        </w:tc>
      </w:tr>
      <w:tr w14:paraId="61AB2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CFE7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4C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9E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15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A83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C0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575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FF5F">
            <w:pPr>
              <w:jc w:val="center"/>
            </w:pPr>
            <w:r>
              <w:rPr>
                <w:rFonts w:ascii="宋体" w:hAnsi="宋体" w:eastAsia="宋体"/>
                <w:sz w:val="16"/>
              </w:rPr>
              <w:t>得分</w:t>
            </w:r>
          </w:p>
        </w:tc>
      </w:tr>
      <w:tr w14:paraId="346825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85C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E58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AB4F4">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086A">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4970D">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70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11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BD0D">
            <w:pPr>
              <w:jc w:val="center"/>
            </w:pPr>
            <w:r>
              <w:rPr>
                <w:rFonts w:ascii="宋体" w:hAnsi="宋体" w:eastAsia="宋体"/>
                <w:sz w:val="16"/>
              </w:rPr>
              <w:t>10.00分</w:t>
            </w:r>
          </w:p>
        </w:tc>
      </w:tr>
      <w:tr w14:paraId="49075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943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11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3D06">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1530">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3789">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F7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9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5C69">
            <w:pPr>
              <w:jc w:val="center"/>
            </w:pPr>
            <w:r>
              <w:rPr>
                <w:rFonts w:ascii="宋体" w:hAnsi="宋体" w:eastAsia="宋体"/>
                <w:sz w:val="16"/>
              </w:rPr>
              <w:t>—</w:t>
            </w:r>
          </w:p>
        </w:tc>
      </w:tr>
      <w:tr w14:paraId="18355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79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86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98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B1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7F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8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9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F0E1">
            <w:pPr>
              <w:jc w:val="center"/>
            </w:pPr>
            <w:r>
              <w:rPr>
                <w:rFonts w:ascii="宋体" w:hAnsi="宋体" w:eastAsia="宋体"/>
                <w:sz w:val="16"/>
              </w:rPr>
              <w:t>—</w:t>
            </w:r>
          </w:p>
        </w:tc>
      </w:tr>
      <w:tr w14:paraId="28A726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B95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3C5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73960D">
            <w:pPr>
              <w:jc w:val="center"/>
            </w:pPr>
            <w:r>
              <w:rPr>
                <w:rFonts w:ascii="宋体" w:hAnsi="宋体" w:eastAsia="宋体"/>
                <w:sz w:val="16"/>
              </w:rPr>
              <w:t>实际完成情况</w:t>
            </w:r>
          </w:p>
        </w:tc>
      </w:tr>
      <w:tr w14:paraId="1DCA7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F7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7EDB4">
            <w:pPr>
              <w:jc w:val="both"/>
            </w:pPr>
            <w:r>
              <w:rPr>
                <w:rFonts w:ascii="宋体" w:hAnsi="宋体" w:eastAsia="宋体"/>
                <w:sz w:val="16"/>
              </w:rPr>
              <w:t>塔干镇2024年人大代表会经费共13590元，本次支出预计13590元，主要用于：我镇农牧民人大代表参加会议直接产生的各项费用。材料费2250元，保障人大会议顺利进行；伙食费8100元，解决人大代表在会议期间的伙食问题；误工补贴3240元。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5B859">
            <w:pPr>
              <w:jc w:val="both"/>
            </w:pPr>
            <w:r>
              <w:rPr>
                <w:rFonts w:ascii="宋体" w:hAnsi="宋体" w:eastAsia="宋体"/>
                <w:sz w:val="16"/>
              </w:rPr>
              <w:t>塔干镇2024年人大代表会经费共13590元，支出预计13590元，主要用于：材料费2250元，保障人大会议顺利进行；伙食费8100元，解决人大代表在会议期间的伙食问题；误工补贴3240元。服务对象满意度达到100%。</w:t>
            </w:r>
          </w:p>
        </w:tc>
      </w:tr>
      <w:tr w14:paraId="37E38B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5AB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E3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ED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C9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E3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81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61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4F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7B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EF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BB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93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0B7E">
            <w:pPr>
              <w:jc w:val="center"/>
            </w:pPr>
            <w:r>
              <w:rPr>
                <w:rFonts w:ascii="宋体" w:hAnsi="宋体" w:eastAsia="宋体"/>
                <w:sz w:val="16"/>
              </w:rPr>
              <w:t>偏差原因分析及改进措施</w:t>
            </w:r>
          </w:p>
        </w:tc>
      </w:tr>
      <w:tr w14:paraId="1BAE4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DD8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354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6C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92E4">
            <w:pPr>
              <w:jc w:val="center"/>
            </w:pPr>
            <w:r>
              <w:rPr>
                <w:rFonts w:ascii="宋体" w:hAnsi="宋体" w:eastAsia="宋体"/>
                <w:sz w:val="16"/>
              </w:rPr>
              <w:t>人大代表参加会议人数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C2F9">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C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85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1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5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F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DA7F">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00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1340">
            <w:pPr>
              <w:jc w:val="center"/>
            </w:pPr>
          </w:p>
        </w:tc>
      </w:tr>
      <w:tr w14:paraId="7E0AD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57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B5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7E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418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6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6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F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BA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1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059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3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77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4A0E">
            <w:pPr>
              <w:jc w:val="center"/>
            </w:pPr>
          </w:p>
        </w:tc>
      </w:tr>
      <w:tr w14:paraId="28DF3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E6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5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D5B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CF6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0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4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DD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B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6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E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0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CD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82CA">
            <w:pPr>
              <w:jc w:val="center"/>
            </w:pPr>
          </w:p>
        </w:tc>
      </w:tr>
      <w:tr w14:paraId="2B43B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6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D7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7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AC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729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A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9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3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E8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8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46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F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2E229">
            <w:pPr>
              <w:jc w:val="center"/>
            </w:pPr>
          </w:p>
        </w:tc>
      </w:tr>
      <w:tr w14:paraId="3330E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2F0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E22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38B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86E6">
            <w:pPr>
              <w:jc w:val="center"/>
            </w:pPr>
            <w:r>
              <w:rPr>
                <w:rFonts w:ascii="宋体" w:hAnsi="宋体" w:eastAsia="宋体"/>
                <w:sz w:val="16"/>
              </w:rPr>
              <w:t>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7806">
            <w:pPr>
              <w:jc w:val="center"/>
            </w:pPr>
            <w:r>
              <w:rPr>
                <w:rFonts w:ascii="宋体" w:hAnsi="宋体" w:eastAsia="宋体"/>
                <w:sz w:val="16"/>
              </w:rPr>
              <w:t>=2250元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DC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D3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C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3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7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E75A">
            <w:pPr>
              <w:jc w:val="center"/>
            </w:pPr>
            <w:r>
              <w:rPr>
                <w:rFonts w:ascii="宋体" w:hAnsi="宋体" w:eastAsia="宋体"/>
                <w:sz w:val="16"/>
              </w:rPr>
              <w:t>=2250元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0D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1F2E3">
            <w:pPr>
              <w:jc w:val="center"/>
            </w:pPr>
          </w:p>
        </w:tc>
      </w:tr>
      <w:tr w14:paraId="51A6A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25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C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8A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B685">
            <w:pPr>
              <w:jc w:val="center"/>
            </w:pPr>
            <w:r>
              <w:rPr>
                <w:rFonts w:ascii="宋体" w:hAnsi="宋体" w:eastAsia="宋体"/>
                <w:sz w:val="16"/>
              </w:rPr>
              <w:t>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E190">
            <w:pPr>
              <w:jc w:val="center"/>
            </w:pPr>
            <w:r>
              <w:rPr>
                <w:rFonts w:ascii="宋体" w:hAnsi="宋体" w:eastAsia="宋体"/>
                <w:sz w:val="16"/>
              </w:rPr>
              <w:t>=8100元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42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A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A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F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52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9BC2">
            <w:pPr>
              <w:jc w:val="center"/>
            </w:pPr>
            <w:r>
              <w:rPr>
                <w:rFonts w:ascii="宋体" w:hAnsi="宋体" w:eastAsia="宋体"/>
                <w:sz w:val="16"/>
              </w:rPr>
              <w:t>=8100元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0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59F5">
            <w:pPr>
              <w:jc w:val="center"/>
            </w:pPr>
          </w:p>
        </w:tc>
      </w:tr>
      <w:tr w14:paraId="4B07A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F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06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20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38C4">
            <w:pPr>
              <w:jc w:val="center"/>
            </w:pPr>
            <w:r>
              <w:rPr>
                <w:rFonts w:ascii="宋体" w:hAnsi="宋体" w:eastAsia="宋体"/>
                <w:sz w:val="16"/>
              </w:rPr>
              <w:t>误工补贴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1E30">
            <w:pPr>
              <w:jc w:val="center"/>
            </w:pPr>
            <w:r>
              <w:rPr>
                <w:rFonts w:ascii="宋体" w:hAnsi="宋体" w:eastAsia="宋体"/>
                <w:sz w:val="16"/>
              </w:rPr>
              <w:t>=3240元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E6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F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6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5A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47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8B6">
            <w:pPr>
              <w:jc w:val="center"/>
            </w:pPr>
            <w:r>
              <w:rPr>
                <w:rFonts w:ascii="宋体" w:hAnsi="宋体" w:eastAsia="宋体"/>
                <w:sz w:val="16"/>
              </w:rPr>
              <w:t>=3240元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4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71726">
            <w:pPr>
              <w:jc w:val="center"/>
            </w:pPr>
          </w:p>
        </w:tc>
      </w:tr>
      <w:tr w14:paraId="60497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74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00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E4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18BF">
            <w:pPr>
              <w:jc w:val="center"/>
            </w:pPr>
            <w:r>
              <w:rPr>
                <w:rFonts w:ascii="宋体" w:hAnsi="宋体" w:eastAsia="宋体"/>
                <w:sz w:val="16"/>
              </w:rPr>
              <w:t>人大代表服务水平有效提升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965D">
            <w:pPr>
              <w:jc w:val="center"/>
            </w:pPr>
            <w:r>
              <w:rPr>
                <w:rFonts w:ascii="宋体" w:hAnsi="宋体" w:eastAsia="宋体"/>
                <w:sz w:val="16"/>
              </w:rPr>
              <w:t>提升服务水平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C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13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6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EA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9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2B6D">
            <w:pPr>
              <w:jc w:val="center"/>
            </w:pPr>
            <w:r>
              <w:rPr>
                <w:rFonts w:ascii="宋体" w:hAnsi="宋体" w:eastAsia="宋体"/>
                <w:sz w:val="16"/>
              </w:rPr>
              <w:t>提升服务水平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C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1D4DD">
            <w:pPr>
              <w:jc w:val="center"/>
            </w:pPr>
          </w:p>
        </w:tc>
      </w:tr>
      <w:tr w14:paraId="50C93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F6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25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2D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96A8">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82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C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3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B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49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0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0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2A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0200">
            <w:pPr>
              <w:jc w:val="center"/>
            </w:pPr>
            <w:r>
              <w:rPr>
                <w:rFonts w:ascii="宋体" w:hAnsi="宋体" w:eastAsia="宋体"/>
                <w:sz w:val="16"/>
              </w:rPr>
              <w:t>项目完成情况较好，实际人大代表满意度较高，所以指标出现正偏差</w:t>
            </w:r>
          </w:p>
        </w:tc>
      </w:tr>
      <w:tr w14:paraId="64721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DD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49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B06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9CF0A">
            <w:pPr>
              <w:jc w:val="center"/>
            </w:pPr>
            <w:r>
              <w:rPr>
                <w:rFonts w:ascii="宋体" w:hAnsi="宋体" w:eastAsia="宋体"/>
                <w:sz w:val="16"/>
              </w:rPr>
              <w:t>100分</w:t>
            </w:r>
          </w:p>
        </w:tc>
      </w:tr>
    </w:tbl>
    <w:p w14:paraId="50E8BB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DD2C712">
        <w:tblPrEx>
          <w:tblCellMar>
            <w:top w:w="0" w:type="dxa"/>
            <w:left w:w="108" w:type="dxa"/>
            <w:bottom w:w="0" w:type="dxa"/>
            <w:right w:w="108" w:type="dxa"/>
          </w:tblCellMar>
        </w:tblPrEx>
        <w:tc>
          <w:tcPr>
            <w:tcW w:w="8848" w:type="dxa"/>
            <w:gridSpan w:val="14"/>
            <w:vAlign w:val="center"/>
          </w:tcPr>
          <w:p w14:paraId="0AE41773">
            <w:pPr>
              <w:jc w:val="center"/>
            </w:pPr>
            <w:r>
              <w:rPr>
                <w:rFonts w:ascii="宋体" w:hAnsi="宋体" w:eastAsia="宋体"/>
                <w:sz w:val="24"/>
              </w:rPr>
              <w:t>项目支出绩效自评表</w:t>
            </w:r>
          </w:p>
        </w:tc>
      </w:tr>
      <w:tr w14:paraId="611ADC83">
        <w:tblPrEx>
          <w:tblCellMar>
            <w:top w:w="0" w:type="dxa"/>
            <w:left w:w="108" w:type="dxa"/>
            <w:bottom w:w="0" w:type="dxa"/>
            <w:right w:w="108" w:type="dxa"/>
          </w:tblCellMar>
        </w:tblPrEx>
        <w:tc>
          <w:tcPr>
            <w:tcW w:w="8848" w:type="dxa"/>
            <w:gridSpan w:val="14"/>
            <w:vAlign w:val="center"/>
          </w:tcPr>
          <w:p w14:paraId="53E2E7CF">
            <w:pPr>
              <w:jc w:val="center"/>
            </w:pPr>
            <w:r>
              <w:rPr>
                <w:rFonts w:ascii="宋体" w:hAnsi="宋体" w:eastAsia="宋体"/>
                <w:sz w:val="24"/>
              </w:rPr>
              <w:t>(2024年度)</w:t>
            </w:r>
          </w:p>
        </w:tc>
      </w:tr>
      <w:tr w14:paraId="43113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0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4A0C77">
            <w:pPr>
              <w:jc w:val="center"/>
            </w:pPr>
            <w:r>
              <w:rPr>
                <w:rFonts w:ascii="宋体" w:hAnsi="宋体" w:eastAsia="宋体"/>
                <w:sz w:val="16"/>
              </w:rPr>
              <w:t>驻社区工作队为民办实事经费</w:t>
            </w:r>
          </w:p>
        </w:tc>
      </w:tr>
      <w:tr w14:paraId="7D41E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2C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FCDD1">
            <w:pPr>
              <w:jc w:val="center"/>
            </w:pPr>
            <w:r>
              <w:rPr>
                <w:rFonts w:ascii="宋体" w:hAnsi="宋体" w:eastAsia="宋体"/>
                <w:sz w:val="16"/>
              </w:rPr>
              <w:t>塔什库尔干塔吉克自治县塔什库尔干镇人民政府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4D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04633">
            <w:pPr>
              <w:jc w:val="center"/>
            </w:pPr>
            <w:r>
              <w:rPr>
                <w:rFonts w:ascii="宋体" w:hAnsi="宋体" w:eastAsia="宋体"/>
                <w:sz w:val="16"/>
              </w:rPr>
              <w:t>塔什库尔干塔吉克自治县塔什库尔干镇人民政府</w:t>
            </w:r>
          </w:p>
        </w:tc>
      </w:tr>
      <w:tr w14:paraId="3F508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3C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3674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D3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4A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8F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A3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D9E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84E0">
            <w:pPr>
              <w:jc w:val="center"/>
            </w:pPr>
            <w:r>
              <w:rPr>
                <w:rFonts w:ascii="宋体" w:hAnsi="宋体" w:eastAsia="宋体"/>
                <w:sz w:val="16"/>
              </w:rPr>
              <w:t>得分</w:t>
            </w:r>
          </w:p>
        </w:tc>
      </w:tr>
      <w:tr w14:paraId="3BA976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C24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7F0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633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17C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03F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7CB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BF8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A5FA">
            <w:pPr>
              <w:jc w:val="center"/>
            </w:pPr>
            <w:r>
              <w:rPr>
                <w:rFonts w:ascii="宋体" w:hAnsi="宋体" w:eastAsia="宋体"/>
                <w:sz w:val="16"/>
              </w:rPr>
              <w:t>10.00分</w:t>
            </w:r>
          </w:p>
        </w:tc>
      </w:tr>
      <w:tr w14:paraId="56580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3A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872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A6E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3AEE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021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696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01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FE85">
            <w:pPr>
              <w:jc w:val="center"/>
            </w:pPr>
            <w:r>
              <w:rPr>
                <w:rFonts w:ascii="宋体" w:hAnsi="宋体" w:eastAsia="宋体"/>
                <w:sz w:val="16"/>
              </w:rPr>
              <w:t>—</w:t>
            </w:r>
          </w:p>
        </w:tc>
      </w:tr>
      <w:tr w14:paraId="4E019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8B6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0C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2D4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B0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CC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D6F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1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9896">
            <w:pPr>
              <w:jc w:val="center"/>
            </w:pPr>
            <w:r>
              <w:rPr>
                <w:rFonts w:ascii="宋体" w:hAnsi="宋体" w:eastAsia="宋体"/>
                <w:sz w:val="16"/>
              </w:rPr>
              <w:t>—</w:t>
            </w:r>
          </w:p>
        </w:tc>
      </w:tr>
      <w:tr w14:paraId="58F58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AF4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DDB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90F1E">
            <w:pPr>
              <w:jc w:val="center"/>
            </w:pPr>
            <w:r>
              <w:rPr>
                <w:rFonts w:ascii="宋体" w:hAnsi="宋体" w:eastAsia="宋体"/>
                <w:sz w:val="16"/>
              </w:rPr>
              <w:t>实际完成情况</w:t>
            </w:r>
          </w:p>
        </w:tc>
      </w:tr>
      <w:tr w14:paraId="0E4B3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44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C8E23">
            <w:pPr>
              <w:jc w:val="both"/>
            </w:pPr>
            <w:r>
              <w:rPr>
                <w:rFonts w:ascii="宋体" w:hAnsi="宋体" w:eastAsia="宋体"/>
                <w:sz w:val="16"/>
              </w:rPr>
              <w:t>塔干驻社区工作队为民办实事经费共30万元，本次支出预计30万元，塔干镇布拉克尕勒社区、喀什尕勒社区、旭东社区、幸福社区、红旗社区、沙棘林社区6</w:t>
            </w:r>
            <w:r>
              <w:rPr>
                <w:rFonts w:hint="eastAsia" w:ascii="宋体" w:hAnsi="宋体"/>
                <w:sz w:val="16"/>
                <w:lang w:eastAsia="zh-CN"/>
              </w:rPr>
              <w:t>个</w:t>
            </w:r>
            <w:r>
              <w:rPr>
                <w:rFonts w:ascii="宋体" w:hAnsi="宋体" w:eastAsia="宋体"/>
                <w:sz w:val="16"/>
              </w:rPr>
              <w:t>社区各分配5万元，严格按照自治区“</w:t>
            </w:r>
            <w:r>
              <w:rPr>
                <w:rFonts w:hint="eastAsia" w:ascii="宋体" w:hAnsi="宋体"/>
                <w:sz w:val="16"/>
                <w:lang w:eastAsia="zh-CN"/>
              </w:rPr>
              <w:t>为民办实事</w:t>
            </w:r>
            <w:r>
              <w:rPr>
                <w:rFonts w:ascii="宋体" w:hAnsi="宋体" w:eastAsia="宋体"/>
                <w:sz w:val="16"/>
              </w:rPr>
              <w:t>”办公室新民办〔2016〕62号文件要求制定资金使用方案。整体预计15万元用于困难群众房屋修缮、村道、桥涵、引水渠维修、小磨坊、小作坊修缮、支持小型种植养殖，家庭旅游、农产品加工业发展，组织群众参观学习，开展就业创业技能培训，更新村（社区）‘两委’办公设施、党内激励关怀帮扶等；7.5万元用于访贫问苦，为群众送信息、送服务、送温暖；7.5万元用于补充村级组织工作经费，积极组织开展各类活动。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9D435">
            <w:pPr>
              <w:jc w:val="both"/>
            </w:pPr>
            <w:r>
              <w:rPr>
                <w:rFonts w:ascii="宋体" w:hAnsi="宋体" w:eastAsia="宋体"/>
                <w:sz w:val="16"/>
              </w:rPr>
              <w:t>塔干驻社区工作队为民办实事经费共30万元，本次支出30万元，塔干镇布拉克尕勒社区、喀什尕勒社区、旭东社区、幸福社区、红旗社区、沙棘林社区6个社区各分配5万元，严格按照自治区“</w:t>
            </w:r>
            <w:r>
              <w:rPr>
                <w:rFonts w:hint="eastAsia" w:ascii="宋体" w:hAnsi="宋体"/>
                <w:sz w:val="16"/>
                <w:lang w:eastAsia="zh-CN"/>
              </w:rPr>
              <w:t>为民办实事</w:t>
            </w:r>
            <w:r>
              <w:rPr>
                <w:rFonts w:ascii="宋体" w:hAnsi="宋体" w:eastAsia="宋体"/>
                <w:sz w:val="16"/>
              </w:rPr>
              <w:t>”办公室新民办〔2016〕62号文件要求制定资金使用方案。整体15万元用于困难群众房屋修缮、村道、桥涵、引水渠维修、小磨坊、小作坊修缮、支持小型种植养殖，家庭旅游、农产品加工业发展，组织群众参观学习，开展就业创业技能培训，更新村（社区）‘两委’办公设施、党内激励关怀帮扶等；7.5万元用于访贫问苦，为群众送信息、送服务、送温暖；7.5万元用于补充村级组织工作经费，积极组织开展各类活动。服务对象满意度达到100%。</w:t>
            </w:r>
          </w:p>
        </w:tc>
      </w:tr>
      <w:tr w14:paraId="6355A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C05D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EB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C0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F4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DE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E7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24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5C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DD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4D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91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BC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89668">
            <w:pPr>
              <w:jc w:val="center"/>
            </w:pPr>
            <w:r>
              <w:rPr>
                <w:rFonts w:ascii="宋体" w:hAnsi="宋体" w:eastAsia="宋体"/>
                <w:sz w:val="16"/>
              </w:rPr>
              <w:t>偏差原因分析及改进措施</w:t>
            </w:r>
          </w:p>
        </w:tc>
      </w:tr>
      <w:tr w14:paraId="7DB73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06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382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9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F7D3">
            <w:pPr>
              <w:jc w:val="center"/>
            </w:pPr>
            <w:r>
              <w:rPr>
                <w:rFonts w:ascii="宋体" w:hAnsi="宋体" w:eastAsia="宋体"/>
                <w:sz w:val="16"/>
              </w:rPr>
              <w:t>组织群众开展活动场次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D58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9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B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E7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5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A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B2B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B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D61C8">
            <w:pPr>
              <w:jc w:val="center"/>
            </w:pPr>
          </w:p>
        </w:tc>
      </w:tr>
      <w:tr w14:paraId="705E4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D8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30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8F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885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F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8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A5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5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7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3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A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9E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BC18F">
            <w:pPr>
              <w:jc w:val="center"/>
            </w:pPr>
          </w:p>
        </w:tc>
      </w:tr>
      <w:tr w14:paraId="0D07B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E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71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3B1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62E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6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9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12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D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3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4B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3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EF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D4F1B">
            <w:pPr>
              <w:jc w:val="center"/>
            </w:pPr>
          </w:p>
        </w:tc>
      </w:tr>
      <w:tr w14:paraId="054F5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E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DE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6C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F65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289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A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D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3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93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5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B23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7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E7BE">
            <w:pPr>
              <w:jc w:val="center"/>
            </w:pPr>
          </w:p>
        </w:tc>
      </w:tr>
      <w:tr w14:paraId="4AF22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C0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A4C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FF9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CDC4">
            <w:pPr>
              <w:jc w:val="center"/>
            </w:pPr>
            <w:r>
              <w:rPr>
                <w:rFonts w:ascii="宋体" w:hAnsi="宋体" w:eastAsia="宋体"/>
                <w:sz w:val="16"/>
              </w:rPr>
              <w:t>帮扶群众、置办办公设施费用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2D0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A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2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E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E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CB7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9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6170">
            <w:pPr>
              <w:jc w:val="center"/>
            </w:pPr>
          </w:p>
        </w:tc>
      </w:tr>
      <w:tr w14:paraId="0E3A551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4A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48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48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4DF">
            <w:pPr>
              <w:jc w:val="center"/>
            </w:pPr>
            <w:r>
              <w:rPr>
                <w:rFonts w:ascii="宋体" w:hAnsi="宋体" w:eastAsia="宋体"/>
                <w:sz w:val="16"/>
              </w:rPr>
              <w:t>访贫问苦，为群众送服务、送温暖、送信息费用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4DA6">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9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6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0E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DC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5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F908">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2F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46345">
            <w:pPr>
              <w:jc w:val="center"/>
            </w:pPr>
          </w:p>
        </w:tc>
      </w:tr>
      <w:tr w14:paraId="2C30F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F3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2F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EB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EF5A">
            <w:pPr>
              <w:jc w:val="center"/>
            </w:pPr>
            <w:r>
              <w:rPr>
                <w:rFonts w:ascii="宋体" w:hAnsi="宋体" w:eastAsia="宋体"/>
                <w:sz w:val="16"/>
              </w:rPr>
              <w:t>组织开展活动费用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0FB7">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0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7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49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3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9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F0B2">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8B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D3E9">
            <w:pPr>
              <w:jc w:val="center"/>
            </w:pPr>
          </w:p>
        </w:tc>
      </w:tr>
      <w:tr w14:paraId="54F35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22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93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6D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CDCD">
            <w:pPr>
              <w:jc w:val="center"/>
            </w:pPr>
            <w:r>
              <w:rPr>
                <w:rFonts w:ascii="宋体" w:hAnsi="宋体" w:eastAsia="宋体"/>
                <w:sz w:val="16"/>
              </w:rPr>
              <w:t>改善群众生活水平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03D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1F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A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C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72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8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0F9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67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7BF8">
            <w:pPr>
              <w:jc w:val="center"/>
            </w:pPr>
          </w:p>
        </w:tc>
      </w:tr>
      <w:tr w14:paraId="47AFC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E8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82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C5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392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28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8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9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17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E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9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76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E33C">
            <w:pPr>
              <w:jc w:val="center"/>
            </w:pPr>
            <w:r>
              <w:rPr>
                <w:rFonts w:ascii="宋体" w:hAnsi="宋体" w:eastAsia="宋体"/>
                <w:sz w:val="16"/>
              </w:rPr>
              <w:t>偏差原因：项目实施情况较好，群众满意度高于预期，导致出现正偏差，改进措施：基于当前良好表现，重新审视绩效目标，在以后绩效目标设置时设置更具挑战性的目标，以推动业务持续发展</w:t>
            </w:r>
          </w:p>
        </w:tc>
      </w:tr>
      <w:tr w14:paraId="261CB5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D8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E9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9F5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A8E62">
            <w:pPr>
              <w:jc w:val="center"/>
            </w:pPr>
            <w:r>
              <w:rPr>
                <w:rFonts w:ascii="宋体" w:hAnsi="宋体" w:eastAsia="宋体"/>
                <w:sz w:val="16"/>
              </w:rPr>
              <w:t>100分</w:t>
            </w:r>
          </w:p>
        </w:tc>
      </w:tr>
    </w:tbl>
    <w:p w14:paraId="3711F0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C1D3E3">
        <w:tblPrEx>
          <w:tblCellMar>
            <w:top w:w="0" w:type="dxa"/>
            <w:left w:w="108" w:type="dxa"/>
            <w:bottom w:w="0" w:type="dxa"/>
            <w:right w:w="108" w:type="dxa"/>
          </w:tblCellMar>
        </w:tblPrEx>
        <w:tc>
          <w:tcPr>
            <w:tcW w:w="8848" w:type="dxa"/>
            <w:gridSpan w:val="14"/>
            <w:vAlign w:val="center"/>
          </w:tcPr>
          <w:p w14:paraId="0F50AE67">
            <w:pPr>
              <w:jc w:val="center"/>
            </w:pPr>
            <w:r>
              <w:rPr>
                <w:rFonts w:ascii="宋体" w:hAnsi="宋体" w:eastAsia="宋体"/>
                <w:sz w:val="24"/>
              </w:rPr>
              <w:t>项目支出绩效自评表</w:t>
            </w:r>
          </w:p>
        </w:tc>
      </w:tr>
      <w:tr w14:paraId="422C7BD4">
        <w:tblPrEx>
          <w:tblCellMar>
            <w:top w:w="0" w:type="dxa"/>
            <w:left w:w="108" w:type="dxa"/>
            <w:bottom w:w="0" w:type="dxa"/>
            <w:right w:w="108" w:type="dxa"/>
          </w:tblCellMar>
        </w:tblPrEx>
        <w:tc>
          <w:tcPr>
            <w:tcW w:w="8848" w:type="dxa"/>
            <w:gridSpan w:val="14"/>
            <w:vAlign w:val="center"/>
          </w:tcPr>
          <w:p w14:paraId="32964CB6">
            <w:pPr>
              <w:jc w:val="center"/>
            </w:pPr>
            <w:r>
              <w:rPr>
                <w:rFonts w:ascii="宋体" w:hAnsi="宋体" w:eastAsia="宋体"/>
                <w:sz w:val="24"/>
              </w:rPr>
              <w:t>(2024年度)</w:t>
            </w:r>
          </w:p>
        </w:tc>
      </w:tr>
      <w:tr w14:paraId="71466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C9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BF212">
            <w:pPr>
              <w:jc w:val="center"/>
            </w:pPr>
            <w:r>
              <w:rPr>
                <w:rFonts w:ascii="宋体" w:hAnsi="宋体" w:eastAsia="宋体"/>
                <w:sz w:val="16"/>
              </w:rPr>
              <w:t>2024年塔什库尔干镇人大代表活动项目</w:t>
            </w:r>
          </w:p>
        </w:tc>
      </w:tr>
      <w:tr w14:paraId="3D9FFF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31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9C54C">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44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4C544F">
            <w:pPr>
              <w:jc w:val="center"/>
            </w:pPr>
            <w:r>
              <w:rPr>
                <w:rFonts w:ascii="宋体" w:hAnsi="宋体" w:eastAsia="宋体"/>
                <w:sz w:val="16"/>
              </w:rPr>
              <w:t>塔什库尔干塔吉克自治县塔什库尔干镇人民政府</w:t>
            </w:r>
          </w:p>
        </w:tc>
      </w:tr>
      <w:tr w14:paraId="149BC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5ACA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99E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C50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E8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C9A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AC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0E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8408">
            <w:pPr>
              <w:jc w:val="center"/>
            </w:pPr>
            <w:r>
              <w:rPr>
                <w:rFonts w:ascii="宋体" w:hAnsi="宋体" w:eastAsia="宋体"/>
                <w:sz w:val="16"/>
              </w:rPr>
              <w:t>得分</w:t>
            </w:r>
          </w:p>
        </w:tc>
      </w:tr>
      <w:tr w14:paraId="0F20BA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552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B7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315C">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B206">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0D83E">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41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7CD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B549">
            <w:pPr>
              <w:jc w:val="center"/>
            </w:pPr>
            <w:r>
              <w:rPr>
                <w:rFonts w:ascii="宋体" w:hAnsi="宋体" w:eastAsia="宋体"/>
                <w:sz w:val="16"/>
              </w:rPr>
              <w:t>10.00分</w:t>
            </w:r>
          </w:p>
        </w:tc>
      </w:tr>
      <w:tr w14:paraId="67FAD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D53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EA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2731">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A130">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4ADA">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3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49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6A4B">
            <w:pPr>
              <w:jc w:val="center"/>
            </w:pPr>
            <w:r>
              <w:rPr>
                <w:rFonts w:ascii="宋体" w:hAnsi="宋体" w:eastAsia="宋体"/>
                <w:sz w:val="16"/>
              </w:rPr>
              <w:t>—</w:t>
            </w:r>
          </w:p>
        </w:tc>
      </w:tr>
      <w:tr w14:paraId="5E84C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9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5F6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7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2E0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47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80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2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5839">
            <w:pPr>
              <w:jc w:val="center"/>
            </w:pPr>
            <w:r>
              <w:rPr>
                <w:rFonts w:ascii="宋体" w:hAnsi="宋体" w:eastAsia="宋体"/>
                <w:sz w:val="16"/>
              </w:rPr>
              <w:t>—</w:t>
            </w:r>
          </w:p>
        </w:tc>
      </w:tr>
      <w:tr w14:paraId="23FDC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BAE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8C1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97E24">
            <w:pPr>
              <w:jc w:val="center"/>
            </w:pPr>
            <w:r>
              <w:rPr>
                <w:rFonts w:ascii="宋体" w:hAnsi="宋体" w:eastAsia="宋体"/>
                <w:sz w:val="16"/>
              </w:rPr>
              <w:t>实际完成情况</w:t>
            </w:r>
          </w:p>
        </w:tc>
      </w:tr>
      <w:tr w14:paraId="1814B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A75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19B55">
            <w:pPr>
              <w:jc w:val="both"/>
            </w:pPr>
            <w:r>
              <w:rPr>
                <w:rFonts w:ascii="宋体" w:hAnsi="宋体" w:eastAsia="宋体"/>
                <w:sz w:val="16"/>
              </w:rPr>
              <w:t>塔什库尔干镇人大代表活动经费共 21150元，本次支出总计21150万元，主要用于：我镇各级 人大代表在本乡镇、村(社区)人大代表联络站联系人民群众、开展各项活动直接产生的各项费用。为县乡两级人大代表订阅必要的学习用品、办公用品及活动颁发奖品等产生的费用。参观学习活动6000元，用于人大代表举办活动；举办环保活动采购用品10000元，会议经费5150元。使服务对象满 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F63D4">
            <w:pPr>
              <w:jc w:val="both"/>
            </w:pPr>
            <w:r>
              <w:rPr>
                <w:rFonts w:ascii="宋体" w:hAnsi="宋体" w:eastAsia="宋体"/>
                <w:sz w:val="16"/>
              </w:rPr>
              <w:t>塔什库尔干镇人大代表活动经费共 21150元，支出总计21150万元，主要用于：我镇各级 人大代表在本乡镇、村(社区)人大代表联络站联系人民群众、开展各项活动直接产生的各项费用。为县乡两级人大代表订阅必要的学习用品、办公用品及活动颁发奖品等产生的费用。参观学习活动6000元，用于人大代表举办活动；举办环保活动采购用品10000元，会议经费5150元。服务对象满意度达到100%。</w:t>
            </w:r>
          </w:p>
        </w:tc>
      </w:tr>
      <w:tr w14:paraId="070F2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9C5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F1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AE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A7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C2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4F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BC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11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AD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D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F7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45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31DF">
            <w:pPr>
              <w:jc w:val="center"/>
            </w:pPr>
            <w:r>
              <w:rPr>
                <w:rFonts w:ascii="宋体" w:hAnsi="宋体" w:eastAsia="宋体"/>
                <w:sz w:val="16"/>
              </w:rPr>
              <w:t>偏差原因分析及改进措施</w:t>
            </w:r>
          </w:p>
        </w:tc>
      </w:tr>
      <w:tr w14:paraId="74128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E55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C9CF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18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306A">
            <w:pPr>
              <w:jc w:val="center"/>
            </w:pPr>
            <w:r>
              <w:rPr>
                <w:rFonts w:ascii="宋体" w:hAnsi="宋体" w:eastAsia="宋体"/>
                <w:sz w:val="16"/>
              </w:rPr>
              <w:t>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51F2">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6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9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1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A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9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DB8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B5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90812">
            <w:pPr>
              <w:jc w:val="center"/>
            </w:pPr>
          </w:p>
        </w:tc>
      </w:tr>
      <w:tr w14:paraId="7725B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17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DF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F8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8B4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9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6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6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3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1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1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B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4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011F">
            <w:pPr>
              <w:jc w:val="center"/>
            </w:pPr>
          </w:p>
        </w:tc>
      </w:tr>
      <w:tr w14:paraId="3B7C3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7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9E4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8FD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2F5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F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A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89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AF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2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B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8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C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DD76">
            <w:pPr>
              <w:jc w:val="center"/>
            </w:pPr>
          </w:p>
        </w:tc>
      </w:tr>
      <w:tr w14:paraId="6227F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E3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5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42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049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C6E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D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2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A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5A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C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64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DB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98D8">
            <w:pPr>
              <w:jc w:val="center"/>
            </w:pPr>
          </w:p>
        </w:tc>
      </w:tr>
      <w:tr w14:paraId="5EBA0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C6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655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50E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08E1">
            <w:pPr>
              <w:jc w:val="center"/>
            </w:pPr>
            <w:r>
              <w:rPr>
                <w:rFonts w:ascii="宋体" w:hAnsi="宋体" w:eastAsia="宋体"/>
                <w:sz w:val="16"/>
              </w:rPr>
              <w:t>参观学习活动费用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F800">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8D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6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D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3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D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A6D9">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09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E551E">
            <w:pPr>
              <w:jc w:val="center"/>
            </w:pPr>
          </w:p>
        </w:tc>
      </w:tr>
      <w:tr w14:paraId="5EAE4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34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0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66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60DC">
            <w:pPr>
              <w:jc w:val="center"/>
            </w:pPr>
            <w:r>
              <w:rPr>
                <w:rFonts w:ascii="宋体" w:hAnsi="宋体" w:eastAsia="宋体"/>
                <w:sz w:val="16"/>
              </w:rPr>
              <w:t>环保活动采购用品费用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5B1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F1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7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A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A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D2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175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60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6FFB">
            <w:pPr>
              <w:jc w:val="center"/>
            </w:pPr>
          </w:p>
        </w:tc>
      </w:tr>
      <w:tr w14:paraId="17340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E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0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F7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951">
            <w:pPr>
              <w:jc w:val="center"/>
            </w:pPr>
            <w:r>
              <w:rPr>
                <w:rFonts w:ascii="宋体" w:hAnsi="宋体" w:eastAsia="宋体"/>
                <w:sz w:val="16"/>
              </w:rPr>
              <w:t>会议经费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D6E0">
            <w:pPr>
              <w:jc w:val="center"/>
            </w:pPr>
            <w:r>
              <w:rPr>
                <w:rFonts w:ascii="宋体" w:hAnsi="宋体" w:eastAsia="宋体"/>
                <w:sz w:val="16"/>
              </w:rPr>
              <w:t>&lt;=0.52万元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7C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A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0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2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7A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0CD6">
            <w:pPr>
              <w:jc w:val="center"/>
            </w:pPr>
            <w:r>
              <w:rPr>
                <w:rFonts w:ascii="宋体" w:hAnsi="宋体" w:eastAsia="宋体"/>
                <w:sz w:val="16"/>
              </w:rPr>
              <w:t>=0.52万元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C2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BFCD6">
            <w:pPr>
              <w:jc w:val="center"/>
            </w:pPr>
          </w:p>
        </w:tc>
      </w:tr>
      <w:tr w14:paraId="76960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0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40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5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4C03">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BF1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E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0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D2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D7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C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0FC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E1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65300">
            <w:pPr>
              <w:jc w:val="center"/>
            </w:pPr>
          </w:p>
        </w:tc>
      </w:tr>
      <w:tr w14:paraId="541B7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B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A7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70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F230">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33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D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E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2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19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7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5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E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1F2B">
            <w:pPr>
              <w:jc w:val="center"/>
            </w:pPr>
            <w:r>
              <w:rPr>
                <w:rFonts w:ascii="宋体" w:hAnsi="宋体" w:eastAsia="宋体"/>
                <w:sz w:val="16"/>
              </w:rPr>
              <w:t>项目完成情况较好，实际人大代表满意度较高，所以指标出现正偏差</w:t>
            </w:r>
          </w:p>
        </w:tc>
      </w:tr>
      <w:tr w14:paraId="0D9438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7C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27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53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2D547">
            <w:pPr>
              <w:jc w:val="center"/>
            </w:pPr>
            <w:r>
              <w:rPr>
                <w:rFonts w:ascii="宋体" w:hAnsi="宋体" w:eastAsia="宋体"/>
                <w:sz w:val="16"/>
              </w:rPr>
              <w:t>100分</w:t>
            </w:r>
          </w:p>
        </w:tc>
      </w:tr>
    </w:tbl>
    <w:p w14:paraId="74E6DFA0">
      <w:r>
        <w:br w:type="page"/>
      </w:r>
    </w:p>
    <w:p w14:paraId="0F2B116C">
      <w:pPr>
        <w:spacing w:line="640" w:lineRule="exact"/>
        <w:ind w:firstLine="640"/>
        <w:jc w:val="both"/>
        <w:outlineLvl w:val="2"/>
      </w:pPr>
      <w:r>
        <w:rPr>
          <w:rFonts w:ascii="黑体" w:hAnsi="黑体" w:eastAsia="黑体"/>
          <w:sz w:val="32"/>
        </w:rPr>
        <w:t>十二、其他需说明的事项</w:t>
      </w:r>
    </w:p>
    <w:p w14:paraId="02DA61D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9D7798D">
      <w:r>
        <w:br w:type="page"/>
      </w:r>
    </w:p>
    <w:p w14:paraId="0DF209BF">
      <w:pPr>
        <w:spacing w:line="240" w:lineRule="auto"/>
        <w:jc w:val="center"/>
        <w:outlineLvl w:val="1"/>
      </w:pPr>
      <w:r>
        <w:rPr>
          <w:rFonts w:ascii="黑体" w:hAnsi="黑体" w:eastAsia="黑体"/>
          <w:sz w:val="32"/>
        </w:rPr>
        <w:t>第三部分 专业名词解释</w:t>
      </w:r>
    </w:p>
    <w:p w14:paraId="64A6D85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DF3B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3AA0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D0906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0E623C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A4399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CB415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218A0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96EC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27EA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CCAC3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A76B9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B1B14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44AD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1FADEF">
      <w:r>
        <w:br w:type="page"/>
      </w:r>
    </w:p>
    <w:p w14:paraId="388DB4DE">
      <w:pPr>
        <w:spacing w:line="240" w:lineRule="auto"/>
        <w:jc w:val="center"/>
        <w:outlineLvl w:val="1"/>
      </w:pPr>
      <w:r>
        <w:rPr>
          <w:rFonts w:ascii="黑体" w:hAnsi="黑体" w:eastAsia="黑体"/>
          <w:sz w:val="32"/>
        </w:rPr>
        <w:t>第四部分 部门决算报表（见附表）</w:t>
      </w:r>
    </w:p>
    <w:p w14:paraId="4762507C">
      <w:pPr>
        <w:spacing w:line="240" w:lineRule="auto"/>
        <w:ind w:firstLine="640"/>
        <w:jc w:val="both"/>
      </w:pPr>
      <w:r>
        <w:rPr>
          <w:rFonts w:ascii="仿宋_GB2312" w:hAnsi="仿宋_GB2312" w:eastAsia="仿宋_GB2312"/>
          <w:b w:val="0"/>
          <w:sz w:val="32"/>
        </w:rPr>
        <w:t>一、《收入支出决算总表》</w:t>
      </w:r>
    </w:p>
    <w:p w14:paraId="495CA72D">
      <w:pPr>
        <w:spacing w:line="240" w:lineRule="auto"/>
        <w:ind w:firstLine="640"/>
        <w:jc w:val="both"/>
      </w:pPr>
      <w:r>
        <w:rPr>
          <w:rFonts w:ascii="仿宋_GB2312" w:hAnsi="仿宋_GB2312" w:eastAsia="仿宋_GB2312"/>
          <w:b w:val="0"/>
          <w:sz w:val="32"/>
        </w:rPr>
        <w:t>二、《收入决算表》</w:t>
      </w:r>
    </w:p>
    <w:p w14:paraId="6E114ECD">
      <w:pPr>
        <w:spacing w:line="240" w:lineRule="auto"/>
        <w:ind w:firstLine="640"/>
        <w:jc w:val="both"/>
      </w:pPr>
      <w:r>
        <w:rPr>
          <w:rFonts w:ascii="仿宋_GB2312" w:hAnsi="仿宋_GB2312" w:eastAsia="仿宋_GB2312"/>
          <w:b w:val="0"/>
          <w:sz w:val="32"/>
        </w:rPr>
        <w:t>三、《支出决算表》</w:t>
      </w:r>
    </w:p>
    <w:p w14:paraId="76FC6DEC">
      <w:pPr>
        <w:spacing w:line="240" w:lineRule="auto"/>
        <w:ind w:firstLine="640"/>
        <w:jc w:val="both"/>
      </w:pPr>
      <w:r>
        <w:rPr>
          <w:rFonts w:ascii="仿宋_GB2312" w:hAnsi="仿宋_GB2312" w:eastAsia="仿宋_GB2312"/>
          <w:b w:val="0"/>
          <w:sz w:val="32"/>
        </w:rPr>
        <w:t>四、《财政拨款收入支出决算总表》</w:t>
      </w:r>
    </w:p>
    <w:p w14:paraId="3E900C3F">
      <w:pPr>
        <w:spacing w:line="240" w:lineRule="auto"/>
        <w:ind w:firstLine="640"/>
        <w:jc w:val="both"/>
      </w:pPr>
      <w:r>
        <w:rPr>
          <w:rFonts w:ascii="仿宋_GB2312" w:hAnsi="仿宋_GB2312" w:eastAsia="仿宋_GB2312"/>
          <w:b w:val="0"/>
          <w:sz w:val="32"/>
        </w:rPr>
        <w:t>五、《一般公共预算财政拨款支出决算表》</w:t>
      </w:r>
    </w:p>
    <w:p w14:paraId="53BEB2DB">
      <w:pPr>
        <w:spacing w:line="240" w:lineRule="auto"/>
        <w:ind w:firstLine="640"/>
        <w:jc w:val="both"/>
      </w:pPr>
      <w:r>
        <w:rPr>
          <w:rFonts w:ascii="仿宋_GB2312" w:hAnsi="仿宋_GB2312" w:eastAsia="仿宋_GB2312"/>
          <w:b w:val="0"/>
          <w:sz w:val="32"/>
        </w:rPr>
        <w:t>六、《一般公共预算财政拨款基本支出决算表》</w:t>
      </w:r>
    </w:p>
    <w:p w14:paraId="61E848AB">
      <w:pPr>
        <w:spacing w:line="240" w:lineRule="auto"/>
        <w:ind w:firstLine="640"/>
        <w:jc w:val="both"/>
      </w:pPr>
      <w:r>
        <w:rPr>
          <w:rFonts w:ascii="仿宋_GB2312" w:hAnsi="仿宋_GB2312" w:eastAsia="仿宋_GB2312"/>
          <w:b w:val="0"/>
          <w:sz w:val="32"/>
        </w:rPr>
        <w:t>七、《政府性基金预算财政拨款收入支出决算表》</w:t>
      </w:r>
    </w:p>
    <w:p w14:paraId="2624A4B1">
      <w:pPr>
        <w:spacing w:line="240" w:lineRule="auto"/>
        <w:ind w:firstLine="640"/>
        <w:jc w:val="both"/>
      </w:pPr>
      <w:r>
        <w:rPr>
          <w:rFonts w:ascii="仿宋_GB2312" w:hAnsi="仿宋_GB2312" w:eastAsia="仿宋_GB2312"/>
          <w:b w:val="0"/>
          <w:sz w:val="32"/>
        </w:rPr>
        <w:t>八、《国有资本经营预算财政拨款收入支出决算表》</w:t>
      </w:r>
    </w:p>
    <w:p w14:paraId="6E4AB596">
      <w:pPr>
        <w:spacing w:line="240" w:lineRule="auto"/>
        <w:ind w:firstLine="640"/>
        <w:jc w:val="both"/>
      </w:pPr>
      <w:r>
        <w:rPr>
          <w:rFonts w:ascii="仿宋_GB2312" w:hAnsi="仿宋_GB2312" w:eastAsia="仿宋_GB2312"/>
          <w:b w:val="0"/>
          <w:sz w:val="32"/>
        </w:rPr>
        <w:t>九、《财政拨款“三公”经费支出决算表》</w:t>
      </w:r>
    </w:p>
    <w:p w14:paraId="568544A3">
      <w:pPr>
        <w:spacing w:line="240" w:lineRule="auto"/>
        <w:ind w:firstLine="640"/>
        <w:jc w:val="both"/>
      </w:pPr>
    </w:p>
    <w:p w14:paraId="0E255C57">
      <w:pPr>
        <w:spacing w:line="240" w:lineRule="auto"/>
        <w:ind w:firstLine="640"/>
        <w:jc w:val="both"/>
      </w:pPr>
    </w:p>
    <w:p w14:paraId="1B9F597E">
      <w:pPr>
        <w:spacing w:line="240" w:lineRule="auto"/>
        <w:ind w:firstLine="640"/>
        <w:jc w:val="both"/>
      </w:pPr>
    </w:p>
    <w:p w14:paraId="31F6C14F">
      <w:pPr>
        <w:spacing w:line="240" w:lineRule="auto"/>
        <w:ind w:firstLine="640"/>
        <w:jc w:val="both"/>
      </w:pPr>
    </w:p>
    <w:p w14:paraId="29B26CD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956B9C"/>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7E3340"/>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E566D4"/>
    <w:rsid w:val="423A32B2"/>
    <w:rsid w:val="423C0CB4"/>
    <w:rsid w:val="427B5743"/>
    <w:rsid w:val="42E64542"/>
    <w:rsid w:val="464B7E04"/>
    <w:rsid w:val="464F7E64"/>
    <w:rsid w:val="46901EEE"/>
    <w:rsid w:val="469C74D2"/>
    <w:rsid w:val="47445515"/>
    <w:rsid w:val="4A82693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9707F8"/>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5916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7561</Words>
  <Characters>8691</Characters>
  <Lines>0</Lines>
  <Paragraphs>0</Paragraphs>
  <TotalTime>4</TotalTime>
  <ScaleCrop>false</ScaleCrop>
  <LinksUpToDate>false</LinksUpToDate>
  <CharactersWithSpaces>8699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