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69A3D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塔什库尔干塔吉克自治县塔吉克阿巴提镇</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ECCCD1">
      <w:r>
        <w:br w:type="page"/>
      </w:r>
    </w:p>
    <w:p w14:paraId="650F61E7">
      <w:pPr>
        <w:spacing w:line="640" w:lineRule="exact"/>
        <w:jc w:val="center"/>
        <w:outlineLvl w:val="1"/>
      </w:pPr>
      <w:r>
        <w:rPr>
          <w:rFonts w:ascii="黑体" w:hAnsi="黑体" w:eastAsia="黑体"/>
          <w:sz w:val="32"/>
        </w:rPr>
        <w:t>第一部分 单位概况</w:t>
      </w:r>
    </w:p>
    <w:p w14:paraId="36E22360">
      <w:pPr>
        <w:spacing w:line="640" w:lineRule="exact"/>
        <w:ind w:firstLine="640"/>
        <w:jc w:val="both"/>
        <w:outlineLvl w:val="2"/>
      </w:pPr>
      <w:r>
        <w:rPr>
          <w:rFonts w:ascii="黑体" w:hAnsi="黑体" w:eastAsia="黑体"/>
          <w:sz w:val="32"/>
        </w:rPr>
        <w:t>一、主要职能</w:t>
      </w:r>
    </w:p>
    <w:p w14:paraId="3F579FDE">
      <w:pPr>
        <w:spacing w:line="580" w:lineRule="exact"/>
        <w:ind w:firstLine="640"/>
        <w:jc w:val="both"/>
      </w:pPr>
      <w:r>
        <w:rPr>
          <w:rFonts w:ascii="仿宋_GB2312" w:hAnsi="仿宋_GB2312" w:eastAsia="仿宋_GB2312"/>
          <w:sz w:val="32"/>
        </w:rPr>
        <w:t>（一）贯彻执行党的路线、方针、政策和国家的法律法规，落实上级党委、政府决策部署和</w:t>
      </w:r>
      <w:r>
        <w:rPr>
          <w:rFonts w:hint="eastAsia" w:ascii="仿宋_GB2312" w:hAnsi="仿宋_GB2312" w:eastAsia="仿宋_GB2312"/>
          <w:sz w:val="32"/>
          <w:lang w:eastAsia="zh-CN"/>
        </w:rPr>
        <w:t>县委、县政府</w:t>
      </w:r>
      <w:r>
        <w:rPr>
          <w:rFonts w:ascii="仿宋_GB2312" w:hAnsi="仿宋_GB2312" w:eastAsia="仿宋_GB2312"/>
          <w:sz w:val="32"/>
        </w:rPr>
        <w:t>相关工作安排，执行本级人民代表大会决议，在履行职责过程中坚持和加强党的集中统一领导。</w:t>
      </w:r>
    </w:p>
    <w:p w14:paraId="208AA88D">
      <w:pPr>
        <w:spacing w:line="580" w:lineRule="exact"/>
        <w:ind w:firstLine="640"/>
        <w:jc w:val="both"/>
      </w:pPr>
      <w:r>
        <w:rPr>
          <w:rFonts w:ascii="仿宋_GB2312" w:hAnsi="仿宋_GB2312" w:eastAsia="仿宋_GB2312"/>
          <w:sz w:val="32"/>
        </w:rPr>
        <w:t>（二）根据自治区党委、地委相关决策部署和县委相关工作安排，讨论和决定本行政区域内经济建设、政治建设、文化建设、社会建设、生态文明建设和党的建设以及乡村振兴中的重大问题。</w:t>
      </w:r>
    </w:p>
    <w:p w14:paraId="770F22BD">
      <w:pPr>
        <w:spacing w:line="580" w:lineRule="exact"/>
        <w:ind w:firstLine="640"/>
        <w:jc w:val="both"/>
      </w:pPr>
      <w:r>
        <w:rPr>
          <w:rFonts w:ascii="仿宋_GB2312" w:hAnsi="仿宋_GB2312" w:eastAsia="仿宋_GB2312"/>
          <w:sz w:val="32"/>
        </w:rPr>
        <w:t>（三）落实基层党建工作责任制，负责党风廉政建设、宣传、意识形态、精神文明等工作；负责做好辖区各类社会组织的党建工作和发展党员工作，协调、指导辖区社会单位党组织和党员积极参加政治文化生活；负责做好人大、政协等事务工作；依法指导和规范管辖范围内的群团组织等其他各类组织。</w:t>
      </w:r>
    </w:p>
    <w:p w14:paraId="76936671">
      <w:pPr>
        <w:spacing w:line="580" w:lineRule="exact"/>
        <w:ind w:firstLine="640"/>
        <w:jc w:val="both"/>
      </w:pPr>
      <w:r>
        <w:rPr>
          <w:rFonts w:ascii="仿宋_GB2312" w:hAnsi="仿宋_GB2312" w:eastAsia="仿宋_GB2312"/>
          <w:sz w:val="32"/>
        </w:rPr>
        <w:t>（四）负责社会治安、综合治理、扫黑除恶等工作。落实社会矛盾纠纷排查调处机制，实施社会治安综合治理，依法严厉打击黑恶势力、宗族恶势力、</w:t>
      </w:r>
      <w:r>
        <w:rPr>
          <w:rFonts w:hint="eastAsia" w:ascii="仿宋_GB2312" w:hAnsi="仿宋_GB2312" w:eastAsia="仿宋_GB2312"/>
          <w:sz w:val="32"/>
          <w:lang w:eastAsia="zh-CN"/>
        </w:rPr>
        <w:t>ZJ</w:t>
      </w:r>
      <w:r>
        <w:rPr>
          <w:rFonts w:ascii="仿宋_GB2312" w:hAnsi="仿宋_GB2312" w:eastAsia="仿宋_GB2312"/>
          <w:sz w:val="32"/>
        </w:rPr>
        <w:t>极端势力、“村霸”，严防其侵蚀基层干部和基层政权。</w:t>
      </w:r>
    </w:p>
    <w:p w14:paraId="49CBACA2">
      <w:pPr>
        <w:spacing w:line="580" w:lineRule="exact"/>
        <w:ind w:firstLine="640"/>
        <w:jc w:val="both"/>
      </w:pPr>
      <w:r>
        <w:rPr>
          <w:rFonts w:ascii="仿宋_GB2312" w:hAnsi="仿宋_GB2312" w:eastAsia="仿宋_GB2312"/>
          <w:sz w:val="32"/>
        </w:rPr>
        <w:t>（五）根据相关规定，负责组织实施与群众生活密切相关的各项公共服务，负责做好民政、社会保障、教育体育、科技文化、卫生健康、劳动就业、</w:t>
      </w:r>
      <w:r>
        <w:rPr>
          <w:rFonts w:hint="eastAsia" w:ascii="仿宋_GB2312" w:hAnsi="仿宋_GB2312" w:eastAsia="仿宋_GB2312"/>
          <w:sz w:val="32"/>
          <w:lang w:eastAsia="zh-CN"/>
        </w:rPr>
        <w:t>JHSY</w:t>
      </w:r>
      <w:r>
        <w:rPr>
          <w:rFonts w:ascii="仿宋_GB2312" w:hAnsi="仿宋_GB2312" w:eastAsia="仿宋_GB2312"/>
          <w:sz w:val="32"/>
        </w:rPr>
        <w:t>、拥军优属、助残、统计等方面工作。以“最多跑一次”改革为引导，强化基层便民服务。</w:t>
      </w:r>
    </w:p>
    <w:p w14:paraId="48EE1A85">
      <w:pPr>
        <w:spacing w:line="580" w:lineRule="exact"/>
        <w:ind w:firstLine="640"/>
        <w:jc w:val="both"/>
      </w:pPr>
      <w:r>
        <w:rPr>
          <w:rFonts w:ascii="仿宋_GB2312" w:hAnsi="仿宋_GB2312" w:eastAsia="仿宋_GB2312"/>
          <w:sz w:val="32"/>
        </w:rPr>
        <w:t>（六）负责做好统一战线、民族</w:t>
      </w:r>
      <w:r>
        <w:rPr>
          <w:rFonts w:hint="eastAsia" w:ascii="仿宋_GB2312" w:hAnsi="仿宋_GB2312" w:eastAsia="仿宋_GB2312"/>
          <w:sz w:val="32"/>
          <w:lang w:eastAsia="zh-CN"/>
        </w:rPr>
        <w:t>ZJ</w:t>
      </w:r>
      <w:r>
        <w:rPr>
          <w:rFonts w:ascii="仿宋_GB2312" w:hAnsi="仿宋_GB2312" w:eastAsia="仿宋_GB2312"/>
          <w:sz w:val="32"/>
        </w:rPr>
        <w:t>等工作；管理好</w:t>
      </w:r>
      <w:r>
        <w:rPr>
          <w:rFonts w:hint="eastAsia" w:ascii="仿宋_GB2312" w:hAnsi="仿宋_GB2312" w:eastAsia="仿宋_GB2312"/>
          <w:sz w:val="32"/>
          <w:lang w:eastAsia="zh-CN"/>
        </w:rPr>
        <w:t>ZJ</w:t>
      </w:r>
      <w:r>
        <w:rPr>
          <w:rFonts w:ascii="仿宋_GB2312" w:hAnsi="仿宋_GB2312" w:eastAsia="仿宋_GB2312"/>
          <w:sz w:val="32"/>
        </w:rPr>
        <w:t>活动场所，依法制止利用</w:t>
      </w:r>
      <w:r>
        <w:rPr>
          <w:rFonts w:hint="eastAsia" w:ascii="仿宋_GB2312" w:hAnsi="仿宋_GB2312" w:eastAsia="仿宋_GB2312"/>
          <w:sz w:val="32"/>
          <w:lang w:eastAsia="zh-CN"/>
        </w:rPr>
        <w:t>ZJ</w:t>
      </w:r>
      <w:r>
        <w:rPr>
          <w:rFonts w:ascii="仿宋_GB2312" w:hAnsi="仿宋_GB2312" w:eastAsia="仿宋_GB2312"/>
          <w:sz w:val="32"/>
        </w:rPr>
        <w:t>干涉基层公共事务的行为，坚决抵御非法</w:t>
      </w:r>
      <w:r>
        <w:rPr>
          <w:rFonts w:hint="eastAsia" w:ascii="仿宋_GB2312" w:hAnsi="仿宋_GB2312" w:eastAsia="仿宋_GB2312"/>
          <w:sz w:val="32"/>
          <w:lang w:eastAsia="zh-CN"/>
        </w:rPr>
        <w:t>ZJ</w:t>
      </w:r>
      <w:r>
        <w:rPr>
          <w:rFonts w:ascii="仿宋_GB2312" w:hAnsi="仿宋_GB2312" w:eastAsia="仿宋_GB2312"/>
          <w:sz w:val="32"/>
        </w:rPr>
        <w:t>活动和境外渗透活动。</w:t>
      </w:r>
    </w:p>
    <w:p w14:paraId="7C2C0B35">
      <w:pPr>
        <w:spacing w:line="580" w:lineRule="exact"/>
        <w:ind w:firstLine="640"/>
        <w:jc w:val="both"/>
      </w:pPr>
      <w:r>
        <w:rPr>
          <w:rFonts w:ascii="仿宋_GB2312" w:hAnsi="仿宋_GB2312" w:eastAsia="仿宋_GB2312"/>
          <w:sz w:val="32"/>
        </w:rPr>
        <w:t>（七）负责乡村振兴战略有关政策措施的贯彻落实；负责扶贫开发、产业规划发展、美丽乡村建设、生态环境、人居环境整治等工作。</w:t>
      </w:r>
    </w:p>
    <w:p w14:paraId="47F9537D">
      <w:pPr>
        <w:spacing w:line="580" w:lineRule="exact"/>
        <w:ind w:firstLine="640"/>
        <w:jc w:val="both"/>
      </w:pPr>
      <w:r>
        <w:rPr>
          <w:rFonts w:ascii="仿宋_GB2312" w:hAnsi="仿宋_GB2312" w:eastAsia="仿宋_GB2312"/>
          <w:sz w:val="32"/>
        </w:rPr>
        <w:t>（八）根据行业主管部门相关规定，协助做好农畜产品质量安全、农牧业机械维护和管理等工作；负责加强动物防疫和重大</w:t>
      </w:r>
      <w:r>
        <w:rPr>
          <w:rFonts w:hint="eastAsia" w:ascii="仿宋_GB2312" w:hAnsi="仿宋_GB2312" w:eastAsia="仿宋_GB2312"/>
          <w:sz w:val="32"/>
          <w:lang w:eastAsia="zh-CN"/>
        </w:rPr>
        <w:t>YQ</w:t>
      </w:r>
      <w:r>
        <w:rPr>
          <w:rFonts w:ascii="仿宋_GB2312" w:hAnsi="仿宋_GB2312" w:eastAsia="仿宋_GB2312"/>
          <w:sz w:val="32"/>
        </w:rPr>
        <w:t>的监控工作，落实动物防疫责任制和疫病的分级管理</w:t>
      </w:r>
      <w:r>
        <w:rPr>
          <w:rFonts w:hint="eastAsia" w:ascii="仿宋_GB2312" w:hAnsi="仿宋_GB2312" w:eastAsia="仿宋_GB2312"/>
          <w:sz w:val="32"/>
          <w:lang w:eastAsia="zh-CN"/>
        </w:rPr>
        <w:t>制度</w:t>
      </w:r>
      <w:r>
        <w:rPr>
          <w:rFonts w:ascii="仿宋_GB2312" w:hAnsi="仿宋_GB2312" w:eastAsia="仿宋_GB2312"/>
          <w:sz w:val="32"/>
        </w:rPr>
        <w:t>；加强辖区内林业管理；加强农田水利设施建设，改善人畜饮用水条件，开展水土保持宣传教育，普及水土保持科学知识，防止水土流失。</w:t>
      </w:r>
    </w:p>
    <w:p w14:paraId="49CCAD7A">
      <w:pPr>
        <w:spacing w:line="580" w:lineRule="exact"/>
        <w:ind w:firstLine="640"/>
        <w:jc w:val="both"/>
      </w:pPr>
      <w:r>
        <w:rPr>
          <w:rFonts w:ascii="仿宋_GB2312" w:hAnsi="仿宋_GB2312" w:eastAsia="仿宋_GB2312"/>
          <w:sz w:val="32"/>
        </w:rPr>
        <w:t>（九）负责辖区公共安全及安全生产监管，构建公共安全防控体系，建立应对突发紧急事件的处理预案，做好安全生产、防汛、防火、防疫等灾害防御及食品药品安全等应急管理工作。</w:t>
      </w:r>
    </w:p>
    <w:p w14:paraId="6DCE3FEA">
      <w:pPr>
        <w:spacing w:line="580" w:lineRule="exact"/>
        <w:ind w:firstLine="640"/>
        <w:jc w:val="both"/>
      </w:pPr>
      <w:r>
        <w:rPr>
          <w:rFonts w:ascii="仿宋_GB2312" w:hAnsi="仿宋_GB2312" w:eastAsia="仿宋_GB2312"/>
          <w:sz w:val="32"/>
        </w:rPr>
        <w:t>（十）负责综合协调辖区内乡容乡貌、环境卫生、公共设施管理等工作。</w:t>
      </w:r>
    </w:p>
    <w:p w14:paraId="73BD58CA">
      <w:pPr>
        <w:spacing w:line="580" w:lineRule="exact"/>
        <w:ind w:firstLine="640"/>
        <w:jc w:val="both"/>
      </w:pPr>
      <w:r>
        <w:rPr>
          <w:rFonts w:ascii="仿宋_GB2312" w:hAnsi="仿宋_GB2312" w:eastAsia="仿宋_GB2312"/>
          <w:sz w:val="32"/>
        </w:rPr>
        <w:t>（十一）负责推进法治政府建设和网格化服务管理工作；负责社区管理和指导工作；负责做好维护老年人、妇女、未成年人和残疾人的合法权益，保障适龄儿童、少年接受义务教育等工作。</w:t>
      </w:r>
    </w:p>
    <w:p w14:paraId="78ED5A45">
      <w:pPr>
        <w:spacing w:line="580" w:lineRule="exact"/>
        <w:ind w:firstLine="640"/>
        <w:jc w:val="both"/>
      </w:pPr>
      <w:r>
        <w:rPr>
          <w:rFonts w:ascii="仿宋_GB2312" w:hAnsi="仿宋_GB2312" w:eastAsia="仿宋_GB2312"/>
          <w:sz w:val="32"/>
        </w:rPr>
        <w:t>（十二）根据自治区党委、政府赋予乡镇行政权力事项清单，与县相关执法队伍和部门协调配合行使行政许可、行政确认、行政处罚等相关权力。</w:t>
      </w:r>
    </w:p>
    <w:p w14:paraId="6D2905C7">
      <w:pPr>
        <w:spacing w:line="580" w:lineRule="exact"/>
        <w:ind w:firstLine="640"/>
        <w:jc w:val="both"/>
      </w:pPr>
      <w:r>
        <w:rPr>
          <w:rFonts w:ascii="仿宋_GB2312" w:hAnsi="仿宋_GB2312" w:eastAsia="仿宋_GB2312"/>
          <w:sz w:val="32"/>
        </w:rPr>
        <w:t>（十三）负责本辖区社会领域、生态环境领域、党的建设领域等重大风险的防范、排查、化解，保密机要、意识形态、信访等工作。</w:t>
      </w:r>
    </w:p>
    <w:p w14:paraId="3C6A5550">
      <w:pPr>
        <w:spacing w:line="580" w:lineRule="exact"/>
        <w:ind w:firstLine="640"/>
        <w:jc w:val="both"/>
      </w:pPr>
      <w:r>
        <w:rPr>
          <w:rFonts w:ascii="仿宋_GB2312" w:hAnsi="仿宋_GB2312" w:eastAsia="仿宋_GB2312"/>
          <w:sz w:val="32"/>
        </w:rPr>
        <w:t>（十四）负责党建引领基层治理和基层政权建设、城乡社区服务体系建设、“两企三新”党建、社会工作人才队伍建设等工作。</w:t>
      </w:r>
    </w:p>
    <w:p w14:paraId="465C7370">
      <w:pPr>
        <w:spacing w:line="580" w:lineRule="exact"/>
        <w:ind w:firstLine="640"/>
        <w:jc w:val="both"/>
      </w:pPr>
      <w:r>
        <w:rPr>
          <w:rFonts w:ascii="仿宋_GB2312" w:hAnsi="仿宋_GB2312" w:eastAsia="仿宋_GB2312"/>
          <w:sz w:val="32"/>
        </w:rPr>
        <w:t>（十五）完成县委、县政府交办的其他工作。</w:t>
      </w:r>
    </w:p>
    <w:p w14:paraId="66C68354">
      <w:pPr>
        <w:spacing w:line="640" w:lineRule="exact"/>
        <w:ind w:firstLine="640"/>
        <w:jc w:val="both"/>
        <w:outlineLvl w:val="2"/>
      </w:pPr>
      <w:r>
        <w:rPr>
          <w:rFonts w:ascii="黑体" w:hAnsi="黑体" w:eastAsia="黑体"/>
          <w:sz w:val="32"/>
        </w:rPr>
        <w:t>二、机构设置及人员情况</w:t>
      </w:r>
    </w:p>
    <w:p w14:paraId="5FB280CA">
      <w:pPr>
        <w:spacing w:line="580" w:lineRule="exact"/>
        <w:ind w:firstLine="640"/>
        <w:jc w:val="both"/>
      </w:pPr>
      <w:r>
        <w:rPr>
          <w:rFonts w:ascii="仿宋_GB2312" w:hAnsi="仿宋_GB2312" w:eastAsia="仿宋_GB2312"/>
          <w:sz w:val="32"/>
        </w:rPr>
        <w:t>塔什库尔干塔吉克自治县塔吉克阿巴提镇人民政府2024年度，实有人数105人，其中：在职人员79人，增加11人；离休人员0人，增加0人；退休人员26人,增加2人。</w:t>
      </w:r>
    </w:p>
    <w:p w14:paraId="4A198F76">
      <w:pPr>
        <w:spacing w:line="580" w:lineRule="exact"/>
        <w:ind w:firstLine="640"/>
        <w:jc w:val="both"/>
      </w:pPr>
      <w:r>
        <w:rPr>
          <w:rFonts w:ascii="仿宋_GB2312" w:hAnsi="仿宋_GB2312" w:eastAsia="仿宋_GB2312"/>
          <w:sz w:val="32"/>
        </w:rPr>
        <w:t>单位无下属预算单位，下设4个科室，分别是：党政党建办、农村经济办、社会事务办、社会管理综合治理办公室。</w:t>
      </w:r>
    </w:p>
    <w:p w14:paraId="1AA6F963">
      <w:r>
        <w:br w:type="page"/>
      </w:r>
    </w:p>
    <w:p w14:paraId="6353C6B1">
      <w:pPr>
        <w:spacing w:line="240" w:lineRule="auto"/>
        <w:jc w:val="center"/>
        <w:outlineLvl w:val="1"/>
      </w:pPr>
      <w:r>
        <w:rPr>
          <w:rFonts w:ascii="黑体" w:hAnsi="黑体" w:eastAsia="黑体"/>
          <w:sz w:val="32"/>
        </w:rPr>
        <w:t>第二部分 部门决算情况说明</w:t>
      </w:r>
    </w:p>
    <w:p w14:paraId="6CD9CB7A">
      <w:pPr>
        <w:spacing w:line="640" w:lineRule="exact"/>
        <w:ind w:firstLine="640"/>
        <w:jc w:val="both"/>
        <w:outlineLvl w:val="2"/>
      </w:pPr>
      <w:r>
        <w:rPr>
          <w:rFonts w:ascii="黑体" w:hAnsi="黑体" w:eastAsia="黑体"/>
          <w:sz w:val="32"/>
        </w:rPr>
        <w:t>一、收入支出决算总体情况说明</w:t>
      </w:r>
    </w:p>
    <w:p w14:paraId="7B85C650">
      <w:pPr>
        <w:spacing w:line="580" w:lineRule="exact"/>
        <w:ind w:firstLine="640"/>
        <w:jc w:val="both"/>
      </w:pPr>
      <w:r>
        <w:rPr>
          <w:rFonts w:ascii="仿宋_GB2312" w:hAnsi="仿宋_GB2312" w:eastAsia="仿宋_GB2312"/>
          <w:b/>
          <w:sz w:val="32"/>
        </w:rPr>
        <w:t>2024年度收入总计3,384.82万元，</w:t>
      </w:r>
      <w:r>
        <w:rPr>
          <w:rFonts w:ascii="仿宋_GB2312" w:hAnsi="仿宋_GB2312" w:eastAsia="仿宋_GB2312"/>
          <w:b w:val="0"/>
          <w:sz w:val="32"/>
        </w:rPr>
        <w:t>其中：本年收入合计3,384.82万元，使用非财政拨款结余（含专用结余）0.00万元，年初结转和结余0.00万元。</w:t>
      </w:r>
    </w:p>
    <w:p w14:paraId="0946E023">
      <w:pPr>
        <w:spacing w:line="580" w:lineRule="exact"/>
        <w:ind w:firstLine="640"/>
        <w:jc w:val="both"/>
      </w:pPr>
      <w:r>
        <w:rPr>
          <w:rFonts w:ascii="仿宋_GB2312" w:hAnsi="仿宋_GB2312" w:eastAsia="仿宋_GB2312"/>
          <w:b/>
          <w:sz w:val="32"/>
        </w:rPr>
        <w:t>2024年度支出总计3,384.82万元，</w:t>
      </w:r>
      <w:r>
        <w:rPr>
          <w:rFonts w:ascii="仿宋_GB2312" w:hAnsi="仿宋_GB2312" w:eastAsia="仿宋_GB2312"/>
          <w:b w:val="0"/>
          <w:sz w:val="32"/>
        </w:rPr>
        <w:t>其中：本年支出合计3,384.82万元，结余分配0.00万元，年末结转和结余0.00万元。</w:t>
      </w:r>
    </w:p>
    <w:p w14:paraId="172BFB57">
      <w:pPr>
        <w:spacing w:line="580" w:lineRule="exact"/>
        <w:ind w:firstLine="640"/>
        <w:jc w:val="both"/>
      </w:pPr>
      <w:r>
        <w:rPr>
          <w:rFonts w:ascii="仿宋_GB2312" w:hAnsi="仿宋_GB2312" w:eastAsia="仿宋_GB2312"/>
          <w:b w:val="0"/>
          <w:sz w:val="32"/>
        </w:rPr>
        <w:t>收入支出总体与上年相比，减少837.64万元，下降19.84%，主要原因是：本年减少塔吉克阿巴提镇易地搬迁安置区产业养殖配套项目、塔吉克阿巴提镇高标准农田建设项目，塔吉克阿巴提镇易地搬迁安置区后续产业养殖棚圈一期、二期项目，导致经费较上年减少。</w:t>
      </w:r>
    </w:p>
    <w:p w14:paraId="0668F497">
      <w:pPr>
        <w:spacing w:line="640" w:lineRule="exact"/>
        <w:ind w:firstLine="640"/>
        <w:jc w:val="both"/>
        <w:outlineLvl w:val="2"/>
      </w:pPr>
      <w:r>
        <w:rPr>
          <w:rFonts w:ascii="黑体" w:hAnsi="黑体" w:eastAsia="黑体"/>
          <w:sz w:val="32"/>
        </w:rPr>
        <w:t>二、收入决算情况说明</w:t>
      </w:r>
    </w:p>
    <w:p w14:paraId="1821F07B">
      <w:pPr>
        <w:spacing w:line="580" w:lineRule="exact"/>
        <w:ind w:firstLine="640"/>
        <w:jc w:val="both"/>
      </w:pPr>
      <w:r>
        <w:rPr>
          <w:rFonts w:ascii="仿宋_GB2312" w:hAnsi="仿宋_GB2312" w:eastAsia="仿宋_GB2312"/>
          <w:b/>
          <w:sz w:val="32"/>
        </w:rPr>
        <w:t>本年收入3,384.82万元，</w:t>
      </w:r>
      <w:r>
        <w:rPr>
          <w:rFonts w:ascii="仿宋_GB2312" w:hAnsi="仿宋_GB2312" w:eastAsia="仿宋_GB2312"/>
          <w:b w:val="0"/>
          <w:sz w:val="32"/>
        </w:rPr>
        <w:t>其中：财政拨款收入3,384.82万元，占100.00%；上级补助收入0.00万元，占0.00%；事业收入0.00万元，占0.00%；经营收入0.00万元，占0.00%；附属单位上缴收入0.00万元，占0.00%；其他收入0.00万元，占0.00%。</w:t>
      </w:r>
    </w:p>
    <w:p w14:paraId="62039AFB">
      <w:pPr>
        <w:spacing w:line="640" w:lineRule="exact"/>
        <w:ind w:firstLine="640"/>
        <w:jc w:val="both"/>
        <w:outlineLvl w:val="2"/>
      </w:pPr>
      <w:r>
        <w:rPr>
          <w:rFonts w:ascii="黑体" w:hAnsi="黑体" w:eastAsia="黑体"/>
          <w:sz w:val="32"/>
        </w:rPr>
        <w:t>三、支出决算情况说明</w:t>
      </w:r>
    </w:p>
    <w:p w14:paraId="2E60E475">
      <w:pPr>
        <w:spacing w:line="580" w:lineRule="exact"/>
        <w:ind w:firstLine="640"/>
        <w:jc w:val="both"/>
      </w:pPr>
      <w:r>
        <w:rPr>
          <w:rFonts w:ascii="仿宋_GB2312" w:hAnsi="仿宋_GB2312" w:eastAsia="仿宋_GB2312"/>
          <w:b/>
          <w:sz w:val="32"/>
        </w:rPr>
        <w:t>本年支出3,384.82万元，</w:t>
      </w:r>
      <w:r>
        <w:rPr>
          <w:rFonts w:ascii="仿宋_GB2312" w:hAnsi="仿宋_GB2312" w:eastAsia="仿宋_GB2312"/>
          <w:b w:val="0"/>
          <w:sz w:val="32"/>
        </w:rPr>
        <w:t>其中：基本支出1,807.20万元，占53.39%；项目支出1,577.62万元，占46.61%；上缴上级支出0.00万元，占0.00%；经营支出0.00万元，占0.00%；对附属单位补助支出0.00万元，占0.00%。</w:t>
      </w:r>
    </w:p>
    <w:p w14:paraId="32798BAC">
      <w:pPr>
        <w:spacing w:line="640" w:lineRule="exact"/>
        <w:ind w:firstLine="640"/>
        <w:jc w:val="both"/>
        <w:outlineLvl w:val="2"/>
      </w:pPr>
      <w:r>
        <w:rPr>
          <w:rFonts w:ascii="黑体" w:hAnsi="黑体" w:eastAsia="黑体"/>
          <w:sz w:val="32"/>
        </w:rPr>
        <w:t>四、财政拨款收入支出决算总体情况说明</w:t>
      </w:r>
    </w:p>
    <w:p w14:paraId="2835B0FB">
      <w:pPr>
        <w:spacing w:line="580" w:lineRule="exact"/>
        <w:ind w:firstLine="640"/>
        <w:jc w:val="both"/>
      </w:pPr>
      <w:r>
        <w:rPr>
          <w:rFonts w:ascii="仿宋_GB2312" w:hAnsi="仿宋_GB2312" w:eastAsia="仿宋_GB2312"/>
          <w:b/>
          <w:sz w:val="32"/>
        </w:rPr>
        <w:t>2024年度财政拨款收入总计3,384.82万元，</w:t>
      </w:r>
      <w:r>
        <w:rPr>
          <w:rFonts w:ascii="仿宋_GB2312" w:hAnsi="仿宋_GB2312" w:eastAsia="仿宋_GB2312"/>
          <w:b w:val="0"/>
          <w:sz w:val="32"/>
        </w:rPr>
        <w:t>其中：年初财政拨款结转和结余0.00万元，本年财政拨款收入3,384.82万元。</w:t>
      </w:r>
      <w:r>
        <w:rPr>
          <w:rFonts w:ascii="仿宋_GB2312" w:hAnsi="仿宋_GB2312" w:eastAsia="仿宋_GB2312"/>
          <w:b/>
          <w:sz w:val="32"/>
        </w:rPr>
        <w:t>财政拨款支出总计3,384.82万元，</w:t>
      </w:r>
      <w:r>
        <w:rPr>
          <w:rFonts w:ascii="仿宋_GB2312" w:hAnsi="仿宋_GB2312" w:eastAsia="仿宋_GB2312"/>
          <w:b w:val="0"/>
          <w:sz w:val="32"/>
        </w:rPr>
        <w:t>其中：年末财政拨款结转和结余0.00万元，本年财政拨款支出3,384.82万元。</w:t>
      </w:r>
    </w:p>
    <w:p w14:paraId="42E1D0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837.64万元，下降19.84%，主要原因是：本年减少塔吉克阿巴提镇易地搬迁安置区产业养殖配套项目、塔吉克阿巴提镇高标准农田建设项目，塔吉克阿巴提镇易地搬迁安置区后续产业养殖棚圈一期、二期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年初预算数1,856.73万元，决算数3,384.82万元，预决算差异率82.30%，主要原因是：年中追加塔吉克阿巴提镇防渗渠</w:t>
      </w:r>
      <w:r>
        <w:rPr>
          <w:rFonts w:hint="eastAsia" w:ascii="仿宋_GB2312" w:hAnsi="仿宋_GB2312" w:eastAsia="仿宋_GB2312"/>
          <w:b w:val="0"/>
          <w:sz w:val="32"/>
          <w:lang w:eastAsia="zh-CN"/>
        </w:rPr>
        <w:t>建设</w:t>
      </w:r>
      <w:r>
        <w:rPr>
          <w:rFonts w:ascii="仿宋_GB2312" w:hAnsi="仿宋_GB2312" w:eastAsia="仿宋_GB2312"/>
          <w:b w:val="0"/>
          <w:sz w:val="32"/>
        </w:rPr>
        <w:t>中央财政以工代赈项目、塔吉克阿巴提镇偿还缴灌水费、水表安装、水费系统维护资金项目</w:t>
      </w:r>
      <w:r>
        <w:rPr>
          <w:rFonts w:hint="eastAsia" w:ascii="仿宋_GB2312" w:hAnsi="仿宋_GB2312" w:eastAsia="仿宋_GB2312"/>
          <w:b w:val="0"/>
          <w:sz w:val="32"/>
          <w:lang w:eastAsia="zh-CN"/>
        </w:rPr>
        <w:t>、</w:t>
      </w:r>
      <w:r>
        <w:rPr>
          <w:rFonts w:ascii="仿宋_GB2312" w:hAnsi="仿宋_GB2312" w:eastAsia="仿宋_GB2312"/>
          <w:b w:val="0"/>
          <w:sz w:val="32"/>
        </w:rPr>
        <w:t>塔吉克阿巴提镇安置点防渗渠提升改造2024年以工代赈项目使用林地补偿费用、塔吉克阿巴提镇2024年鞍钢帮扶资金项目(万寿菊产业提升)项目，导致预决算存在差异。</w:t>
      </w:r>
    </w:p>
    <w:p w14:paraId="449BBD77">
      <w:pPr>
        <w:spacing w:line="640" w:lineRule="exact"/>
        <w:ind w:firstLine="640"/>
        <w:jc w:val="both"/>
        <w:outlineLvl w:val="2"/>
      </w:pPr>
      <w:r>
        <w:rPr>
          <w:rFonts w:ascii="黑体" w:hAnsi="黑体" w:eastAsia="黑体"/>
          <w:sz w:val="32"/>
        </w:rPr>
        <w:t>五、一般公共预算财政拨款支出决算情况说明</w:t>
      </w:r>
    </w:p>
    <w:p w14:paraId="1EEC3577">
      <w:pPr>
        <w:spacing w:line="640" w:lineRule="exact"/>
        <w:ind w:firstLine="640"/>
        <w:jc w:val="both"/>
        <w:outlineLvl w:val="3"/>
      </w:pPr>
      <w:r>
        <w:rPr>
          <w:rFonts w:ascii="楷体_GB2312" w:hAnsi="楷体_GB2312" w:eastAsia="楷体_GB2312"/>
          <w:b/>
          <w:sz w:val="32"/>
        </w:rPr>
        <w:t>（一）一般公共预算财政拨款支出决算总体情况</w:t>
      </w:r>
    </w:p>
    <w:p w14:paraId="0D4808A3">
      <w:pPr>
        <w:spacing w:line="580" w:lineRule="exact"/>
        <w:ind w:firstLine="640"/>
        <w:jc w:val="both"/>
      </w:pPr>
      <w:r>
        <w:rPr>
          <w:rFonts w:ascii="仿宋_GB2312" w:hAnsi="仿宋_GB2312" w:eastAsia="仿宋_GB2312"/>
          <w:b/>
          <w:sz w:val="32"/>
        </w:rPr>
        <w:t>2024年度一般公共预算财政拨款支出3,368.82万元，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减少853.64万元，下降20.22%，主要原因是：本年减少塔吉克阿巴提镇易地搬迁安置区产业养殖配套项目、塔吉克阿巴提镇高标准农田建设项目，塔吉克阿巴提镇易地搬迁安置区后续产业养殖棚圈一期、二期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年初预算数1,856.73万元，决算数3,368.82万元，预决算差异率81.44%，主要原因是：年中追加塔吉克阿巴提镇防渗渠</w:t>
      </w:r>
      <w:r>
        <w:rPr>
          <w:rFonts w:hint="eastAsia" w:ascii="仿宋_GB2312" w:hAnsi="仿宋_GB2312" w:eastAsia="仿宋_GB2312"/>
          <w:b w:val="0"/>
          <w:sz w:val="32"/>
          <w:lang w:eastAsia="zh-CN"/>
        </w:rPr>
        <w:t>建设</w:t>
      </w:r>
      <w:r>
        <w:rPr>
          <w:rFonts w:ascii="仿宋_GB2312" w:hAnsi="仿宋_GB2312" w:eastAsia="仿宋_GB2312"/>
          <w:b w:val="0"/>
          <w:sz w:val="32"/>
        </w:rPr>
        <w:t>中央财政以工代赈项目、塔吉克阿巴提镇偿还缴灌水费、水表安装、水费系统维护资金项目</w:t>
      </w:r>
      <w:r>
        <w:rPr>
          <w:rFonts w:hint="eastAsia" w:ascii="仿宋_GB2312" w:hAnsi="仿宋_GB2312" w:eastAsia="仿宋_GB2312"/>
          <w:b w:val="0"/>
          <w:sz w:val="32"/>
          <w:lang w:eastAsia="zh-CN"/>
        </w:rPr>
        <w:t>、</w:t>
      </w:r>
      <w:r>
        <w:rPr>
          <w:rFonts w:ascii="仿宋_GB2312" w:hAnsi="仿宋_GB2312" w:eastAsia="仿宋_GB2312"/>
          <w:b w:val="0"/>
          <w:sz w:val="32"/>
        </w:rPr>
        <w:t>塔吉克阿巴提镇安置点防渗渠提升改造2024年以工代赈项目使用林地补偿费用、塔吉克阿巴提镇2024年鞍钢帮扶资金项目(万寿菊产业提升)项目，导致预决算存在差异。</w:t>
      </w:r>
    </w:p>
    <w:p w14:paraId="16FB5EAA">
      <w:pPr>
        <w:spacing w:line="640" w:lineRule="exact"/>
        <w:ind w:firstLine="640"/>
        <w:jc w:val="both"/>
        <w:outlineLvl w:val="3"/>
      </w:pPr>
      <w:r>
        <w:rPr>
          <w:rFonts w:ascii="楷体_GB2312" w:hAnsi="楷体_GB2312" w:eastAsia="楷体_GB2312"/>
          <w:b/>
          <w:sz w:val="32"/>
        </w:rPr>
        <w:t>（二）一般公共预算财政拨款支出决算结构情况</w:t>
      </w:r>
    </w:p>
    <w:p w14:paraId="26CB9DD2">
      <w:pPr>
        <w:spacing w:line="580" w:lineRule="exact"/>
        <w:ind w:firstLine="640"/>
        <w:jc w:val="both"/>
      </w:pPr>
      <w:r>
        <w:rPr>
          <w:rFonts w:ascii="仿宋_GB2312" w:hAnsi="仿宋_GB2312" w:eastAsia="仿宋_GB2312"/>
          <w:b w:val="0"/>
          <w:sz w:val="32"/>
        </w:rPr>
        <w:t>1.一般公共服务支出(类)1,263.37万元,占37.50%。</w:t>
      </w:r>
    </w:p>
    <w:p w14:paraId="06E19BE1">
      <w:pPr>
        <w:spacing w:line="580" w:lineRule="exact"/>
        <w:ind w:firstLine="640"/>
        <w:jc w:val="both"/>
      </w:pPr>
      <w:r>
        <w:rPr>
          <w:rFonts w:ascii="仿宋_GB2312" w:hAnsi="仿宋_GB2312" w:eastAsia="仿宋_GB2312"/>
          <w:b w:val="0"/>
          <w:sz w:val="32"/>
        </w:rPr>
        <w:t>2.文化旅游体育与传媒支出(类)5.45万元,占0.16%。</w:t>
      </w:r>
    </w:p>
    <w:p w14:paraId="5F6DE6AD">
      <w:pPr>
        <w:spacing w:line="580" w:lineRule="exact"/>
        <w:ind w:firstLine="640"/>
        <w:jc w:val="both"/>
      </w:pPr>
      <w:r>
        <w:rPr>
          <w:rFonts w:ascii="仿宋_GB2312" w:hAnsi="仿宋_GB2312" w:eastAsia="仿宋_GB2312"/>
          <w:b w:val="0"/>
          <w:sz w:val="32"/>
        </w:rPr>
        <w:t>3.社会保障和就业支出(类)162.00万元,占4.81%。</w:t>
      </w:r>
    </w:p>
    <w:p w14:paraId="4391001D">
      <w:pPr>
        <w:spacing w:line="580" w:lineRule="exact"/>
        <w:ind w:firstLine="640"/>
        <w:jc w:val="both"/>
      </w:pPr>
      <w:r>
        <w:rPr>
          <w:rFonts w:ascii="仿宋_GB2312" w:hAnsi="仿宋_GB2312" w:eastAsia="仿宋_GB2312"/>
          <w:b w:val="0"/>
          <w:sz w:val="32"/>
        </w:rPr>
        <w:t>4.卫生健康支出(类)45.63万元,占1.35%。</w:t>
      </w:r>
    </w:p>
    <w:p w14:paraId="3A5579A7">
      <w:pPr>
        <w:spacing w:line="580" w:lineRule="exact"/>
        <w:ind w:firstLine="640"/>
        <w:jc w:val="both"/>
      </w:pPr>
      <w:r>
        <w:rPr>
          <w:rFonts w:ascii="仿宋_GB2312" w:hAnsi="仿宋_GB2312" w:eastAsia="仿宋_GB2312"/>
          <w:b w:val="0"/>
          <w:sz w:val="32"/>
        </w:rPr>
        <w:t>5.农林水支出(类)1,718.27万元,占51.01%。</w:t>
      </w:r>
    </w:p>
    <w:p w14:paraId="7C5433BD">
      <w:pPr>
        <w:spacing w:line="580" w:lineRule="exact"/>
        <w:ind w:firstLine="640"/>
        <w:jc w:val="both"/>
      </w:pPr>
      <w:r>
        <w:rPr>
          <w:rFonts w:ascii="仿宋_GB2312" w:hAnsi="仿宋_GB2312" w:eastAsia="仿宋_GB2312"/>
          <w:b w:val="0"/>
          <w:sz w:val="32"/>
        </w:rPr>
        <w:t>6.住房保障支出(类)133.48万元,占3.96%。</w:t>
      </w:r>
    </w:p>
    <w:p w14:paraId="1ACA2873">
      <w:pPr>
        <w:spacing w:line="580" w:lineRule="exact"/>
        <w:ind w:firstLine="640"/>
        <w:jc w:val="both"/>
      </w:pPr>
      <w:r>
        <w:rPr>
          <w:rFonts w:ascii="仿宋_GB2312" w:hAnsi="仿宋_GB2312" w:eastAsia="仿宋_GB2312"/>
          <w:b w:val="0"/>
          <w:sz w:val="32"/>
        </w:rPr>
        <w:t>7.其他支出(类)40.63万元,占1.21%。</w:t>
      </w:r>
    </w:p>
    <w:p w14:paraId="782E8A5C">
      <w:pPr>
        <w:spacing w:line="640" w:lineRule="exact"/>
        <w:ind w:firstLine="640"/>
        <w:jc w:val="both"/>
        <w:outlineLvl w:val="3"/>
      </w:pPr>
      <w:r>
        <w:rPr>
          <w:rFonts w:ascii="楷体_GB2312" w:hAnsi="楷体_GB2312" w:eastAsia="楷体_GB2312"/>
          <w:b/>
          <w:sz w:val="32"/>
        </w:rPr>
        <w:t>（三）一般公共预算财政拨款支出决算具体情况</w:t>
      </w:r>
    </w:p>
    <w:p w14:paraId="5E184D8D">
      <w:pPr>
        <w:spacing w:line="580" w:lineRule="exact"/>
        <w:ind w:firstLine="640"/>
        <w:jc w:val="both"/>
      </w:pPr>
      <w:r>
        <w:rPr>
          <w:rFonts w:ascii="仿宋_GB2312" w:hAnsi="仿宋_GB2312" w:eastAsia="仿宋_GB2312"/>
          <w:b w:val="0"/>
          <w:sz w:val="32"/>
        </w:rPr>
        <w:t>1.一般公共服务支出(类)人大事务(款)行政运行(项):支出决算数为2.80万元，比上年决算增加2.80万元，增长100.00%,主要原因是：本年增加人大维修服务费、报刊费、办公用品经费，导致经费较上年有所增加。</w:t>
      </w:r>
    </w:p>
    <w:p w14:paraId="2F9A54B5">
      <w:pPr>
        <w:spacing w:line="580" w:lineRule="exact"/>
        <w:ind w:firstLine="640"/>
        <w:jc w:val="both"/>
      </w:pPr>
      <w:r>
        <w:rPr>
          <w:rFonts w:ascii="仿宋_GB2312" w:hAnsi="仿宋_GB2312" w:eastAsia="仿宋_GB2312"/>
          <w:b w:val="0"/>
          <w:sz w:val="32"/>
        </w:rPr>
        <w:t>2.一般公共服务支出(类)人大事务(款)代表工作(项):支出决算数为6.88万元，比上年决算减少3.04万元，下降30.65%,主要原因是：本年减少人大活动经费及联络站经费，导致经费较上年减少。</w:t>
      </w:r>
    </w:p>
    <w:p w14:paraId="0390AA56">
      <w:pPr>
        <w:spacing w:line="580" w:lineRule="exact"/>
        <w:ind w:firstLine="640"/>
        <w:jc w:val="both"/>
      </w:pPr>
      <w:r>
        <w:rPr>
          <w:rFonts w:ascii="仿宋_GB2312" w:hAnsi="仿宋_GB2312" w:eastAsia="仿宋_GB2312"/>
          <w:b w:val="0"/>
          <w:sz w:val="32"/>
        </w:rPr>
        <w:t>3.一般公共服务支出(类)政协事务(款)其他政协事务支出(项):支出决算数为0.00万元，比上年决算减少0.20万元，下降100.00%,主要原因是：本年减少政协活动经费。</w:t>
      </w:r>
    </w:p>
    <w:p w14:paraId="1D762022">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4.一般公共服务支出(类)政府办公厅（室）及相关机构事务(款)行政运行(项):支出决算数为1,100.77万元，比上年决算增加54.96万元，增长5.26%,主要原因是：本年在职人员</w:t>
      </w:r>
      <w:r>
        <w:rPr>
          <w:rFonts w:hint="eastAsia" w:ascii="仿宋_GB2312" w:hAnsi="仿宋_GB2312" w:eastAsia="仿宋_GB2312"/>
          <w:b w:val="0"/>
          <w:sz w:val="32"/>
          <w:lang w:val="en-US" w:eastAsia="zh-CN"/>
        </w:rPr>
        <w:t>增加，人员</w:t>
      </w:r>
      <w:r>
        <w:rPr>
          <w:rFonts w:ascii="仿宋_GB2312" w:hAnsi="仿宋_GB2312" w:eastAsia="仿宋_GB2312"/>
          <w:b w:val="0"/>
          <w:sz w:val="32"/>
        </w:rPr>
        <w:t>工资调薪，相关人员经费增加。</w:t>
      </w:r>
    </w:p>
    <w:p w14:paraId="75F8E1E8">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150.92万元，比上年决算增加150.92万元，增长100.00%,主要原因是：本年增加塔吉克阿巴提镇文化馆灯光改造项目、塔吉克阿巴提镇安置点防渗渠提升改造2024年以工代赈项目，导致经费较上年增加。</w:t>
      </w:r>
    </w:p>
    <w:p w14:paraId="283345D8">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增加纪检监察业务经费、镇纪检办公室购买固定资产、办公用品，导致经费较上年增加。</w:t>
      </w:r>
    </w:p>
    <w:p w14:paraId="0BA5CB67">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55.00万元，下降100.00%,主要原因是：本年减少塔吉克阿巴提镇易地搬迁安置区产业养殖配套项目、塔吉克阿巴提镇高标准农田建设项目，塔吉克阿巴提镇易地搬迁安置区后续产业养殖棚圈一期、二期项目，导致经费较上年减少。</w:t>
      </w:r>
    </w:p>
    <w:p w14:paraId="118252A0">
      <w:pPr>
        <w:spacing w:line="580" w:lineRule="exact"/>
        <w:ind w:firstLine="640"/>
        <w:jc w:val="both"/>
      </w:pPr>
      <w:r>
        <w:rPr>
          <w:rFonts w:ascii="仿宋_GB2312" w:hAnsi="仿宋_GB2312" w:eastAsia="仿宋_GB2312"/>
          <w:b w:val="0"/>
          <w:sz w:val="32"/>
        </w:rPr>
        <w:t>8.文化旅游体育与传媒支出(类)文化和旅游(款)群众文化(项):支出决算数为0.00万元，比上年决算减少0.80万元，下降100.00%,主要原因是：本年减少文化活动经费。</w:t>
      </w:r>
    </w:p>
    <w:p w14:paraId="206AC9CE">
      <w:pPr>
        <w:spacing w:line="580" w:lineRule="exact"/>
        <w:ind w:firstLine="640"/>
        <w:jc w:val="both"/>
      </w:pPr>
      <w:r>
        <w:rPr>
          <w:rFonts w:ascii="仿宋_GB2312" w:hAnsi="仿宋_GB2312" w:eastAsia="仿宋_GB2312"/>
          <w:b w:val="0"/>
          <w:sz w:val="32"/>
        </w:rPr>
        <w:t>9.文化旅游体育与传媒支出(类)文化和旅游(款)文化创作与保护(项):支出决算数为0.45万元，比上年决算增加0.45万元，增长100.00%,主要原因是：本年增加文化站办公经费。</w:t>
      </w:r>
    </w:p>
    <w:p w14:paraId="7E85B12A">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10.文化旅游体育与传媒支出(类)文化和旅游(款)其他文化和旅游支出(项):支出决算数为5.00万元，比上年决算增加2.50万元，增长100.00%,主要原因是：本年增加中央支持地方公共文化服务体系建设补助资金。</w:t>
      </w:r>
    </w:p>
    <w:p w14:paraId="070D4BC3">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11.文化旅游体育与传媒支出(类)其他文化旅游体育与传媒支出(款)其他文化旅游体育与传媒支出(项):支出决算数为0.00万元，比上年决算减少20.00万元，下降100.00%,主要原因是：本年减少文化站各类活动经费。</w:t>
      </w:r>
    </w:p>
    <w:p w14:paraId="0645B3F0">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12.社会保障和就业支出(类)行政事业单位养老支出(款)行政单位离退休(项):支出决算数为31.50万元，比上年决算减少2.92万元，下降8.48%,主要原因是：本年减少退休人员绩效。</w:t>
      </w:r>
    </w:p>
    <w:p w14:paraId="3DCB2BCE">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108.49万元，比上年决算减少39.05万元，下降26.47%,主要原因是：本年在职人员调入调出，人员职级不同，缴费基数不同，导致养老保险缴费较上年减少。</w:t>
      </w:r>
    </w:p>
    <w:p w14:paraId="15A11A4D">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22.01万元，比上年决算增加5.05万元，增长29.78%,主要原因是：本年有新增退休人员，导致职业年金缴费支出较上年增加。</w:t>
      </w:r>
    </w:p>
    <w:p w14:paraId="079ABDB8">
      <w:pPr>
        <w:spacing w:line="580" w:lineRule="exact"/>
        <w:ind w:firstLine="640"/>
        <w:jc w:val="both"/>
      </w:pPr>
      <w:r>
        <w:rPr>
          <w:rFonts w:ascii="仿宋_GB2312" w:hAnsi="仿宋_GB2312" w:eastAsia="仿宋_GB2312"/>
          <w:b w:val="0"/>
          <w:sz w:val="32"/>
        </w:rPr>
        <w:t>15.社会保障和就业支出(类)抚恤(款)死亡抚恤(项):支出决算数为0.00万元，比上年决算减少54.62万元，下降100.00%,主要原因是：本年度无人员去世，导致殡葬支出减少。</w:t>
      </w:r>
    </w:p>
    <w:p w14:paraId="505799E9">
      <w:pPr>
        <w:spacing w:line="580" w:lineRule="exact"/>
        <w:ind w:firstLine="640"/>
        <w:jc w:val="both"/>
      </w:pPr>
      <w:r>
        <w:rPr>
          <w:rFonts w:ascii="仿宋_GB2312" w:hAnsi="仿宋_GB2312" w:eastAsia="仿宋_GB2312"/>
          <w:b w:val="0"/>
          <w:sz w:val="32"/>
        </w:rPr>
        <w:t>16.卫生健康支出(类)行政事业单位医疗(款)行政单位医疗(项):支出决算数为35.52万元，比上年决算减少40.11万元，下降53.03%,主要原因是：本年因退休人员医疗保险制度改革，退休人员基本医疗不再由单位缴纳，导致经费较上年减少。</w:t>
      </w:r>
    </w:p>
    <w:p w14:paraId="3097497D">
      <w:pPr>
        <w:spacing w:line="580" w:lineRule="exact"/>
        <w:ind w:firstLine="640"/>
        <w:jc w:val="both"/>
      </w:pPr>
      <w:r>
        <w:rPr>
          <w:rFonts w:ascii="仿宋_GB2312" w:hAnsi="仿宋_GB2312" w:eastAsia="仿宋_GB2312"/>
          <w:b w:val="0"/>
          <w:sz w:val="32"/>
        </w:rPr>
        <w:t>17.卫生健康支出(类)行政事业单位医疗(款)公务员医疗补助(项):支出决算数为10.11万元，比上年决算减少6.15万元，下降37.82%,主要原因是：本年因退休人员医疗保险制度改革，退休人员公务员医疗补助不再由单位缴纳，导致经费较上年减少。</w:t>
      </w:r>
    </w:p>
    <w:p w14:paraId="6AF21FC0">
      <w:pPr>
        <w:spacing w:line="580" w:lineRule="exact"/>
        <w:ind w:firstLine="640"/>
        <w:jc w:val="both"/>
      </w:pPr>
      <w:r>
        <w:rPr>
          <w:rFonts w:ascii="仿宋_GB2312" w:hAnsi="仿宋_GB2312" w:eastAsia="仿宋_GB2312"/>
          <w:b w:val="0"/>
          <w:sz w:val="32"/>
        </w:rPr>
        <w:t>18.农林水支出(类)农业农村(款)事业运行(项):支出决算数为356.73万元，比上年决算减少10.50万元，下降2.86%,主要原因是：上年存在事业人员补发工资，本年减少此项经费。</w:t>
      </w:r>
    </w:p>
    <w:p w14:paraId="7F6F904E">
      <w:pPr>
        <w:spacing w:line="580" w:lineRule="exact"/>
        <w:ind w:firstLine="640"/>
        <w:jc w:val="both"/>
      </w:pPr>
      <w:r>
        <w:rPr>
          <w:rFonts w:ascii="仿宋_GB2312" w:hAnsi="仿宋_GB2312" w:eastAsia="仿宋_GB2312"/>
          <w:b w:val="0"/>
          <w:sz w:val="32"/>
        </w:rPr>
        <w:t>19.农林水支出(类)林业和草原(款)森林资源培育(项):支出决算数为0.00万元，比上年决算减少97.65万元，下降100.00%,主要原因是：本年减少中央财政林业草原生态保护恢复资金森林资源培育补助项目，导致经费较上年减少。</w:t>
      </w:r>
    </w:p>
    <w:p w14:paraId="5E0316A8">
      <w:pPr>
        <w:spacing w:line="580" w:lineRule="exact"/>
        <w:ind w:firstLine="640"/>
        <w:jc w:val="both"/>
      </w:pPr>
      <w:r>
        <w:rPr>
          <w:rFonts w:ascii="仿宋_GB2312" w:hAnsi="仿宋_GB2312" w:eastAsia="仿宋_GB2312"/>
          <w:b w:val="0"/>
          <w:sz w:val="32"/>
        </w:rPr>
        <w:t>20.农林水支出(类)水利(款)农村水利(项):支出决算数为82.67万元，比上年决算增加82.67万元，增长100.00%,主要原因是：本年增加灌溉水费、水表安装资金，导致经费较上年增加。</w:t>
      </w:r>
    </w:p>
    <w:p w14:paraId="2A74D5FF">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21.农林水支出(类)巩固脱贫攻坚成果衔接乡村振兴(款)农村基础设施建设(项):支出决算数为767.32万元，比上年决算增加767.32万元，增长100.00%,主要原因是：本年增加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塔吉克阿巴提镇安置点防渗渠提升改造2024年以工代赈项目，导致经费较上年增加。</w:t>
      </w:r>
    </w:p>
    <w:p w14:paraId="14CD74B8">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384.59万元，比上年决算减少1,472.16万元，下降79.29%,主要原因是：本年减少塔吉克阿巴提镇安全饮水巩固提升项目、塔吉克阿巴提镇安置点防渗渠提升改造2024年以工代赈项目支出。</w:t>
      </w:r>
    </w:p>
    <w:p w14:paraId="294758BD">
      <w:pPr>
        <w:spacing w:line="580" w:lineRule="exact"/>
        <w:ind w:firstLine="640"/>
        <w:jc w:val="both"/>
      </w:pPr>
      <w:r>
        <w:rPr>
          <w:rFonts w:ascii="仿宋_GB2312" w:hAnsi="仿宋_GB2312" w:eastAsia="仿宋_GB2312"/>
          <w:b w:val="0"/>
          <w:sz w:val="32"/>
        </w:rPr>
        <w:t>23.农林水支出(类)农村综合改革(款)对村民委员会和村党支部的补助(项):支出决算数为0.00万元，比上年决算减少11.65万元，下降100.00%,主要原因是：本年减少各村村委会维修项目。</w:t>
      </w:r>
    </w:p>
    <w:p w14:paraId="2E933BF0">
      <w:pPr>
        <w:spacing w:line="580" w:lineRule="exact"/>
        <w:ind w:firstLine="640"/>
        <w:jc w:val="both"/>
      </w:pPr>
      <w:r>
        <w:rPr>
          <w:rFonts w:ascii="仿宋_GB2312" w:hAnsi="仿宋_GB2312" w:eastAsia="仿宋_GB2312"/>
          <w:b w:val="0"/>
          <w:sz w:val="32"/>
        </w:rPr>
        <w:t>24.农林水支出(类)其他农林水支出(款)其他农林水支出(项):支出决算数为126.97万元，比上年决算减少149.89万元，下降54.14%,主要原因是：本年减少土地承包费用于购买禽畜项目，复垦地平整项目。</w:t>
      </w:r>
    </w:p>
    <w:p w14:paraId="507DC7A1">
      <w:pPr>
        <w:spacing w:line="580" w:lineRule="exact"/>
        <w:ind w:firstLine="640"/>
        <w:jc w:val="both"/>
      </w:pPr>
      <w:r>
        <w:rPr>
          <w:rFonts w:ascii="仿宋_GB2312" w:hAnsi="仿宋_GB2312" w:eastAsia="仿宋_GB2312"/>
          <w:b w:val="0"/>
          <w:sz w:val="32"/>
        </w:rPr>
        <w:t>25.自然资源海洋气象等支出(类)自然资源事务(款)自然资源利用与保护(项):支出决算数为0.00万元，比上年决算减少2.41万元，下降100.00%,主要原因是：本年减少上级拨付森林资源培育补助项目资金（乡村绿化美化）。</w:t>
      </w:r>
    </w:p>
    <w:p w14:paraId="22CDFD73">
      <w:pPr>
        <w:spacing w:line="580" w:lineRule="exact"/>
        <w:ind w:firstLine="640"/>
        <w:jc w:val="both"/>
      </w:pPr>
      <w:r>
        <w:rPr>
          <w:rFonts w:ascii="仿宋_GB2312" w:hAnsi="仿宋_GB2312" w:eastAsia="仿宋_GB2312"/>
          <w:b w:val="0"/>
          <w:sz w:val="32"/>
        </w:rPr>
        <w:t>26.住房保障支出(类)住房改革支出(款)住房公积金(项):支出决算数为133.48万元，比上年决算增加13.08万元，增长10.86%,主要原因是：本年在职人员工资基数调增，公积金缴费基数上涨，相应支出增加。</w:t>
      </w:r>
    </w:p>
    <w:p w14:paraId="27BC7C05">
      <w:pPr>
        <w:spacing w:line="580" w:lineRule="exact"/>
        <w:ind w:firstLine="640"/>
        <w:jc w:val="both"/>
      </w:pPr>
      <w:r>
        <w:rPr>
          <w:rFonts w:ascii="仿宋_GB2312" w:hAnsi="仿宋_GB2312" w:eastAsia="仿宋_GB2312"/>
          <w:b w:val="0"/>
          <w:sz w:val="32"/>
        </w:rPr>
        <w:t>27.其他支出(类)其他支出(款)其他支出(项):支出决算数为40.63万元，比上年决算增加32.28万元，增长386.59%,主要原因是：本年增加各村四项活动经费、电费、活动费，导致经费较上年增加。</w:t>
      </w:r>
    </w:p>
    <w:p w14:paraId="0F3DF6E9">
      <w:pPr>
        <w:spacing w:line="640" w:lineRule="exact"/>
        <w:ind w:firstLine="640"/>
        <w:jc w:val="both"/>
        <w:outlineLvl w:val="2"/>
      </w:pPr>
      <w:r>
        <w:rPr>
          <w:rFonts w:ascii="黑体" w:hAnsi="黑体" w:eastAsia="黑体"/>
          <w:sz w:val="32"/>
        </w:rPr>
        <w:t>六、一般公共预算财政拨款基本支出决算情况说明</w:t>
      </w:r>
    </w:p>
    <w:p w14:paraId="09D9D362">
      <w:pPr>
        <w:spacing w:line="580" w:lineRule="exact"/>
        <w:ind w:firstLine="640"/>
        <w:jc w:val="both"/>
      </w:pPr>
      <w:r>
        <w:rPr>
          <w:rFonts w:ascii="仿宋_GB2312" w:hAnsi="仿宋_GB2312" w:eastAsia="仿宋_GB2312"/>
          <w:b w:val="0"/>
          <w:sz w:val="32"/>
        </w:rPr>
        <w:t>2024年度一般公共预算财政拨款基本支出1,807.20万元，其中：</w:t>
      </w:r>
      <w:r>
        <w:rPr>
          <w:rFonts w:ascii="仿宋_GB2312" w:hAnsi="仿宋_GB2312" w:eastAsia="仿宋_GB2312"/>
          <w:b/>
          <w:sz w:val="32"/>
        </w:rPr>
        <w:t>人员经费1,731.66万元，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1E9FD48E">
      <w:pPr>
        <w:spacing w:line="580" w:lineRule="exact"/>
        <w:ind w:firstLine="640"/>
        <w:jc w:val="both"/>
      </w:pPr>
      <w:r>
        <w:rPr>
          <w:rFonts w:ascii="仿宋_GB2312" w:hAnsi="仿宋_GB2312" w:eastAsia="仿宋_GB2312"/>
          <w:b/>
          <w:sz w:val="32"/>
        </w:rPr>
        <w:t>公用经费75.54万元，</w:t>
      </w:r>
      <w:r>
        <w:rPr>
          <w:rFonts w:ascii="仿宋_GB2312" w:hAnsi="仿宋_GB2312" w:eastAsia="仿宋_GB2312"/>
          <w:b w:val="0"/>
          <w:sz w:val="32"/>
        </w:rPr>
        <w:t>包括：办公费、水费、电费、取暖费、差旅费、公务用车运行维护费。</w:t>
      </w:r>
    </w:p>
    <w:p w14:paraId="34D9D32C">
      <w:pPr>
        <w:spacing w:line="640" w:lineRule="exact"/>
        <w:ind w:firstLine="640"/>
        <w:jc w:val="both"/>
        <w:outlineLvl w:val="2"/>
      </w:pPr>
      <w:r>
        <w:rPr>
          <w:rFonts w:ascii="黑体" w:hAnsi="黑体" w:eastAsia="黑体"/>
          <w:sz w:val="32"/>
        </w:rPr>
        <w:t>七、政府性基金预算财政拨款收入支出决算情况说明</w:t>
      </w:r>
    </w:p>
    <w:p w14:paraId="07DE96FC">
      <w:pPr>
        <w:spacing w:line="580" w:lineRule="exact"/>
        <w:ind w:firstLine="640"/>
        <w:jc w:val="both"/>
      </w:pPr>
      <w:r>
        <w:rPr>
          <w:rFonts w:ascii="仿宋_GB2312" w:hAnsi="仿宋_GB2312" w:eastAsia="仿宋_GB2312"/>
          <w:b/>
          <w:sz w:val="32"/>
        </w:rPr>
        <w:t>2024年度政府性基金预算财政拨款收入总计16.00万元，</w:t>
      </w:r>
      <w:r>
        <w:rPr>
          <w:rFonts w:ascii="仿宋_GB2312" w:hAnsi="仿宋_GB2312" w:eastAsia="仿宋_GB2312"/>
          <w:b w:val="0"/>
          <w:sz w:val="32"/>
        </w:rPr>
        <w:t>其中：年初结转和结余0.00万元，本年收入16.00万元。</w:t>
      </w:r>
      <w:r>
        <w:rPr>
          <w:rFonts w:ascii="仿宋_GB2312" w:hAnsi="仿宋_GB2312" w:eastAsia="仿宋_GB2312"/>
          <w:b/>
          <w:sz w:val="32"/>
        </w:rPr>
        <w:t>政府性基金预算财政拨款支出总计16.00万元，</w:t>
      </w:r>
      <w:r>
        <w:rPr>
          <w:rFonts w:ascii="仿宋_GB2312" w:hAnsi="仿宋_GB2312" w:eastAsia="仿宋_GB2312"/>
          <w:b w:val="0"/>
          <w:sz w:val="32"/>
        </w:rPr>
        <w:t>其中：年末结转和结余0.00万元，本年支出16.00万元。</w:t>
      </w:r>
    </w:p>
    <w:p w14:paraId="58F3B3E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增加16.00万元，增长100.00%，主要原因是：本年增加社会组织参与基层社会治理项目。</w:t>
      </w:r>
      <w:r>
        <w:rPr>
          <w:rFonts w:ascii="仿宋_GB2312" w:hAnsi="仿宋_GB2312" w:eastAsia="仿宋_GB2312"/>
          <w:b/>
          <w:sz w:val="32"/>
        </w:rPr>
        <w:t>与年初预算相比，</w:t>
      </w:r>
      <w:r>
        <w:rPr>
          <w:rFonts w:ascii="仿宋_GB2312" w:hAnsi="仿宋_GB2312" w:eastAsia="仿宋_GB2312"/>
          <w:b w:val="0"/>
          <w:sz w:val="32"/>
        </w:rPr>
        <w:t>年初预算数0.00万元，决算数16.00万元，预决算差异率100.00%，主要原因是：年中追加社会组织参与基层社会治理项目，导致预决算存在差异。</w:t>
      </w:r>
    </w:p>
    <w:p w14:paraId="5D77AD02">
      <w:pPr>
        <w:spacing w:line="580" w:lineRule="exact"/>
        <w:ind w:firstLine="640"/>
        <w:jc w:val="both"/>
      </w:pPr>
      <w:r>
        <w:rPr>
          <w:rFonts w:ascii="仿宋_GB2312" w:hAnsi="仿宋_GB2312" w:eastAsia="仿宋_GB2312"/>
          <w:b w:val="0"/>
          <w:sz w:val="32"/>
        </w:rPr>
        <w:t>政府性基金预算财政拨款支出16.00万元。</w:t>
      </w:r>
    </w:p>
    <w:p w14:paraId="4C778797">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1.其他支出(类)彩票公益金安排的支出(款)用于社会福利的彩票公益金支出(项):支出决算数为16.00万元，比上年决算增加16.00万元，增长100.00%,主要原因是：本年增加社会组织参与基层社会治理项目。</w:t>
      </w:r>
    </w:p>
    <w:p w14:paraId="167749E6">
      <w:pPr>
        <w:spacing w:line="640" w:lineRule="exact"/>
        <w:ind w:firstLine="640"/>
        <w:jc w:val="both"/>
        <w:outlineLvl w:val="2"/>
      </w:pPr>
      <w:r>
        <w:rPr>
          <w:rFonts w:ascii="黑体" w:hAnsi="黑体" w:eastAsia="黑体"/>
          <w:sz w:val="32"/>
        </w:rPr>
        <w:t>八、国有资本经营预算财政拨款收入支出决算情况说明</w:t>
      </w:r>
    </w:p>
    <w:p w14:paraId="6B37609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371B585">
      <w:pPr>
        <w:spacing w:line="640" w:lineRule="exact"/>
        <w:ind w:firstLine="640"/>
        <w:jc w:val="both"/>
        <w:outlineLvl w:val="2"/>
      </w:pPr>
      <w:r>
        <w:rPr>
          <w:rFonts w:ascii="黑体" w:hAnsi="黑体" w:eastAsia="黑体"/>
          <w:sz w:val="32"/>
        </w:rPr>
        <w:t>九、财政拨款“三公”经费支出决算情况说明</w:t>
      </w:r>
    </w:p>
    <w:p w14:paraId="615E1C14">
      <w:pPr>
        <w:spacing w:line="580" w:lineRule="exact"/>
        <w:ind w:firstLine="640"/>
        <w:jc w:val="both"/>
      </w:pPr>
      <w:r>
        <w:rPr>
          <w:rFonts w:ascii="仿宋_GB2312" w:hAnsi="仿宋_GB2312" w:eastAsia="仿宋_GB2312"/>
          <w:b/>
          <w:sz w:val="32"/>
        </w:rPr>
        <w:t>2024年度财政拨款“三公”经费支出14.40万元，</w:t>
      </w:r>
      <w:r>
        <w:rPr>
          <w:rFonts w:ascii="仿宋_GB2312" w:hAnsi="仿宋_GB2312" w:eastAsia="仿宋_GB2312"/>
          <w:b w:val="0"/>
          <w:sz w:val="32"/>
        </w:rPr>
        <w:t>比上年增加1.80万元，增长14.29%，主要原因是：本年车辆使用</w:t>
      </w:r>
      <w:r>
        <w:rPr>
          <w:rFonts w:hint="eastAsia" w:ascii="仿宋_GB2312" w:hAnsi="仿宋_GB2312" w:eastAsia="仿宋_GB2312"/>
          <w:b w:val="0"/>
          <w:sz w:val="32"/>
          <w:lang w:val="en-US" w:eastAsia="zh-CN"/>
        </w:rPr>
        <w:t>频次</w:t>
      </w:r>
      <w:r>
        <w:rPr>
          <w:rFonts w:ascii="仿宋_GB2312" w:hAnsi="仿宋_GB2312" w:eastAsia="仿宋_GB2312"/>
          <w:b w:val="0"/>
          <w:sz w:val="32"/>
        </w:rPr>
        <w:t>增加，车辆老化，导致燃油费，维修维护费等增加。其中：因公出国（境）费支出0.00万元，占0.00%，比上年增加0.00万元，增长0.00%，主要原因是：2023年与2024年均未安排因公出国（境）费支出。公务用车购置及运行维护费支出14.40万元，占100.00%，比上年增加1.80万元，增长14.29%，主要原因是：本年车辆使用</w:t>
      </w:r>
      <w:r>
        <w:rPr>
          <w:rFonts w:hint="eastAsia" w:ascii="仿宋_GB2312" w:hAnsi="仿宋_GB2312" w:eastAsia="仿宋_GB2312"/>
          <w:b w:val="0"/>
          <w:sz w:val="32"/>
          <w:lang w:val="en-US" w:eastAsia="zh-CN"/>
        </w:rPr>
        <w:t>频次</w:t>
      </w:r>
      <w:r>
        <w:rPr>
          <w:rFonts w:ascii="仿宋_GB2312" w:hAnsi="仿宋_GB2312" w:eastAsia="仿宋_GB2312"/>
          <w:b w:val="0"/>
          <w:sz w:val="32"/>
        </w:rPr>
        <w:t>增加，车辆老化，导致燃油费，维修维护费等增加。公务接待费支出0.00万元，占0.00%，比上年增加0.00万元，增长0.00%，主要原因是：2023年与2024年均未安排公务接待费支出。</w:t>
      </w:r>
    </w:p>
    <w:p w14:paraId="7EA46534">
      <w:pPr>
        <w:spacing w:line="580" w:lineRule="exact"/>
        <w:ind w:firstLine="640"/>
        <w:jc w:val="both"/>
      </w:pPr>
      <w:r>
        <w:rPr>
          <w:rFonts w:ascii="仿宋_GB2312" w:hAnsi="仿宋_GB2312" w:eastAsia="仿宋_GB2312"/>
          <w:b/>
          <w:sz w:val="32"/>
        </w:rPr>
        <w:t>具体情况如下：</w:t>
      </w:r>
    </w:p>
    <w:p w14:paraId="39F89D6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5ABF67">
      <w:pPr>
        <w:spacing w:line="580" w:lineRule="exact"/>
        <w:ind w:firstLine="640"/>
        <w:jc w:val="both"/>
      </w:pPr>
      <w:r>
        <w:rPr>
          <w:rFonts w:ascii="仿宋_GB2312" w:hAnsi="仿宋_GB2312" w:eastAsia="仿宋_GB2312"/>
          <w:b w:val="0"/>
          <w:sz w:val="32"/>
        </w:rPr>
        <w:t>公务用车购置及运行维护费14.40万元，其中：公务用车购置费0.00万元，公务用车运行维护费14.40万元。公务用车运行维护费开支内容包括车辆保险费，维修维护费，燃油费等。公务用车购置数0辆，公务用车保有量2辆。国有资产占用情况中固定资产车辆2辆，与公务用车保有量差异原因是：本单位固定资产车辆与公务用车保有量一致无差异。</w:t>
      </w:r>
    </w:p>
    <w:p w14:paraId="473A99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A6DCF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14.40万元，决算数14.40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34C0F7D1">
      <w:pPr>
        <w:spacing w:line="640" w:lineRule="exact"/>
        <w:ind w:firstLine="640"/>
        <w:jc w:val="both"/>
        <w:outlineLvl w:val="2"/>
      </w:pPr>
      <w:r>
        <w:rPr>
          <w:rFonts w:ascii="黑体" w:hAnsi="黑体" w:eastAsia="黑体"/>
          <w:sz w:val="32"/>
        </w:rPr>
        <w:t>十、其他重要事项的情况说明</w:t>
      </w:r>
    </w:p>
    <w:p w14:paraId="4BCB5098">
      <w:pPr>
        <w:spacing w:line="640" w:lineRule="exact"/>
        <w:ind w:firstLine="640"/>
        <w:jc w:val="both"/>
        <w:outlineLvl w:val="3"/>
      </w:pPr>
      <w:r>
        <w:rPr>
          <w:rFonts w:ascii="楷体_GB2312" w:hAnsi="楷体_GB2312" w:eastAsia="楷体_GB2312"/>
          <w:b/>
          <w:sz w:val="32"/>
        </w:rPr>
        <w:t>（一）机关运行经费及公用经费支出情况</w:t>
      </w:r>
    </w:p>
    <w:p w14:paraId="56154AED">
      <w:pPr>
        <w:spacing w:line="580" w:lineRule="exact"/>
        <w:ind w:firstLine="640"/>
        <w:jc w:val="both"/>
      </w:pPr>
      <w:r>
        <w:rPr>
          <w:rFonts w:ascii="仿宋_GB2312" w:hAnsi="仿宋_GB2312" w:eastAsia="仿宋_GB2312"/>
          <w:b w:val="0"/>
          <w:sz w:val="32"/>
        </w:rPr>
        <w:t>2024年度塔什库尔干塔吉克自治县塔吉克阿巴提镇人民政府（行政单位和参照公务员法管理事业单位）机关运行经费支出75.54万元，比上年增加4.20万元，增长5.89%，主要原因是：本年增加办公费水，电费，取暖费等公费支出，导致经费较上年增加。</w:t>
      </w:r>
    </w:p>
    <w:p w14:paraId="2A2E361B">
      <w:pPr>
        <w:spacing w:line="640" w:lineRule="exact"/>
        <w:ind w:firstLine="640"/>
        <w:jc w:val="both"/>
        <w:outlineLvl w:val="3"/>
      </w:pPr>
      <w:r>
        <w:rPr>
          <w:rFonts w:ascii="楷体_GB2312" w:hAnsi="楷体_GB2312" w:eastAsia="楷体_GB2312"/>
          <w:b/>
          <w:sz w:val="32"/>
        </w:rPr>
        <w:t>（二）政府采购情况</w:t>
      </w:r>
    </w:p>
    <w:p w14:paraId="1DD49926">
      <w:pPr>
        <w:spacing w:line="580" w:lineRule="exact"/>
        <w:ind w:firstLine="640"/>
        <w:jc w:val="both"/>
      </w:pPr>
      <w:r>
        <w:rPr>
          <w:rFonts w:ascii="仿宋_GB2312" w:hAnsi="仿宋_GB2312" w:eastAsia="仿宋_GB2312"/>
          <w:b w:val="0"/>
          <w:sz w:val="32"/>
        </w:rPr>
        <w:t>2024年度政府采购支出总额85.39万元，其中：政府采购货物支出72.50万元、政府采购工程支出0.00万元、政府采购服务支出12.88万元。</w:t>
      </w:r>
    </w:p>
    <w:p w14:paraId="2036CD64">
      <w:pPr>
        <w:spacing w:line="580" w:lineRule="exact"/>
        <w:ind w:firstLine="640"/>
        <w:jc w:val="both"/>
      </w:pPr>
      <w:r>
        <w:rPr>
          <w:rFonts w:ascii="仿宋_GB2312" w:hAnsi="仿宋_GB2312" w:eastAsia="仿宋_GB2312"/>
          <w:b w:val="0"/>
          <w:sz w:val="32"/>
        </w:rPr>
        <w:t>授予中小企业合同金额84.81万元，占政府采购支出总额的99.32%，其中：授予小微企业合同金额84.55万元，占政府采购支出总额的99.02%。</w:t>
      </w:r>
    </w:p>
    <w:p w14:paraId="00CF7BC4">
      <w:pPr>
        <w:spacing w:line="640" w:lineRule="exact"/>
        <w:ind w:firstLine="640"/>
        <w:jc w:val="both"/>
        <w:outlineLvl w:val="3"/>
      </w:pPr>
      <w:r>
        <w:rPr>
          <w:rFonts w:ascii="楷体_GB2312" w:hAnsi="楷体_GB2312" w:eastAsia="楷体_GB2312"/>
          <w:b/>
          <w:sz w:val="32"/>
        </w:rPr>
        <w:t>（三）国有资产占用情况说明</w:t>
      </w:r>
    </w:p>
    <w:p w14:paraId="23E84A2E">
      <w:pPr>
        <w:spacing w:line="580" w:lineRule="exact"/>
        <w:ind w:firstLine="640"/>
        <w:jc w:val="both"/>
      </w:pPr>
      <w:r>
        <w:rPr>
          <w:rFonts w:ascii="仿宋_GB2312" w:hAnsi="仿宋_GB2312" w:eastAsia="仿宋_GB2312"/>
          <w:b w:val="0"/>
          <w:sz w:val="32"/>
        </w:rPr>
        <w:t>截至2024年12月31日，房屋8,188.67平方米，价值1,213.89万元。车辆2辆，价值23.50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BB61237">
      <w:pPr>
        <w:spacing w:line="640" w:lineRule="exact"/>
        <w:ind w:firstLine="640"/>
        <w:jc w:val="both"/>
        <w:outlineLvl w:val="2"/>
      </w:pPr>
      <w:r>
        <w:rPr>
          <w:rFonts w:ascii="黑体" w:hAnsi="黑体" w:eastAsia="黑体"/>
          <w:sz w:val="32"/>
        </w:rPr>
        <w:t>十一、预算绩效的情况说明</w:t>
      </w:r>
    </w:p>
    <w:p w14:paraId="2125A88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3,415.51万元，实际执行总额3,384.83万元；预算绩效评价项目6个，全年预算数964.83万元，全年执行数934.15万元。预算绩效管理取得的成效：一是预算绩效管理制度逐步建立，组织机构不断健全，增强了预算绩效管理的工作保障;二是绩效目标管理日益加强，绩效评价范围不断扩大，促进了财政资金使用效益的提高;三是绩效评价结果探索应用，增强了结果导向的管理理念和部门支出责任意识;四是全过程预算绩效管理框架逐渐清晰，中央地方协同推进的工作格局初步形成，推动了预算绩效管理工作的有序开展。组织预算部门编报项目预算时同步编报项目绩效目标表，加强对绩效目标编制质量的审核，提高绩效目标与项目预算的匹配性。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669F4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6222AA">
        <w:tblPrEx>
          <w:tblCellMar>
            <w:top w:w="0" w:type="dxa"/>
            <w:left w:w="108" w:type="dxa"/>
            <w:bottom w:w="0" w:type="dxa"/>
            <w:right w:w="108" w:type="dxa"/>
          </w:tblCellMar>
        </w:tblPrEx>
        <w:tc>
          <w:tcPr>
            <w:tcW w:w="8847" w:type="dxa"/>
            <w:gridSpan w:val="9"/>
            <w:vAlign w:val="center"/>
          </w:tcPr>
          <w:p w14:paraId="2F4072DD">
            <w:pPr>
              <w:jc w:val="center"/>
            </w:pPr>
            <w:r>
              <w:rPr>
                <w:rFonts w:ascii="宋体" w:hAnsi="宋体" w:eastAsia="宋体"/>
                <w:sz w:val="24"/>
              </w:rPr>
              <w:t>单位整体支出绩效自评表</w:t>
            </w:r>
          </w:p>
        </w:tc>
      </w:tr>
      <w:tr w14:paraId="252BF431">
        <w:tblPrEx>
          <w:tblCellMar>
            <w:top w:w="0" w:type="dxa"/>
            <w:left w:w="108" w:type="dxa"/>
            <w:bottom w:w="0" w:type="dxa"/>
            <w:right w:w="108" w:type="dxa"/>
          </w:tblCellMar>
        </w:tblPrEx>
        <w:tc>
          <w:tcPr>
            <w:tcW w:w="8847" w:type="dxa"/>
            <w:gridSpan w:val="9"/>
            <w:vAlign w:val="center"/>
          </w:tcPr>
          <w:p w14:paraId="7186BBC2">
            <w:pPr>
              <w:jc w:val="center"/>
            </w:pPr>
            <w:r>
              <w:rPr>
                <w:rFonts w:ascii="宋体" w:hAnsi="宋体" w:eastAsia="宋体"/>
                <w:sz w:val="24"/>
              </w:rPr>
              <w:t>（2024年度）</w:t>
            </w:r>
          </w:p>
        </w:tc>
      </w:tr>
      <w:tr w14:paraId="30E3AA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05FB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6F5770">
            <w:pPr>
              <w:jc w:val="center"/>
            </w:pPr>
            <w:r>
              <w:rPr>
                <w:rFonts w:ascii="宋体" w:hAnsi="宋体" w:eastAsia="宋体"/>
                <w:sz w:val="16"/>
              </w:rPr>
              <w:t>塔什库尔干塔吉克自治县塔吉克阿巴提镇人民政府</w:t>
            </w:r>
          </w:p>
        </w:tc>
      </w:tr>
      <w:tr w14:paraId="6F0A5A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909A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350D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CF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DAB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072C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34D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7052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605D">
            <w:pPr>
              <w:jc w:val="center"/>
            </w:pPr>
            <w:r>
              <w:rPr>
                <w:rFonts w:ascii="宋体" w:hAnsi="宋体" w:eastAsia="宋体"/>
                <w:sz w:val="16"/>
              </w:rPr>
              <w:t>得分</w:t>
            </w:r>
          </w:p>
        </w:tc>
      </w:tr>
      <w:tr w14:paraId="636CB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CED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8E7B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EF63">
            <w:pPr>
              <w:jc w:val="center"/>
            </w:pPr>
            <w:r>
              <w:rPr>
                <w:rFonts w:ascii="宋体" w:hAnsi="宋体" w:eastAsia="宋体"/>
                <w:sz w:val="16"/>
              </w:rPr>
              <w:t>1,856.73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C270">
            <w:pPr>
              <w:jc w:val="center"/>
            </w:pPr>
            <w:r>
              <w:rPr>
                <w:rFonts w:ascii="宋体" w:hAnsi="宋体" w:eastAsia="宋体"/>
                <w:sz w:val="16"/>
              </w:rPr>
              <w:t>3,415.51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72770">
            <w:pPr>
              <w:jc w:val="center"/>
            </w:pPr>
            <w:r>
              <w:rPr>
                <w:rFonts w:ascii="宋体" w:hAnsi="宋体" w:eastAsia="宋体"/>
                <w:sz w:val="16"/>
              </w:rPr>
              <w:t>3,384.83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01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97A83">
            <w:pPr>
              <w:jc w:val="center"/>
            </w:pPr>
            <w:r>
              <w:rPr>
                <w:rFonts w:ascii="宋体" w:hAnsi="宋体" w:eastAsia="宋体"/>
                <w:sz w:val="16"/>
              </w:rPr>
              <w:t>99.10%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7E5A">
            <w:pPr>
              <w:jc w:val="center"/>
            </w:pPr>
            <w:r>
              <w:rPr>
                <w:rFonts w:ascii="宋体" w:hAnsi="宋体" w:eastAsia="宋体"/>
                <w:sz w:val="16"/>
              </w:rPr>
              <w:t>9.91</w:t>
            </w:r>
          </w:p>
        </w:tc>
      </w:tr>
      <w:tr w14:paraId="265B5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1FB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61A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44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5232">
            <w:pPr>
              <w:jc w:val="center"/>
            </w:pPr>
            <w:r>
              <w:rPr>
                <w:rFonts w:ascii="宋体" w:hAnsi="宋体" w:eastAsia="宋体"/>
                <w:sz w:val="16"/>
              </w:rPr>
              <w:t>1,875.29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3741E">
            <w:pPr>
              <w:jc w:val="center"/>
            </w:pPr>
            <w:r>
              <w:rPr>
                <w:rFonts w:ascii="宋体" w:hAnsi="宋体" w:eastAsia="宋体"/>
                <w:sz w:val="16"/>
              </w:rPr>
              <w:t>1,844.61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94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DE8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581D">
            <w:pPr>
              <w:jc w:val="center"/>
            </w:pPr>
            <w:r>
              <w:rPr>
                <w:rFonts w:ascii="宋体" w:hAnsi="宋体" w:eastAsia="宋体"/>
                <w:sz w:val="16"/>
              </w:rPr>
              <w:t>—</w:t>
            </w:r>
          </w:p>
        </w:tc>
      </w:tr>
      <w:tr w14:paraId="5FD52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06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4342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ED97">
            <w:pPr>
              <w:jc w:val="center"/>
            </w:pPr>
            <w:r>
              <w:rPr>
                <w:rFonts w:ascii="宋体" w:hAnsi="宋体" w:eastAsia="宋体"/>
                <w:sz w:val="16"/>
              </w:rPr>
              <w:t>1,856.73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AF73">
            <w:pPr>
              <w:jc w:val="center"/>
            </w:pPr>
            <w:r>
              <w:rPr>
                <w:rFonts w:ascii="宋体" w:hAnsi="宋体" w:eastAsia="宋体"/>
                <w:sz w:val="16"/>
              </w:rPr>
              <w:t>1,430.44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2F71A">
            <w:pPr>
              <w:jc w:val="center"/>
            </w:pPr>
            <w:r>
              <w:rPr>
                <w:rFonts w:ascii="宋体" w:hAnsi="宋体" w:eastAsia="宋体"/>
                <w:sz w:val="16"/>
              </w:rPr>
              <w:t>1,430.44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278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80C0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2291">
            <w:pPr>
              <w:jc w:val="center"/>
            </w:pPr>
            <w:r>
              <w:rPr>
                <w:rFonts w:ascii="宋体" w:hAnsi="宋体" w:eastAsia="宋体"/>
                <w:sz w:val="16"/>
              </w:rPr>
              <w:t>—</w:t>
            </w:r>
          </w:p>
        </w:tc>
      </w:tr>
      <w:tr w14:paraId="6D969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E32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9C0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E4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6615F">
            <w:pPr>
              <w:jc w:val="center"/>
            </w:pPr>
            <w:r>
              <w:rPr>
                <w:rFonts w:ascii="宋体" w:hAnsi="宋体" w:eastAsia="宋体"/>
                <w:sz w:val="16"/>
              </w:rPr>
              <w:t>109.78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3647">
            <w:pPr>
              <w:jc w:val="center"/>
            </w:pPr>
            <w:r>
              <w:rPr>
                <w:rFonts w:ascii="宋体" w:hAnsi="宋体" w:eastAsia="宋体"/>
                <w:sz w:val="16"/>
              </w:rPr>
              <w:t>109.78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8FC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5A2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5C93">
            <w:pPr>
              <w:jc w:val="center"/>
            </w:pPr>
            <w:r>
              <w:rPr>
                <w:rFonts w:ascii="宋体" w:hAnsi="宋体" w:eastAsia="宋体"/>
                <w:sz w:val="16"/>
              </w:rPr>
              <w:t>—</w:t>
            </w:r>
          </w:p>
        </w:tc>
      </w:tr>
      <w:tr w14:paraId="0471CA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CD1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6AA0E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3DE553">
            <w:pPr>
              <w:jc w:val="center"/>
            </w:pPr>
            <w:r>
              <w:rPr>
                <w:rFonts w:ascii="宋体" w:hAnsi="宋体" w:eastAsia="宋体"/>
                <w:sz w:val="16"/>
              </w:rPr>
              <w:t>实际完成目标</w:t>
            </w:r>
          </w:p>
        </w:tc>
      </w:tr>
      <w:tr w14:paraId="385882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37A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27CCD">
            <w:pPr>
              <w:jc w:val="both"/>
            </w:pPr>
            <w:r>
              <w:rPr>
                <w:rFonts w:ascii="宋体" w:hAnsi="宋体" w:eastAsia="宋体"/>
                <w:sz w:val="16"/>
              </w:rPr>
              <w:t>2024年，塔吉克阿巴提镇将始终坚持以习近平新时代中国特色社会主义思想为指导，深入贯彻落实党的二十大精神和贯彻落实习近平总书记视察新疆重要讲话重要指示精神特别是习近平总书记在听取自治区和兵团工作汇报时的重要讲话精神，贯彻落实第三次中央新疆工作座谈会精神，完整准确贯彻新时代党的治疆方略，贯彻落实自治区党委十届历次全会精神和地委、县委扩大会议精神，按照县委的安排部署，动员全镇上下牢牢扭住总目标，运用法治思维引领改革发展稳定各项工作。根据自治区党委、地委、县委部署要求，结合塔吉克阿巴提镇工作实际，镇党委确定今年经济社会发展主要预期目标是：全镇人均纯收入增长2.4万元，增长10%以上。完成以上目标，推动高质量发展，要突出重点、把握关键，着力推进以下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541A1">
            <w:pPr>
              <w:jc w:val="both"/>
            </w:pPr>
            <w:r>
              <w:rPr>
                <w:rFonts w:ascii="宋体" w:hAnsi="宋体" w:eastAsia="宋体"/>
                <w:sz w:val="16"/>
              </w:rPr>
              <w:t>2024年，塔吉克阿巴提镇将始终坚持以习近平新时代中国特色社会主义思想为指导，深入贯彻落实党的二十大精神和贯彻落实习近平总书记视察新疆重要讲话重要指示精神特别是习近平总书记在听取自治区和兵团工作汇报时的重要讲话精神，贯彻落实第三次中央新疆工作座谈会精神，完整准确贯彻新时代党的治疆方略，贯彻落实自治区党委十届历次全会精神和地委、县委扩大会议精神，按照县委的安排部署，动员全镇上下牢牢扭住总目标，运用法治思维引领改革发展稳定各项工作。2024年具体完成的重要工作有：建设饲草生产基地亩数达到了7900亩，新造林亩数达到了500亩，小拱棚和庭院蔬菜种植数量达到了349座，高标准农田建设面积达到了7000亩，林带管护亩数达到了4200亩。</w:t>
            </w:r>
          </w:p>
        </w:tc>
      </w:tr>
      <w:tr w14:paraId="0CF51D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4A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24F6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16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316D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771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4C9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1D4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792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CA3A">
            <w:pPr>
              <w:jc w:val="center"/>
            </w:pPr>
            <w:r>
              <w:rPr>
                <w:rFonts w:ascii="宋体" w:hAnsi="宋体" w:eastAsia="宋体"/>
                <w:sz w:val="16"/>
              </w:rPr>
              <w:t>得分</w:t>
            </w:r>
          </w:p>
        </w:tc>
      </w:tr>
      <w:tr w14:paraId="7D9A4B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6112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C19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CA4F">
            <w:pPr>
              <w:jc w:val="center"/>
            </w:pPr>
            <w:r>
              <w:rPr>
                <w:rFonts w:ascii="宋体" w:hAnsi="宋体" w:eastAsia="宋体"/>
                <w:sz w:val="16"/>
              </w:rPr>
              <w:t>饲草生产基地建设亩数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092F">
            <w:pPr>
              <w:jc w:val="center"/>
            </w:pPr>
            <w:r>
              <w:rPr>
                <w:rFonts w:ascii="宋体" w:hAnsi="宋体" w:eastAsia="宋体"/>
                <w:sz w:val="16"/>
              </w:rPr>
              <w:t>&gt;=7800亩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8DC0A">
            <w:pPr>
              <w:jc w:val="center"/>
            </w:pPr>
            <w:r>
              <w:rPr>
                <w:rFonts w:ascii="宋体" w:hAnsi="宋体" w:eastAsia="宋体"/>
                <w:sz w:val="16"/>
              </w:rPr>
              <w:t>2023年政府工作报告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328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27F85">
            <w:pPr>
              <w:jc w:val="center"/>
            </w:pPr>
            <w:r>
              <w:rPr>
                <w:rFonts w:ascii="宋体" w:hAnsi="宋体" w:eastAsia="宋体"/>
                <w:sz w:val="16"/>
              </w:rPr>
              <w:t>7900亩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53BB0">
            <w:pPr>
              <w:jc w:val="center"/>
            </w:pPr>
            <w:r>
              <w:rPr>
                <w:rFonts w:ascii="宋体" w:hAnsi="宋体" w:eastAsia="宋体"/>
                <w:sz w:val="16"/>
              </w:rPr>
              <w:t>101.28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AB6A8">
            <w:pPr>
              <w:jc w:val="center"/>
            </w:pPr>
            <w:r>
              <w:rPr>
                <w:rFonts w:ascii="宋体" w:hAnsi="宋体" w:eastAsia="宋体"/>
                <w:sz w:val="16"/>
              </w:rPr>
              <w:t>20</w:t>
            </w:r>
          </w:p>
        </w:tc>
      </w:tr>
      <w:tr w14:paraId="16812A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83A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4F3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4B15A">
            <w:pPr>
              <w:jc w:val="center"/>
            </w:pPr>
            <w:r>
              <w:rPr>
                <w:rFonts w:ascii="宋体" w:hAnsi="宋体" w:eastAsia="宋体"/>
                <w:sz w:val="16"/>
              </w:rPr>
              <w:t>新造林亩数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4111">
            <w:pPr>
              <w:jc w:val="center"/>
            </w:pPr>
            <w:r>
              <w:rPr>
                <w:rFonts w:ascii="宋体" w:hAnsi="宋体" w:eastAsia="宋体"/>
                <w:sz w:val="16"/>
              </w:rPr>
              <w:t>&gt;=500亩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307F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DF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8209">
            <w:pPr>
              <w:jc w:val="center"/>
            </w:pPr>
            <w:r>
              <w:rPr>
                <w:rFonts w:ascii="宋体" w:hAnsi="宋体" w:eastAsia="宋体"/>
                <w:sz w:val="16"/>
              </w:rPr>
              <w:t>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261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9F85">
            <w:pPr>
              <w:jc w:val="center"/>
            </w:pPr>
            <w:r>
              <w:rPr>
                <w:rFonts w:ascii="宋体" w:hAnsi="宋体" w:eastAsia="宋体"/>
                <w:sz w:val="16"/>
              </w:rPr>
              <w:t>20</w:t>
            </w:r>
          </w:p>
        </w:tc>
      </w:tr>
      <w:tr w14:paraId="21978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431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9C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4BF43">
            <w:pPr>
              <w:jc w:val="center"/>
            </w:pPr>
            <w:r>
              <w:rPr>
                <w:rFonts w:ascii="宋体" w:hAnsi="宋体" w:eastAsia="宋体"/>
                <w:sz w:val="16"/>
              </w:rPr>
              <w:t>小拱棚和庭院蔬菜种植数量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54DB5">
            <w:pPr>
              <w:jc w:val="center"/>
            </w:pPr>
            <w:r>
              <w:rPr>
                <w:rFonts w:ascii="宋体" w:hAnsi="宋体" w:eastAsia="宋体"/>
                <w:sz w:val="16"/>
              </w:rPr>
              <w:t>&gt;=350座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08E9E">
            <w:pPr>
              <w:jc w:val="center"/>
            </w:pPr>
            <w:r>
              <w:rPr>
                <w:rFonts w:ascii="宋体" w:hAnsi="宋体" w:eastAsia="宋体"/>
                <w:sz w:val="16"/>
              </w:rPr>
              <w:t>2023年政府工作报告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7EF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5756">
            <w:pPr>
              <w:jc w:val="center"/>
            </w:pPr>
            <w:r>
              <w:rPr>
                <w:rFonts w:ascii="宋体" w:hAnsi="宋体" w:eastAsia="宋体"/>
                <w:sz w:val="16"/>
              </w:rPr>
              <w:t>349座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909D">
            <w:pPr>
              <w:jc w:val="center"/>
            </w:pPr>
            <w:r>
              <w:rPr>
                <w:rFonts w:ascii="宋体" w:hAnsi="宋体" w:eastAsia="宋体"/>
                <w:sz w:val="16"/>
              </w:rPr>
              <w:t>99.71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7239">
            <w:pPr>
              <w:jc w:val="center"/>
            </w:pPr>
            <w:r>
              <w:rPr>
                <w:rFonts w:ascii="宋体" w:hAnsi="宋体" w:eastAsia="宋体"/>
                <w:sz w:val="16"/>
              </w:rPr>
              <w:t>19.94</w:t>
            </w:r>
          </w:p>
        </w:tc>
      </w:tr>
      <w:tr w14:paraId="7A6EE8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783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A6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48F6">
            <w:pPr>
              <w:jc w:val="center"/>
            </w:pPr>
            <w:r>
              <w:rPr>
                <w:rFonts w:ascii="宋体" w:hAnsi="宋体" w:eastAsia="宋体"/>
                <w:sz w:val="16"/>
              </w:rPr>
              <w:t>高标准农田建设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CD48">
            <w:pPr>
              <w:jc w:val="center"/>
            </w:pPr>
            <w:r>
              <w:rPr>
                <w:rFonts w:ascii="宋体" w:hAnsi="宋体" w:eastAsia="宋体"/>
                <w:sz w:val="16"/>
              </w:rPr>
              <w:t>&gt;=7000亩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EBA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51C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90BC">
            <w:pPr>
              <w:jc w:val="center"/>
            </w:pPr>
            <w:r>
              <w:rPr>
                <w:rFonts w:ascii="宋体" w:hAnsi="宋体" w:eastAsia="宋体"/>
                <w:sz w:val="16"/>
              </w:rPr>
              <w:t>7000亩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EB6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EB1AE">
            <w:pPr>
              <w:jc w:val="center"/>
            </w:pPr>
            <w:r>
              <w:rPr>
                <w:rFonts w:ascii="宋体" w:hAnsi="宋体" w:eastAsia="宋体"/>
                <w:sz w:val="16"/>
              </w:rPr>
              <w:t>20</w:t>
            </w:r>
          </w:p>
        </w:tc>
      </w:tr>
      <w:tr w14:paraId="73756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0AD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6F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7CF7">
            <w:pPr>
              <w:jc w:val="center"/>
            </w:pPr>
            <w:r>
              <w:rPr>
                <w:rFonts w:ascii="宋体" w:hAnsi="宋体" w:eastAsia="宋体"/>
                <w:sz w:val="16"/>
              </w:rPr>
              <w:t>林带管护亩数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51CA">
            <w:pPr>
              <w:jc w:val="center"/>
            </w:pPr>
            <w:r>
              <w:rPr>
                <w:rFonts w:ascii="宋体" w:hAnsi="宋体" w:eastAsia="宋体"/>
                <w:sz w:val="16"/>
              </w:rPr>
              <w:t>&gt;=4200亩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C24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53F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5876">
            <w:pPr>
              <w:jc w:val="center"/>
            </w:pPr>
            <w:r>
              <w:rPr>
                <w:rFonts w:ascii="宋体" w:hAnsi="宋体" w:eastAsia="宋体"/>
                <w:sz w:val="16"/>
              </w:rPr>
              <w:t>4200亩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F2B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8934">
            <w:pPr>
              <w:jc w:val="center"/>
            </w:pPr>
            <w:r>
              <w:rPr>
                <w:rFonts w:ascii="宋体" w:hAnsi="宋体" w:eastAsia="宋体"/>
                <w:sz w:val="16"/>
              </w:rPr>
              <w:t>10</w:t>
            </w:r>
          </w:p>
        </w:tc>
      </w:tr>
    </w:tbl>
    <w:p w14:paraId="3D7576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4696DCD">
        <w:tblPrEx>
          <w:tblCellMar>
            <w:top w:w="0" w:type="dxa"/>
            <w:left w:w="108" w:type="dxa"/>
            <w:bottom w:w="0" w:type="dxa"/>
            <w:right w:w="108" w:type="dxa"/>
          </w:tblCellMar>
        </w:tblPrEx>
        <w:tc>
          <w:tcPr>
            <w:tcW w:w="8848" w:type="dxa"/>
            <w:gridSpan w:val="14"/>
            <w:vAlign w:val="center"/>
          </w:tcPr>
          <w:p w14:paraId="17925057">
            <w:pPr>
              <w:jc w:val="center"/>
            </w:pPr>
            <w:r>
              <w:rPr>
                <w:rFonts w:ascii="宋体" w:hAnsi="宋体" w:eastAsia="宋体"/>
                <w:sz w:val="24"/>
              </w:rPr>
              <w:t>项目支出绩效自评表</w:t>
            </w:r>
          </w:p>
        </w:tc>
      </w:tr>
      <w:tr w14:paraId="59E2D831">
        <w:tblPrEx>
          <w:tblCellMar>
            <w:top w:w="0" w:type="dxa"/>
            <w:left w:w="108" w:type="dxa"/>
            <w:bottom w:w="0" w:type="dxa"/>
            <w:right w:w="108" w:type="dxa"/>
          </w:tblCellMar>
        </w:tblPrEx>
        <w:tc>
          <w:tcPr>
            <w:tcW w:w="8848" w:type="dxa"/>
            <w:gridSpan w:val="14"/>
            <w:vAlign w:val="center"/>
          </w:tcPr>
          <w:p w14:paraId="2370A79B">
            <w:pPr>
              <w:jc w:val="center"/>
            </w:pPr>
            <w:r>
              <w:rPr>
                <w:rFonts w:ascii="宋体" w:hAnsi="宋体" w:eastAsia="宋体"/>
                <w:sz w:val="24"/>
              </w:rPr>
              <w:t>(2024年度)</w:t>
            </w:r>
          </w:p>
        </w:tc>
      </w:tr>
      <w:tr w14:paraId="0227F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8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574137">
            <w:pPr>
              <w:jc w:val="center"/>
            </w:pPr>
            <w:r>
              <w:rPr>
                <w:rFonts w:ascii="宋体" w:hAnsi="宋体" w:eastAsia="宋体"/>
                <w:sz w:val="16"/>
              </w:rPr>
              <w:t>2024年县乡两级人大代表活动经费项目</w:t>
            </w:r>
          </w:p>
        </w:tc>
      </w:tr>
      <w:tr w14:paraId="33B615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22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B0A5A">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9B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865C1">
            <w:pPr>
              <w:jc w:val="center"/>
            </w:pPr>
            <w:r>
              <w:rPr>
                <w:rFonts w:ascii="宋体" w:hAnsi="宋体" w:eastAsia="宋体"/>
                <w:sz w:val="16"/>
              </w:rPr>
              <w:t>塔什库尔干塔吉克自治县塔吉克阿巴提镇人民政府</w:t>
            </w:r>
          </w:p>
        </w:tc>
      </w:tr>
      <w:tr w14:paraId="3002AD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9C6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C6B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1DE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95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38D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9E2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FC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261E">
            <w:pPr>
              <w:jc w:val="center"/>
            </w:pPr>
            <w:r>
              <w:rPr>
                <w:rFonts w:ascii="宋体" w:hAnsi="宋体" w:eastAsia="宋体"/>
                <w:sz w:val="16"/>
              </w:rPr>
              <w:t>得分</w:t>
            </w:r>
          </w:p>
        </w:tc>
      </w:tr>
      <w:tr w14:paraId="4DAB67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671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AF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5229">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B2360">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3EB8F">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A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49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BBED">
            <w:pPr>
              <w:jc w:val="center"/>
            </w:pPr>
            <w:r>
              <w:rPr>
                <w:rFonts w:ascii="宋体" w:hAnsi="宋体" w:eastAsia="宋体"/>
                <w:sz w:val="16"/>
              </w:rPr>
              <w:t>10.00分</w:t>
            </w:r>
          </w:p>
        </w:tc>
      </w:tr>
      <w:tr w14:paraId="03028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F8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BF8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D194">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E501">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96A6">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EB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A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FE82">
            <w:pPr>
              <w:jc w:val="center"/>
            </w:pPr>
            <w:r>
              <w:rPr>
                <w:rFonts w:ascii="宋体" w:hAnsi="宋体" w:eastAsia="宋体"/>
                <w:sz w:val="16"/>
              </w:rPr>
              <w:t>—</w:t>
            </w:r>
          </w:p>
        </w:tc>
      </w:tr>
      <w:tr w14:paraId="29F1C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F9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30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FF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F8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25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67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A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E7A4">
            <w:pPr>
              <w:jc w:val="center"/>
            </w:pPr>
            <w:r>
              <w:rPr>
                <w:rFonts w:ascii="宋体" w:hAnsi="宋体" w:eastAsia="宋体"/>
                <w:sz w:val="16"/>
              </w:rPr>
              <w:t>—</w:t>
            </w:r>
          </w:p>
        </w:tc>
      </w:tr>
      <w:tr w14:paraId="2058C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120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E31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F5999">
            <w:pPr>
              <w:jc w:val="center"/>
            </w:pPr>
            <w:r>
              <w:rPr>
                <w:rFonts w:ascii="宋体" w:hAnsi="宋体" w:eastAsia="宋体"/>
                <w:sz w:val="16"/>
              </w:rPr>
              <w:t>实际完成情况</w:t>
            </w:r>
          </w:p>
        </w:tc>
      </w:tr>
      <w:tr w14:paraId="12AD7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448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851A8">
            <w:pPr>
              <w:jc w:val="both"/>
            </w:pPr>
            <w:r>
              <w:rPr>
                <w:rFonts w:ascii="宋体" w:hAnsi="宋体" w:eastAsia="宋体"/>
                <w:sz w:val="16"/>
              </w:rPr>
              <w:t>塔吉克阿巴提镇代表活动经费项目共投资19035元，用于组织45名人大代表赴周边县市参观、参加乡村振兴示范村工作培训、参加集中学习培训活动等。该项目的实施能够健全乡镇人大代表联络农牧民群众服务体系，充分发挥人大代表监督和建言献策的作用，着力提高代表工作的积极性与主动性，丰富乡村宣传活动内容，为美丽乡村幸福家园建设，为社会和谐，事业发展作出积极的贡献，并做好信访、陪访工作，使受益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F3771">
            <w:pPr>
              <w:jc w:val="both"/>
            </w:pPr>
            <w:r>
              <w:rPr>
                <w:rFonts w:ascii="宋体" w:hAnsi="宋体" w:eastAsia="宋体"/>
                <w:sz w:val="16"/>
              </w:rPr>
              <w:t>塔吉克阿巴提镇代表活动经费项目共投资19035元，用于组织45名人大代表赴周边县市参观、参加乡村振兴示范村工作培训、参加集中学习培训活动等。该项目的实施能够健全乡镇人大代表联络农牧民群众服务体系，充分发挥人大代表监督和建言献策的作用，着力提高代表工作的积极性与主动性，丰富乡村宣传活动内容，为美丽乡村幸福家园建设，为社会和谐，事业发展作出积极的贡献，并做好信访、陪访工作，使受益人大代表满意度达到100%</w:t>
            </w:r>
          </w:p>
        </w:tc>
      </w:tr>
      <w:tr w14:paraId="3EE435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961C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4B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E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4D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D1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DA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30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A0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63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89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7D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C7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6F1B3">
            <w:pPr>
              <w:jc w:val="center"/>
            </w:pPr>
            <w:r>
              <w:rPr>
                <w:rFonts w:ascii="宋体" w:hAnsi="宋体" w:eastAsia="宋体"/>
                <w:sz w:val="16"/>
              </w:rPr>
              <w:t>偏差原因分析及改进措施</w:t>
            </w:r>
          </w:p>
        </w:tc>
      </w:tr>
      <w:tr w14:paraId="258D2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F3C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60F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E5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E322">
            <w:pPr>
              <w:jc w:val="center"/>
            </w:pPr>
            <w:r>
              <w:rPr>
                <w:rFonts w:ascii="宋体" w:hAnsi="宋体" w:eastAsia="宋体"/>
                <w:sz w:val="16"/>
              </w:rPr>
              <w:t>保障人大代表人数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D1FC">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D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D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6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C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4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CC94">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10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C0DC">
            <w:pPr>
              <w:jc w:val="center"/>
            </w:pPr>
          </w:p>
        </w:tc>
      </w:tr>
      <w:tr w14:paraId="039F1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23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39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6A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4FE4">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E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D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0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3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1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6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A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7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4A48">
            <w:pPr>
              <w:jc w:val="center"/>
            </w:pPr>
          </w:p>
        </w:tc>
      </w:tr>
      <w:tr w14:paraId="72870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64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EC0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B69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BE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8F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2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30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F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94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1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E2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DC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29CF">
            <w:pPr>
              <w:jc w:val="center"/>
            </w:pPr>
          </w:p>
        </w:tc>
      </w:tr>
      <w:tr w14:paraId="226C5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A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6B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9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01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A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5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B1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1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8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0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5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8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34D12">
            <w:pPr>
              <w:jc w:val="center"/>
            </w:pPr>
          </w:p>
        </w:tc>
      </w:tr>
      <w:tr w14:paraId="2F945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0D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EB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2B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2AE6">
            <w:pPr>
              <w:jc w:val="center"/>
            </w:pPr>
            <w:r>
              <w:rPr>
                <w:rFonts w:ascii="宋体" w:hAnsi="宋体" w:eastAsia="宋体"/>
                <w:sz w:val="16"/>
              </w:rPr>
              <w:t>人大代表活动成本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9C25">
            <w:pPr>
              <w:jc w:val="center"/>
            </w:pPr>
            <w:r>
              <w:rPr>
                <w:rFonts w:ascii="宋体" w:hAnsi="宋体" w:eastAsia="宋体"/>
                <w:sz w:val="16"/>
              </w:rPr>
              <w:t>&lt;=19035元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D9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16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7C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4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9C42">
            <w:pPr>
              <w:jc w:val="center"/>
            </w:pPr>
            <w:r>
              <w:rPr>
                <w:rFonts w:ascii="宋体" w:hAnsi="宋体" w:eastAsia="宋体"/>
                <w:sz w:val="16"/>
              </w:rPr>
              <w:t>=19035元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C9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38FA8">
            <w:pPr>
              <w:jc w:val="center"/>
            </w:pPr>
          </w:p>
        </w:tc>
      </w:tr>
      <w:tr w14:paraId="2413B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E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BE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90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DFA4">
            <w:pPr>
              <w:jc w:val="center"/>
            </w:pPr>
            <w:r>
              <w:rPr>
                <w:rFonts w:ascii="宋体" w:hAnsi="宋体" w:eastAsia="宋体"/>
                <w:sz w:val="16"/>
              </w:rPr>
              <w:t>着力提高代表工作的积极性与主动性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28E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B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A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CB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4C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1B3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ECC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9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BDEAF">
            <w:pPr>
              <w:jc w:val="center"/>
            </w:pPr>
          </w:p>
        </w:tc>
      </w:tr>
      <w:tr w14:paraId="27E8B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2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F4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BC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ACBD">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BA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1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2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F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40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83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A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D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36296">
            <w:pPr>
              <w:jc w:val="center"/>
            </w:pPr>
            <w:r>
              <w:rPr>
                <w:rFonts w:ascii="宋体" w:hAnsi="宋体" w:eastAsia="宋体"/>
                <w:sz w:val="16"/>
              </w:rPr>
              <w:t>项目完成情况较好，实际人大代表满意度较高，所以指标出现正偏差</w:t>
            </w:r>
          </w:p>
        </w:tc>
      </w:tr>
      <w:tr w14:paraId="6CB7A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C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29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3C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847F35">
            <w:pPr>
              <w:jc w:val="center"/>
            </w:pPr>
            <w:r>
              <w:rPr>
                <w:rFonts w:ascii="宋体" w:hAnsi="宋体" w:eastAsia="宋体"/>
                <w:sz w:val="16"/>
              </w:rPr>
              <w:t>100分</w:t>
            </w:r>
          </w:p>
        </w:tc>
      </w:tr>
    </w:tbl>
    <w:p w14:paraId="4CF508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91C613B">
        <w:tblPrEx>
          <w:tblCellMar>
            <w:top w:w="0" w:type="dxa"/>
            <w:left w:w="108" w:type="dxa"/>
            <w:bottom w:w="0" w:type="dxa"/>
            <w:right w:w="108" w:type="dxa"/>
          </w:tblCellMar>
        </w:tblPrEx>
        <w:tc>
          <w:tcPr>
            <w:tcW w:w="8848" w:type="dxa"/>
            <w:gridSpan w:val="14"/>
            <w:vAlign w:val="center"/>
          </w:tcPr>
          <w:p w14:paraId="09948EE4">
            <w:pPr>
              <w:jc w:val="center"/>
            </w:pPr>
            <w:r>
              <w:rPr>
                <w:rFonts w:ascii="宋体" w:hAnsi="宋体" w:eastAsia="宋体"/>
                <w:sz w:val="24"/>
              </w:rPr>
              <w:t>项目支出绩效自评表</w:t>
            </w:r>
          </w:p>
        </w:tc>
      </w:tr>
      <w:tr w14:paraId="101C866C">
        <w:tblPrEx>
          <w:tblCellMar>
            <w:top w:w="0" w:type="dxa"/>
            <w:left w:w="108" w:type="dxa"/>
            <w:bottom w:w="0" w:type="dxa"/>
            <w:right w:w="108" w:type="dxa"/>
          </w:tblCellMar>
        </w:tblPrEx>
        <w:tc>
          <w:tcPr>
            <w:tcW w:w="8848" w:type="dxa"/>
            <w:gridSpan w:val="14"/>
            <w:vAlign w:val="center"/>
          </w:tcPr>
          <w:p w14:paraId="7A6C07CE">
            <w:pPr>
              <w:jc w:val="center"/>
            </w:pPr>
            <w:r>
              <w:rPr>
                <w:rFonts w:ascii="宋体" w:hAnsi="宋体" w:eastAsia="宋体"/>
                <w:sz w:val="24"/>
              </w:rPr>
              <w:t>(2024年度)</w:t>
            </w:r>
          </w:p>
        </w:tc>
      </w:tr>
      <w:tr w14:paraId="7D9E4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9F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DBFB33">
            <w:pPr>
              <w:jc w:val="center"/>
            </w:pPr>
            <w:r>
              <w:rPr>
                <w:rFonts w:ascii="宋体" w:hAnsi="宋体" w:eastAsia="宋体"/>
                <w:sz w:val="16"/>
              </w:rPr>
              <w:t>2024年文化站经费项目</w:t>
            </w:r>
          </w:p>
        </w:tc>
      </w:tr>
      <w:tr w14:paraId="6188F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49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10260">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68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12A89">
            <w:pPr>
              <w:jc w:val="center"/>
            </w:pPr>
            <w:r>
              <w:rPr>
                <w:rFonts w:ascii="宋体" w:hAnsi="宋体" w:eastAsia="宋体"/>
                <w:sz w:val="16"/>
              </w:rPr>
              <w:t>塔什库尔干塔吉克自治县塔吉克阿巴提镇人民政府</w:t>
            </w:r>
          </w:p>
        </w:tc>
      </w:tr>
      <w:tr w14:paraId="461B7D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0116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F72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03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72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E0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4F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B8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CA7A">
            <w:pPr>
              <w:jc w:val="center"/>
            </w:pPr>
            <w:r>
              <w:rPr>
                <w:rFonts w:ascii="宋体" w:hAnsi="宋体" w:eastAsia="宋体"/>
                <w:sz w:val="16"/>
              </w:rPr>
              <w:t>得分</w:t>
            </w:r>
          </w:p>
        </w:tc>
      </w:tr>
      <w:tr w14:paraId="20A73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18E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CD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794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4262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CEBA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276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541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1026">
            <w:pPr>
              <w:jc w:val="center"/>
            </w:pPr>
            <w:r>
              <w:rPr>
                <w:rFonts w:ascii="宋体" w:hAnsi="宋体" w:eastAsia="宋体"/>
                <w:sz w:val="16"/>
              </w:rPr>
              <w:t>10.00分</w:t>
            </w:r>
          </w:p>
        </w:tc>
      </w:tr>
      <w:tr w14:paraId="3EADC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FCE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4E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C59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CEA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BDE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5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B0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CD72">
            <w:pPr>
              <w:jc w:val="center"/>
            </w:pPr>
            <w:r>
              <w:rPr>
                <w:rFonts w:ascii="宋体" w:hAnsi="宋体" w:eastAsia="宋体"/>
                <w:sz w:val="16"/>
              </w:rPr>
              <w:t>—</w:t>
            </w:r>
          </w:p>
        </w:tc>
      </w:tr>
      <w:tr w14:paraId="5F67F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F9D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A3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E3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2CA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FD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B8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7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37C4">
            <w:pPr>
              <w:jc w:val="center"/>
            </w:pPr>
            <w:r>
              <w:rPr>
                <w:rFonts w:ascii="宋体" w:hAnsi="宋体" w:eastAsia="宋体"/>
                <w:sz w:val="16"/>
              </w:rPr>
              <w:t>—</w:t>
            </w:r>
          </w:p>
        </w:tc>
      </w:tr>
      <w:tr w14:paraId="176358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408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6A0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2C6E76">
            <w:pPr>
              <w:jc w:val="center"/>
            </w:pPr>
            <w:r>
              <w:rPr>
                <w:rFonts w:ascii="宋体" w:hAnsi="宋体" w:eastAsia="宋体"/>
                <w:sz w:val="16"/>
              </w:rPr>
              <w:t>实际完成情况</w:t>
            </w:r>
          </w:p>
        </w:tc>
      </w:tr>
      <w:tr w14:paraId="06391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43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03397">
            <w:pPr>
              <w:jc w:val="both"/>
            </w:pPr>
            <w:r>
              <w:rPr>
                <w:rFonts w:ascii="宋体" w:hAnsi="宋体" w:eastAsia="宋体"/>
                <w:sz w:val="16"/>
              </w:rPr>
              <w:t>2024年文化站经费项目共投资5万元，用于乡镇组织公益性群众文化活动，其中用于采购文化标识2批，共计2万元，用于举办文化活动3次，共计3万元。通过举办公益性讲座和展览宣传，村级文化骨干辅导，文化信息资源共享工程、公共电子阅览室服务及设备运行维护等，举办节庆活动等。该项目的实施能够健全乡镇公共文化服务体系，保障乡镇综合文化</w:t>
            </w:r>
            <w:r>
              <w:rPr>
                <w:rFonts w:hint="eastAsia" w:ascii="宋体" w:hAnsi="宋体"/>
                <w:sz w:val="16"/>
                <w:lang w:eastAsia="zh-CN"/>
              </w:rPr>
              <w:t>队伍</w:t>
            </w:r>
            <w:r>
              <w:rPr>
                <w:rFonts w:ascii="宋体" w:hAnsi="宋体" w:eastAsia="宋体"/>
                <w:sz w:val="16"/>
              </w:rPr>
              <w:t>工作正常进行，充分发挥文化事业的服务职能，创新文化发展思想，丰富乡村文化宣传活动内容，为广大农村和农民群众提供优质的文化产品和文化服务。使受益群众满意度达到95%以上。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5A7C60">
            <w:pPr>
              <w:jc w:val="both"/>
            </w:pPr>
            <w:r>
              <w:rPr>
                <w:rFonts w:ascii="宋体" w:hAnsi="宋体" w:eastAsia="宋体"/>
                <w:sz w:val="16"/>
              </w:rPr>
              <w:t>项目实际支出5万元，用于采购文化标识2批，共计2万元;用于举办文化活动3次，共计3万元;2024年文化站经费项目共投资5万元，通过举办公益性讲座和展览宣传，村级文化骨干辅导，文化信息资源共享工程、公共电子阅览室服务及设备运行维护等，举办节庆活动等。该项目的实施能够健全乡镇公共文化服务体系，保障乡镇综合文化</w:t>
            </w:r>
            <w:r>
              <w:rPr>
                <w:rFonts w:hint="eastAsia" w:ascii="宋体" w:hAnsi="宋体"/>
                <w:sz w:val="16"/>
                <w:lang w:eastAsia="zh-CN"/>
              </w:rPr>
              <w:t>队伍</w:t>
            </w:r>
            <w:r>
              <w:rPr>
                <w:rFonts w:ascii="宋体" w:hAnsi="宋体" w:eastAsia="宋体"/>
                <w:sz w:val="16"/>
              </w:rPr>
              <w:t>工作正常进行，充分发挥文化事业的服务职能，创新文化发展思想，丰富乡村文化宣传活动内容，为广大农村和农民群众提供优质的文化产品和文化服务。使受益群众满意度达到100%。</w:t>
            </w:r>
          </w:p>
        </w:tc>
      </w:tr>
      <w:tr w14:paraId="62AE3C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EBE2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24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25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78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CD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25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87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A0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86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16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D6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D9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EB8EB">
            <w:pPr>
              <w:jc w:val="center"/>
            </w:pPr>
            <w:r>
              <w:rPr>
                <w:rFonts w:ascii="宋体" w:hAnsi="宋体" w:eastAsia="宋体"/>
                <w:sz w:val="16"/>
              </w:rPr>
              <w:t>偏差原因分析及改进措施</w:t>
            </w:r>
          </w:p>
        </w:tc>
      </w:tr>
      <w:tr w14:paraId="474DE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816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CB5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3E7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45B7">
            <w:pPr>
              <w:jc w:val="center"/>
            </w:pPr>
            <w:r>
              <w:rPr>
                <w:rFonts w:ascii="宋体" w:hAnsi="宋体" w:eastAsia="宋体"/>
                <w:sz w:val="16"/>
              </w:rPr>
              <w:t>文化标识采购数量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E716">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E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AC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0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1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72C6">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C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5BCB">
            <w:pPr>
              <w:jc w:val="center"/>
            </w:pPr>
          </w:p>
        </w:tc>
      </w:tr>
      <w:tr w14:paraId="0856A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E5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9E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1F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3AA5">
            <w:pPr>
              <w:jc w:val="center"/>
            </w:pPr>
            <w:r>
              <w:rPr>
                <w:rFonts w:ascii="宋体" w:hAnsi="宋体" w:eastAsia="宋体"/>
                <w:sz w:val="16"/>
              </w:rPr>
              <w:t>文化活动举办数量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D96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6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B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F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D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3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015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5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701A">
            <w:pPr>
              <w:jc w:val="center"/>
            </w:pPr>
          </w:p>
        </w:tc>
      </w:tr>
      <w:tr w14:paraId="13F06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9F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D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96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590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7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8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87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8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D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A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1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A8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0EFFF">
            <w:pPr>
              <w:jc w:val="center"/>
            </w:pPr>
          </w:p>
        </w:tc>
      </w:tr>
      <w:tr w14:paraId="3FE1B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19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8EB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20D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447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747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B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C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B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95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9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C1B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07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A3A7F">
            <w:pPr>
              <w:jc w:val="center"/>
            </w:pPr>
          </w:p>
        </w:tc>
      </w:tr>
      <w:tr w14:paraId="26081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6C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74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FB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52CA">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6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3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89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C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40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A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A3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A42D">
            <w:pPr>
              <w:jc w:val="center"/>
            </w:pPr>
          </w:p>
        </w:tc>
      </w:tr>
      <w:tr w14:paraId="3B489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022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3D2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F87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EDA3">
            <w:pPr>
              <w:jc w:val="center"/>
            </w:pPr>
            <w:r>
              <w:rPr>
                <w:rFonts w:ascii="宋体" w:hAnsi="宋体" w:eastAsia="宋体"/>
                <w:sz w:val="16"/>
              </w:rPr>
              <w:t>文化标识采购成本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3BE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0D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A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9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1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F2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1F3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E4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93D5">
            <w:pPr>
              <w:jc w:val="center"/>
            </w:pPr>
          </w:p>
        </w:tc>
      </w:tr>
      <w:tr w14:paraId="077D3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5A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6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E2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1763">
            <w:pPr>
              <w:jc w:val="center"/>
            </w:pPr>
            <w:r>
              <w:rPr>
                <w:rFonts w:ascii="宋体" w:hAnsi="宋体" w:eastAsia="宋体"/>
                <w:sz w:val="16"/>
              </w:rPr>
              <w:t>文化活动举办成本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B49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7F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7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1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6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81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609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07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E4E3">
            <w:pPr>
              <w:jc w:val="center"/>
            </w:pPr>
          </w:p>
        </w:tc>
      </w:tr>
      <w:tr w14:paraId="3E618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E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98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38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4167">
            <w:pPr>
              <w:jc w:val="center"/>
            </w:pPr>
            <w:r>
              <w:rPr>
                <w:rFonts w:ascii="宋体" w:hAnsi="宋体" w:eastAsia="宋体"/>
                <w:sz w:val="16"/>
              </w:rPr>
              <w:t>健全乡镇公共文化服务体系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ADA3">
            <w:pPr>
              <w:jc w:val="center"/>
            </w:pPr>
            <w:r>
              <w:rPr>
                <w:rFonts w:ascii="宋体" w:hAnsi="宋体" w:eastAsia="宋体"/>
                <w:sz w:val="16"/>
              </w:rPr>
              <w:t>健全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4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5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C8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36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158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A2C5">
            <w:pPr>
              <w:jc w:val="center"/>
            </w:pPr>
            <w:r>
              <w:rPr>
                <w:rFonts w:ascii="宋体" w:hAnsi="宋体" w:eastAsia="宋体"/>
                <w:sz w:val="16"/>
              </w:rPr>
              <w:t>健全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C2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33E8">
            <w:pPr>
              <w:jc w:val="center"/>
            </w:pPr>
          </w:p>
        </w:tc>
      </w:tr>
      <w:tr w14:paraId="74512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85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B3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54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45B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F6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1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D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5E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0C8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D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C7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AD06">
            <w:pPr>
              <w:jc w:val="center"/>
            </w:pPr>
            <w:r>
              <w:rPr>
                <w:rFonts w:ascii="宋体" w:hAnsi="宋体" w:eastAsia="宋体"/>
                <w:sz w:val="16"/>
              </w:rPr>
              <w:t>项目完成情况较好，实际受益群众满意度较高，所以指标出现正偏差</w:t>
            </w:r>
          </w:p>
        </w:tc>
      </w:tr>
      <w:tr w14:paraId="3B238B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3D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97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4D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1EA1AB">
            <w:pPr>
              <w:jc w:val="center"/>
            </w:pPr>
            <w:r>
              <w:rPr>
                <w:rFonts w:ascii="宋体" w:hAnsi="宋体" w:eastAsia="宋体"/>
                <w:sz w:val="16"/>
              </w:rPr>
              <w:t>100分</w:t>
            </w:r>
          </w:p>
        </w:tc>
      </w:tr>
    </w:tbl>
    <w:p w14:paraId="154B88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3013894">
        <w:tblPrEx>
          <w:tblCellMar>
            <w:top w:w="0" w:type="dxa"/>
            <w:left w:w="108" w:type="dxa"/>
            <w:bottom w:w="0" w:type="dxa"/>
            <w:right w:w="108" w:type="dxa"/>
          </w:tblCellMar>
        </w:tblPrEx>
        <w:tc>
          <w:tcPr>
            <w:tcW w:w="8848" w:type="dxa"/>
            <w:gridSpan w:val="14"/>
            <w:vAlign w:val="center"/>
          </w:tcPr>
          <w:p w14:paraId="5F2D9FD7">
            <w:pPr>
              <w:jc w:val="center"/>
            </w:pPr>
            <w:r>
              <w:rPr>
                <w:rFonts w:ascii="宋体" w:hAnsi="宋体" w:eastAsia="宋体"/>
                <w:sz w:val="24"/>
              </w:rPr>
              <w:t>项目支出绩效自评表</w:t>
            </w:r>
          </w:p>
        </w:tc>
      </w:tr>
      <w:tr w14:paraId="5E17F34E">
        <w:tblPrEx>
          <w:tblCellMar>
            <w:top w:w="0" w:type="dxa"/>
            <w:left w:w="108" w:type="dxa"/>
            <w:bottom w:w="0" w:type="dxa"/>
            <w:right w:w="108" w:type="dxa"/>
          </w:tblCellMar>
        </w:tblPrEx>
        <w:tc>
          <w:tcPr>
            <w:tcW w:w="8848" w:type="dxa"/>
            <w:gridSpan w:val="14"/>
            <w:vAlign w:val="center"/>
          </w:tcPr>
          <w:p w14:paraId="7B8FE774">
            <w:pPr>
              <w:jc w:val="center"/>
            </w:pPr>
            <w:r>
              <w:rPr>
                <w:rFonts w:ascii="宋体" w:hAnsi="宋体" w:eastAsia="宋体"/>
                <w:sz w:val="24"/>
              </w:rPr>
              <w:t>(2024年度)</w:t>
            </w:r>
          </w:p>
        </w:tc>
      </w:tr>
      <w:tr w14:paraId="3BC04A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00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FFFD17">
            <w:pPr>
              <w:jc w:val="center"/>
            </w:pPr>
            <w:r>
              <w:rPr>
                <w:rFonts w:ascii="宋体" w:hAnsi="宋体" w:eastAsia="宋体"/>
                <w:sz w:val="16"/>
              </w:rPr>
              <w:t>关于恳请解决塔吉克阿巴提镇安置点防渗渠提升改造2024年以工代赈项目使用林地补偿费用项目</w:t>
            </w:r>
          </w:p>
        </w:tc>
      </w:tr>
      <w:tr w14:paraId="7351A6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11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04214">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B6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2D446">
            <w:pPr>
              <w:jc w:val="center"/>
            </w:pPr>
            <w:r>
              <w:rPr>
                <w:rFonts w:ascii="宋体" w:hAnsi="宋体" w:eastAsia="宋体"/>
                <w:sz w:val="16"/>
              </w:rPr>
              <w:t>塔什库尔干塔吉克自治县塔吉克阿巴提镇人民政府</w:t>
            </w:r>
          </w:p>
        </w:tc>
      </w:tr>
      <w:tr w14:paraId="2994F3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5563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147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99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820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1A7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D0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99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95F7">
            <w:pPr>
              <w:jc w:val="center"/>
            </w:pPr>
            <w:r>
              <w:rPr>
                <w:rFonts w:ascii="宋体" w:hAnsi="宋体" w:eastAsia="宋体"/>
                <w:sz w:val="16"/>
              </w:rPr>
              <w:t>得分</w:t>
            </w:r>
          </w:p>
        </w:tc>
      </w:tr>
      <w:tr w14:paraId="1C007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23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23E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9388D">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E95F">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0F3E1">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14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90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63CF">
            <w:pPr>
              <w:jc w:val="center"/>
            </w:pPr>
            <w:r>
              <w:rPr>
                <w:rFonts w:ascii="宋体" w:hAnsi="宋体" w:eastAsia="宋体"/>
                <w:sz w:val="16"/>
              </w:rPr>
              <w:t>10.00分</w:t>
            </w:r>
          </w:p>
        </w:tc>
      </w:tr>
      <w:tr w14:paraId="41E26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A7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F97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E00E">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5ED8D">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DBEEF">
            <w:pPr>
              <w:jc w:val="center"/>
            </w:pPr>
            <w:r>
              <w:rPr>
                <w:rFonts w:ascii="宋体" w:hAnsi="宋体" w:eastAsia="宋体"/>
                <w:sz w:val="16"/>
              </w:rPr>
              <w:t>142.95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CC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9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8E8C">
            <w:pPr>
              <w:jc w:val="center"/>
            </w:pPr>
            <w:r>
              <w:rPr>
                <w:rFonts w:ascii="宋体" w:hAnsi="宋体" w:eastAsia="宋体"/>
                <w:sz w:val="16"/>
              </w:rPr>
              <w:t>—</w:t>
            </w:r>
          </w:p>
        </w:tc>
      </w:tr>
      <w:tr w14:paraId="1B179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95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4F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2FC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23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96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3F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8B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4B00">
            <w:pPr>
              <w:jc w:val="center"/>
            </w:pPr>
            <w:r>
              <w:rPr>
                <w:rFonts w:ascii="宋体" w:hAnsi="宋体" w:eastAsia="宋体"/>
                <w:sz w:val="16"/>
              </w:rPr>
              <w:t>—</w:t>
            </w:r>
          </w:p>
        </w:tc>
      </w:tr>
      <w:tr w14:paraId="03C74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BCB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9F0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94280C">
            <w:pPr>
              <w:jc w:val="center"/>
            </w:pPr>
            <w:r>
              <w:rPr>
                <w:rFonts w:ascii="宋体" w:hAnsi="宋体" w:eastAsia="宋体"/>
                <w:sz w:val="16"/>
              </w:rPr>
              <w:t>实际完成情况</w:t>
            </w:r>
          </w:p>
        </w:tc>
      </w:tr>
      <w:tr w14:paraId="39DC8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96B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09408">
            <w:pPr>
              <w:jc w:val="both"/>
            </w:pPr>
            <w:r>
              <w:rPr>
                <w:rFonts w:ascii="宋体" w:hAnsi="宋体" w:eastAsia="宋体"/>
                <w:sz w:val="16"/>
              </w:rPr>
              <w:t>塔吉克阿巴提镇安置点防渗渠提升改造2024年以工代赈项目拟使用林地2.4990公顷，林地补偿费及办理林地手续技术服务费共计142.9468万元，其中：乔木林地补偿费29.1483万元、安置补助费78.8085万元、上交喀什地区林草局森林植被恢复费24.99万元、办理林地手续技术服务费10万元。加快补偿，争取早日完成前期手续，推进项目落地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3CAA6">
            <w:pPr>
              <w:jc w:val="both"/>
            </w:pPr>
            <w:r>
              <w:rPr>
                <w:rFonts w:ascii="宋体" w:hAnsi="宋体" w:eastAsia="宋体"/>
                <w:sz w:val="16"/>
              </w:rPr>
              <w:t>该项目完成支出142.95万元用于占用林地2.4990公顷的补偿，林地补偿费及办理林地手续技术服务费共计142.9468万元，其中：乔木林地补偿费29.1483万元、安置补助费78.8085万元、上交喀什地区林草局森林植被恢复费24.99万元、办理林地手续技术服务费10万元。该项目的实施提升了游牧民群众幸福感。</w:t>
            </w:r>
          </w:p>
        </w:tc>
      </w:tr>
      <w:tr w14:paraId="714269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D918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30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46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08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8A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89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84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39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5D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07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1F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BE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9178">
            <w:pPr>
              <w:jc w:val="center"/>
            </w:pPr>
            <w:r>
              <w:rPr>
                <w:rFonts w:ascii="宋体" w:hAnsi="宋体" w:eastAsia="宋体"/>
                <w:sz w:val="16"/>
              </w:rPr>
              <w:t>偏差原因分析及改进措施</w:t>
            </w:r>
          </w:p>
        </w:tc>
      </w:tr>
      <w:tr w14:paraId="4D078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15A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CF7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5C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E120">
            <w:pPr>
              <w:jc w:val="center"/>
            </w:pPr>
            <w:r>
              <w:rPr>
                <w:rFonts w:ascii="宋体" w:hAnsi="宋体" w:eastAsia="宋体"/>
                <w:sz w:val="16"/>
              </w:rPr>
              <w:t>永久占用乔木林地面积（公顷）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898A">
            <w:pPr>
              <w:jc w:val="center"/>
            </w:pPr>
            <w:r>
              <w:rPr>
                <w:rFonts w:ascii="宋体" w:hAnsi="宋体" w:eastAsia="宋体"/>
                <w:sz w:val="16"/>
              </w:rPr>
              <w:t>&gt;=2.499公顷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5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9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4E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A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C9C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2B7B">
            <w:pPr>
              <w:jc w:val="center"/>
            </w:pPr>
            <w:r>
              <w:rPr>
                <w:rFonts w:ascii="宋体" w:hAnsi="宋体" w:eastAsia="宋体"/>
                <w:sz w:val="16"/>
              </w:rPr>
              <w:t>=2.499公顷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4E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8FBA">
            <w:pPr>
              <w:jc w:val="center"/>
            </w:pPr>
          </w:p>
        </w:tc>
      </w:tr>
      <w:tr w14:paraId="77DDE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C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DC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A9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7E34">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C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C7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A8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FB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D5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E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2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39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67428">
            <w:pPr>
              <w:jc w:val="center"/>
            </w:pPr>
          </w:p>
        </w:tc>
      </w:tr>
      <w:tr w14:paraId="37222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4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52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5D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5562">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774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EF3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4D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A7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5D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A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E761">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D0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5B72">
            <w:pPr>
              <w:jc w:val="center"/>
            </w:pPr>
          </w:p>
        </w:tc>
      </w:tr>
      <w:tr w14:paraId="4421C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23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EF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D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91DF">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D40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8AE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8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CE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72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C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1D8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00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C6B7">
            <w:pPr>
              <w:jc w:val="center"/>
            </w:pPr>
          </w:p>
        </w:tc>
      </w:tr>
      <w:tr w14:paraId="60178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C8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B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0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ECB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0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C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ED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07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4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E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0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8E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3C2F">
            <w:pPr>
              <w:jc w:val="center"/>
            </w:pPr>
          </w:p>
        </w:tc>
      </w:tr>
      <w:tr w14:paraId="55F5A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B6E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191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28B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8ED5">
            <w:pPr>
              <w:jc w:val="center"/>
            </w:pPr>
            <w:r>
              <w:rPr>
                <w:rFonts w:ascii="宋体" w:hAnsi="宋体" w:eastAsia="宋体"/>
                <w:sz w:val="16"/>
              </w:rPr>
              <w:t>林地补偿费（万元）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467B">
            <w:pPr>
              <w:jc w:val="center"/>
            </w:pPr>
            <w:r>
              <w:rPr>
                <w:rFonts w:ascii="宋体" w:hAnsi="宋体" w:eastAsia="宋体"/>
                <w:sz w:val="16"/>
              </w:rPr>
              <w:t>&lt;=29.15万元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70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6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2B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9F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E2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3946">
            <w:pPr>
              <w:jc w:val="center"/>
            </w:pPr>
            <w:r>
              <w:rPr>
                <w:rFonts w:ascii="宋体" w:hAnsi="宋体" w:eastAsia="宋体"/>
                <w:sz w:val="16"/>
              </w:rPr>
              <w:t>=29.15万元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DE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423B">
            <w:pPr>
              <w:jc w:val="center"/>
            </w:pPr>
          </w:p>
        </w:tc>
      </w:tr>
      <w:tr w14:paraId="12C3E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EC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4F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D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B193">
            <w:pPr>
              <w:jc w:val="center"/>
            </w:pPr>
            <w:r>
              <w:rPr>
                <w:rFonts w:ascii="宋体" w:hAnsi="宋体" w:eastAsia="宋体"/>
                <w:sz w:val="16"/>
              </w:rPr>
              <w:t>安置补助费（万元）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EFE8">
            <w:pPr>
              <w:jc w:val="center"/>
            </w:pPr>
            <w:r>
              <w:rPr>
                <w:rFonts w:ascii="宋体" w:hAnsi="宋体" w:eastAsia="宋体"/>
                <w:sz w:val="16"/>
              </w:rPr>
              <w:t>&lt;=78.81万元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CF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C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11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8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9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2535">
            <w:pPr>
              <w:jc w:val="center"/>
            </w:pPr>
            <w:r>
              <w:rPr>
                <w:rFonts w:ascii="宋体" w:hAnsi="宋体" w:eastAsia="宋体"/>
                <w:sz w:val="16"/>
              </w:rPr>
              <w:t>=78.81万元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DD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B9206">
            <w:pPr>
              <w:jc w:val="center"/>
            </w:pPr>
          </w:p>
        </w:tc>
      </w:tr>
      <w:tr w14:paraId="58D11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1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15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94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596E">
            <w:pPr>
              <w:jc w:val="center"/>
            </w:pPr>
            <w:r>
              <w:rPr>
                <w:rFonts w:ascii="宋体" w:hAnsi="宋体" w:eastAsia="宋体"/>
                <w:sz w:val="16"/>
              </w:rPr>
              <w:t>森林植被恢复费（万元）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3AF6">
            <w:pPr>
              <w:jc w:val="center"/>
            </w:pPr>
            <w:r>
              <w:rPr>
                <w:rFonts w:ascii="宋体" w:hAnsi="宋体" w:eastAsia="宋体"/>
                <w:sz w:val="16"/>
              </w:rPr>
              <w:t>&lt;=24.99万元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65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9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E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3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C8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9AFE">
            <w:pPr>
              <w:jc w:val="center"/>
            </w:pPr>
            <w:r>
              <w:rPr>
                <w:rFonts w:ascii="宋体" w:hAnsi="宋体" w:eastAsia="宋体"/>
                <w:sz w:val="16"/>
              </w:rPr>
              <w:t>=24.99万元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A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DE7D6">
            <w:pPr>
              <w:jc w:val="center"/>
            </w:pPr>
          </w:p>
        </w:tc>
      </w:tr>
      <w:tr w14:paraId="2792B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6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FC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1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634E">
            <w:pPr>
              <w:jc w:val="center"/>
            </w:pPr>
            <w:r>
              <w:rPr>
                <w:rFonts w:ascii="宋体" w:hAnsi="宋体" w:eastAsia="宋体"/>
                <w:sz w:val="16"/>
              </w:rPr>
              <w:t>林地手续报件服务费（万元）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AE0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3A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8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9F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F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58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1E2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33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0876">
            <w:pPr>
              <w:jc w:val="center"/>
            </w:pPr>
          </w:p>
        </w:tc>
      </w:tr>
      <w:tr w14:paraId="176B1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D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F0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DA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E308">
            <w:pPr>
              <w:jc w:val="center"/>
            </w:pPr>
            <w:r>
              <w:rPr>
                <w:rFonts w:ascii="宋体" w:hAnsi="宋体" w:eastAsia="宋体"/>
                <w:sz w:val="16"/>
              </w:rPr>
              <w:t>提升游牧民群众幸福感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A9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D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0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B9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31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4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7A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22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54B02">
            <w:pPr>
              <w:jc w:val="center"/>
            </w:pPr>
          </w:p>
        </w:tc>
      </w:tr>
      <w:tr w14:paraId="182DA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A4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C9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AA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AEE0">
            <w:pPr>
              <w:jc w:val="center"/>
            </w:pPr>
            <w:r>
              <w:rPr>
                <w:rFonts w:ascii="宋体" w:hAnsi="宋体" w:eastAsia="宋体"/>
                <w:sz w:val="16"/>
              </w:rPr>
              <w:t>游牧民满意度（%）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57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6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D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2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2A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0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B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D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F849">
            <w:pPr>
              <w:jc w:val="center"/>
            </w:pPr>
            <w:r>
              <w:rPr>
                <w:rFonts w:ascii="宋体" w:hAnsi="宋体" w:eastAsia="宋体"/>
                <w:sz w:val="16"/>
              </w:rPr>
              <w:t>项目完成情况较好，实际游牧民满意度较高，所以指标出现正偏差</w:t>
            </w:r>
          </w:p>
        </w:tc>
      </w:tr>
      <w:tr w14:paraId="10F88D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A30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EF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B32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4E2DC">
            <w:pPr>
              <w:jc w:val="center"/>
            </w:pPr>
            <w:r>
              <w:rPr>
                <w:rFonts w:ascii="宋体" w:hAnsi="宋体" w:eastAsia="宋体"/>
                <w:sz w:val="16"/>
              </w:rPr>
              <w:t>100分</w:t>
            </w:r>
          </w:p>
        </w:tc>
      </w:tr>
    </w:tbl>
    <w:p w14:paraId="26F078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2C08D2C">
        <w:tblPrEx>
          <w:tblCellMar>
            <w:top w:w="0" w:type="dxa"/>
            <w:left w:w="108" w:type="dxa"/>
            <w:bottom w:w="0" w:type="dxa"/>
            <w:right w:w="108" w:type="dxa"/>
          </w:tblCellMar>
        </w:tblPrEx>
        <w:tc>
          <w:tcPr>
            <w:tcW w:w="8848" w:type="dxa"/>
            <w:gridSpan w:val="14"/>
            <w:vAlign w:val="center"/>
          </w:tcPr>
          <w:p w14:paraId="01DA6A0C">
            <w:pPr>
              <w:jc w:val="center"/>
            </w:pPr>
            <w:r>
              <w:rPr>
                <w:rFonts w:ascii="宋体" w:hAnsi="宋体" w:eastAsia="宋体"/>
                <w:sz w:val="24"/>
              </w:rPr>
              <w:t>项目支出绩效自评表</w:t>
            </w:r>
          </w:p>
        </w:tc>
      </w:tr>
      <w:tr w14:paraId="4AEA4DB6">
        <w:tblPrEx>
          <w:tblCellMar>
            <w:top w:w="0" w:type="dxa"/>
            <w:left w:w="108" w:type="dxa"/>
            <w:bottom w:w="0" w:type="dxa"/>
            <w:right w:w="108" w:type="dxa"/>
          </w:tblCellMar>
        </w:tblPrEx>
        <w:tc>
          <w:tcPr>
            <w:tcW w:w="8848" w:type="dxa"/>
            <w:gridSpan w:val="14"/>
            <w:vAlign w:val="center"/>
          </w:tcPr>
          <w:p w14:paraId="58B7E677">
            <w:pPr>
              <w:jc w:val="center"/>
            </w:pPr>
            <w:r>
              <w:rPr>
                <w:rFonts w:ascii="宋体" w:hAnsi="宋体" w:eastAsia="宋体"/>
                <w:sz w:val="24"/>
              </w:rPr>
              <w:t>(2024年度)</w:t>
            </w:r>
          </w:p>
        </w:tc>
      </w:tr>
      <w:tr w14:paraId="0DDDE9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C5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A6828A">
            <w:pPr>
              <w:jc w:val="center"/>
            </w:pPr>
            <w:r>
              <w:rPr>
                <w:rFonts w:hint="eastAsia" w:ascii="宋体" w:hAnsi="宋体"/>
                <w:sz w:val="16"/>
                <w:lang w:eastAsia="zh-CN"/>
              </w:rPr>
              <w:t>塔什库尔干塔吉克自治县</w:t>
            </w:r>
            <w:r>
              <w:rPr>
                <w:rFonts w:ascii="宋体" w:hAnsi="宋体" w:eastAsia="宋体"/>
                <w:sz w:val="16"/>
              </w:rPr>
              <w:t>塔吉克阿巴提镇安置点防渗渠提升改造2024年以工代赈项目</w:t>
            </w:r>
          </w:p>
        </w:tc>
      </w:tr>
      <w:tr w14:paraId="6C991D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28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36529">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8F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825F35">
            <w:pPr>
              <w:jc w:val="center"/>
            </w:pPr>
            <w:r>
              <w:rPr>
                <w:rFonts w:ascii="宋体" w:hAnsi="宋体" w:eastAsia="宋体"/>
                <w:sz w:val="16"/>
              </w:rPr>
              <w:t>塔什库尔干塔吉克自治县塔吉克阿巴提镇人民政府</w:t>
            </w:r>
          </w:p>
        </w:tc>
      </w:tr>
      <w:tr w14:paraId="05A2D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51E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CA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88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B6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45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36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7ED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0874">
            <w:pPr>
              <w:jc w:val="center"/>
            </w:pPr>
            <w:r>
              <w:rPr>
                <w:rFonts w:ascii="宋体" w:hAnsi="宋体" w:eastAsia="宋体"/>
                <w:sz w:val="16"/>
              </w:rPr>
              <w:t>得分</w:t>
            </w:r>
          </w:p>
        </w:tc>
      </w:tr>
      <w:tr w14:paraId="0AEAE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CA0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EC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10B6">
            <w:pPr>
              <w:jc w:val="center"/>
            </w:pPr>
            <w:r>
              <w:rPr>
                <w:rFonts w:ascii="宋体" w:hAnsi="宋体" w:eastAsia="宋体"/>
                <w:sz w:val="16"/>
              </w:rPr>
              <w:t>798.00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1295">
            <w:pPr>
              <w:jc w:val="center"/>
            </w:pPr>
            <w:r>
              <w:rPr>
                <w:rFonts w:ascii="宋体" w:hAnsi="宋体" w:eastAsia="宋体"/>
                <w:sz w:val="16"/>
              </w:rPr>
              <w:t>798.00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BF00">
            <w:pPr>
              <w:jc w:val="center"/>
            </w:pPr>
            <w:r>
              <w:rPr>
                <w:rFonts w:ascii="宋体" w:hAnsi="宋体" w:eastAsia="宋体"/>
                <w:sz w:val="16"/>
              </w:rPr>
              <w:t>767.32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FF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CC11D">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8637">
            <w:pPr>
              <w:jc w:val="center"/>
            </w:pPr>
            <w:r>
              <w:rPr>
                <w:rFonts w:hint="eastAsia" w:ascii="宋体" w:hAnsi="宋体"/>
                <w:sz w:val="16"/>
                <w:lang w:val="en-US" w:eastAsia="zh-CN"/>
              </w:rPr>
              <w:t>9.62</w:t>
            </w:r>
            <w:r>
              <w:rPr>
                <w:rFonts w:ascii="宋体" w:hAnsi="宋体" w:eastAsia="宋体"/>
                <w:sz w:val="16"/>
              </w:rPr>
              <w:t>分</w:t>
            </w:r>
          </w:p>
        </w:tc>
      </w:tr>
      <w:tr w14:paraId="210AB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EA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93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7D9D">
            <w:pPr>
              <w:jc w:val="center"/>
            </w:pPr>
            <w:r>
              <w:rPr>
                <w:rFonts w:ascii="宋体" w:hAnsi="宋体" w:eastAsia="宋体"/>
                <w:sz w:val="16"/>
              </w:rPr>
              <w:t>798.00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BE55">
            <w:pPr>
              <w:jc w:val="center"/>
            </w:pPr>
            <w:r>
              <w:rPr>
                <w:rFonts w:ascii="宋体" w:hAnsi="宋体" w:eastAsia="宋体"/>
                <w:sz w:val="16"/>
              </w:rPr>
              <w:t>798.00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C3000">
            <w:pPr>
              <w:jc w:val="center"/>
            </w:pPr>
            <w:r>
              <w:rPr>
                <w:rFonts w:ascii="宋体" w:hAnsi="宋体" w:eastAsia="宋体"/>
                <w:sz w:val="16"/>
              </w:rPr>
              <w:t>767.32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CB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3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3820">
            <w:pPr>
              <w:jc w:val="center"/>
            </w:pPr>
            <w:r>
              <w:rPr>
                <w:rFonts w:ascii="宋体" w:hAnsi="宋体" w:eastAsia="宋体"/>
                <w:sz w:val="16"/>
              </w:rPr>
              <w:t>—</w:t>
            </w:r>
          </w:p>
        </w:tc>
      </w:tr>
      <w:tr w14:paraId="215F6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9B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74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0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D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A1A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AC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6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D6B2">
            <w:pPr>
              <w:jc w:val="center"/>
            </w:pPr>
            <w:r>
              <w:rPr>
                <w:rFonts w:ascii="宋体" w:hAnsi="宋体" w:eastAsia="宋体"/>
                <w:sz w:val="16"/>
              </w:rPr>
              <w:t>—</w:t>
            </w:r>
          </w:p>
        </w:tc>
      </w:tr>
      <w:tr w14:paraId="5B673B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C47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DED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C3B6DE">
            <w:pPr>
              <w:jc w:val="center"/>
            </w:pPr>
            <w:r>
              <w:rPr>
                <w:rFonts w:ascii="宋体" w:hAnsi="宋体" w:eastAsia="宋体"/>
                <w:sz w:val="16"/>
              </w:rPr>
              <w:t>实际完成情况</w:t>
            </w:r>
          </w:p>
        </w:tc>
      </w:tr>
      <w:tr w14:paraId="40859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92E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7FEBE">
            <w:pPr>
              <w:jc w:val="both"/>
            </w:pPr>
            <w:r>
              <w:rPr>
                <w:rFonts w:ascii="宋体" w:hAnsi="宋体" w:eastAsia="宋体"/>
                <w:sz w:val="16"/>
              </w:rPr>
              <w:t>塔吉克阿巴提镇安置点防渗渠提升改造2024年以工代赈项目，投资798万元，改建防渗渠11公里及配套。通过项目实施预计可带动当地农村群众130人就业，预计发放劳动报酬243万元。通过项目实施可持续改善项目区基础设施条件，参与工程建设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B71E6">
            <w:pPr>
              <w:jc w:val="both"/>
            </w:pPr>
            <w:r>
              <w:rPr>
                <w:rFonts w:ascii="宋体" w:hAnsi="宋体" w:eastAsia="宋体"/>
                <w:sz w:val="16"/>
              </w:rPr>
              <w:t>塔吉克阿巴提镇安置点防渗渠提升改造2024年以工代赈项目实际支出767.32万元，改建防渗渠11公里及配套。项目实施带动了当地农村群众130人就业，发放了劳动报酬243万元。项目实施已改善项目区基础设施条件，参与工程建设群众满意度达到100%。剩余资金已退回</w:t>
            </w:r>
          </w:p>
        </w:tc>
      </w:tr>
      <w:tr w14:paraId="4FD2B7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1466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55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31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8E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C4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0D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F3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96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B1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53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AC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F0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AB6CF">
            <w:pPr>
              <w:jc w:val="center"/>
            </w:pPr>
            <w:r>
              <w:rPr>
                <w:rFonts w:ascii="宋体" w:hAnsi="宋体" w:eastAsia="宋体"/>
                <w:sz w:val="16"/>
              </w:rPr>
              <w:t>偏差原因分析及改进措施</w:t>
            </w:r>
          </w:p>
        </w:tc>
      </w:tr>
      <w:tr w14:paraId="7CBF3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FB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1ED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23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BFED">
            <w:pPr>
              <w:jc w:val="center"/>
            </w:pPr>
            <w:r>
              <w:rPr>
                <w:rFonts w:ascii="宋体" w:hAnsi="宋体" w:eastAsia="宋体"/>
                <w:sz w:val="16"/>
              </w:rPr>
              <w:t>防渗渠改造提升长度(公里）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DA2F">
            <w:pPr>
              <w:jc w:val="center"/>
            </w:pPr>
            <w:r>
              <w:rPr>
                <w:rFonts w:ascii="宋体" w:hAnsi="宋体" w:eastAsia="宋体"/>
                <w:sz w:val="16"/>
              </w:rPr>
              <w:t>&gt;=11公里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0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90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0B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6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4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876A">
            <w:pPr>
              <w:jc w:val="center"/>
            </w:pPr>
            <w:r>
              <w:rPr>
                <w:rFonts w:ascii="宋体" w:hAnsi="宋体" w:eastAsia="宋体"/>
                <w:sz w:val="16"/>
              </w:rPr>
              <w:t>=11公里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C3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8C61">
            <w:pPr>
              <w:jc w:val="center"/>
            </w:pPr>
          </w:p>
        </w:tc>
      </w:tr>
      <w:tr w14:paraId="568A9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1E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44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955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CA8A">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1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0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F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8E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1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A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7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DE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4136A">
            <w:pPr>
              <w:jc w:val="center"/>
            </w:pPr>
          </w:p>
        </w:tc>
      </w:tr>
      <w:tr w14:paraId="291CE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B5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97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12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E1B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0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D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42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17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51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6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F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5A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E39E">
            <w:pPr>
              <w:jc w:val="center"/>
            </w:pPr>
          </w:p>
        </w:tc>
      </w:tr>
      <w:tr w14:paraId="30C96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D3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5F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E5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E6E5">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95BB">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0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85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49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71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0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5CCB">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E0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B4DA8">
            <w:pPr>
              <w:jc w:val="center"/>
            </w:pPr>
          </w:p>
        </w:tc>
      </w:tr>
      <w:tr w14:paraId="7156F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9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33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3A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A71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4E8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E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10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60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4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F9C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A66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19D1">
            <w:pPr>
              <w:jc w:val="center"/>
            </w:pPr>
          </w:p>
        </w:tc>
      </w:tr>
      <w:tr w14:paraId="6728D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A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F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5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7B6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5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F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6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2E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E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E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D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8A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569D">
            <w:pPr>
              <w:jc w:val="center"/>
            </w:pPr>
          </w:p>
        </w:tc>
      </w:tr>
      <w:tr w14:paraId="2891C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C8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59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6F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B7AC">
            <w:pPr>
              <w:jc w:val="center"/>
            </w:pPr>
            <w:r>
              <w:rPr>
                <w:rFonts w:ascii="宋体" w:hAnsi="宋体" w:eastAsia="宋体"/>
                <w:sz w:val="16"/>
              </w:rPr>
              <w:t>防渗渠提升改造单位成本（万元/公里）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4374">
            <w:pPr>
              <w:jc w:val="center"/>
            </w:pPr>
            <w:r>
              <w:rPr>
                <w:rFonts w:ascii="宋体" w:hAnsi="宋体" w:eastAsia="宋体"/>
                <w:sz w:val="16"/>
              </w:rPr>
              <w:t>&lt;=72.54万元/公里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DF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8B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1E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6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3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4162">
            <w:pPr>
              <w:jc w:val="center"/>
            </w:pPr>
            <w:r>
              <w:rPr>
                <w:rFonts w:ascii="宋体" w:hAnsi="宋体" w:eastAsia="宋体"/>
                <w:sz w:val="16"/>
              </w:rPr>
              <w:t>=69.76万元/公里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D06F">
            <w:pPr>
              <w:jc w:val="center"/>
            </w:pPr>
            <w:r>
              <w:rPr>
                <w:rFonts w:ascii="宋体" w:hAnsi="宋体" w:eastAsia="宋体"/>
                <w:sz w:val="16"/>
              </w:rPr>
              <w:t>18.09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26229">
            <w:pPr>
              <w:jc w:val="center"/>
            </w:pPr>
            <w:r>
              <w:rPr>
                <w:rFonts w:ascii="宋体" w:hAnsi="宋体" w:eastAsia="宋体"/>
                <w:sz w:val="16"/>
              </w:rPr>
              <w:t>偏差原因：本项目通过拨付资金767.32万元，已确保完成本年度工作任务，导致出现正偏差，改进措施：根据项目需求，后续合理设置绩效指标，合理规划和调配资金，保障工作按时按量进行，避免资金闲置，提高资金使用效率。</w:t>
            </w:r>
          </w:p>
        </w:tc>
      </w:tr>
      <w:tr w14:paraId="652B1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0DC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A74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318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51A2">
            <w:pPr>
              <w:jc w:val="center"/>
            </w:pPr>
            <w:r>
              <w:rPr>
                <w:rFonts w:ascii="宋体" w:hAnsi="宋体" w:eastAsia="宋体"/>
                <w:sz w:val="16"/>
              </w:rPr>
              <w:t>带动增加参与建设农村劳动者全年总收入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B5CD">
            <w:pPr>
              <w:jc w:val="center"/>
            </w:pPr>
            <w:r>
              <w:rPr>
                <w:rFonts w:ascii="宋体" w:hAnsi="宋体" w:eastAsia="宋体"/>
                <w:sz w:val="16"/>
              </w:rPr>
              <w:t>&gt;=243万元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7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34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F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C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6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2C45">
            <w:pPr>
              <w:jc w:val="center"/>
            </w:pPr>
            <w:r>
              <w:rPr>
                <w:rFonts w:ascii="宋体" w:hAnsi="宋体" w:eastAsia="宋体"/>
                <w:sz w:val="16"/>
              </w:rPr>
              <w: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0F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F89C3">
            <w:pPr>
              <w:jc w:val="center"/>
            </w:pPr>
          </w:p>
        </w:tc>
      </w:tr>
      <w:tr w14:paraId="6F512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FD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B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8E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A2D0">
            <w:pPr>
              <w:jc w:val="center"/>
            </w:pPr>
            <w:r>
              <w:rPr>
                <w:rFonts w:ascii="宋体" w:hAnsi="宋体" w:eastAsia="宋体"/>
                <w:sz w:val="16"/>
              </w:rPr>
              <w:t>带动当地农村就业人数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17CE">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3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9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9D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F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DF0B">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A3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4B03">
            <w:pPr>
              <w:jc w:val="center"/>
            </w:pPr>
          </w:p>
        </w:tc>
      </w:tr>
      <w:tr w14:paraId="44BEE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61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52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5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E02A">
            <w:pPr>
              <w:jc w:val="center"/>
            </w:pPr>
            <w:r>
              <w:rPr>
                <w:rFonts w:ascii="宋体" w:hAnsi="宋体" w:eastAsia="宋体"/>
                <w:sz w:val="16"/>
              </w:rPr>
              <w:t>参与工程建设群众满意度（%）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49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9B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F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0F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91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0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D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5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23665">
            <w:pPr>
              <w:jc w:val="center"/>
            </w:pPr>
            <w:r>
              <w:rPr>
                <w:rFonts w:ascii="宋体" w:hAnsi="宋体" w:eastAsia="宋体"/>
                <w:sz w:val="16"/>
              </w:rPr>
              <w:t>偏差原因：项目实施情况较好，参与工程建设群众满意度高于预期，导致出现正偏差，改进措施：基于当前良好表现，重新审视绩效目标，在以后绩效目标设置时设置更具挑战性的目标，以推动业务持续发展</w:t>
            </w:r>
          </w:p>
        </w:tc>
      </w:tr>
      <w:tr w14:paraId="57098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2DF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AF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A44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BC57C">
            <w:pPr>
              <w:jc w:val="center"/>
            </w:pPr>
            <w:r>
              <w:rPr>
                <w:rFonts w:ascii="宋体" w:hAnsi="宋体" w:eastAsia="宋体"/>
                <w:sz w:val="16"/>
              </w:rPr>
              <w:t>98.09分</w:t>
            </w:r>
          </w:p>
        </w:tc>
      </w:tr>
    </w:tbl>
    <w:p w14:paraId="46AEEE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971623E">
        <w:tblPrEx>
          <w:tblCellMar>
            <w:top w:w="0" w:type="dxa"/>
            <w:left w:w="108" w:type="dxa"/>
            <w:bottom w:w="0" w:type="dxa"/>
            <w:right w:w="108" w:type="dxa"/>
          </w:tblCellMar>
        </w:tblPrEx>
        <w:tc>
          <w:tcPr>
            <w:tcW w:w="8848" w:type="dxa"/>
            <w:gridSpan w:val="14"/>
            <w:vAlign w:val="center"/>
          </w:tcPr>
          <w:p w14:paraId="53D95A69">
            <w:pPr>
              <w:jc w:val="center"/>
            </w:pPr>
            <w:r>
              <w:rPr>
                <w:rFonts w:ascii="宋体" w:hAnsi="宋体" w:eastAsia="宋体"/>
                <w:sz w:val="24"/>
              </w:rPr>
              <w:t>项目支出绩效自评表</w:t>
            </w:r>
          </w:p>
        </w:tc>
      </w:tr>
      <w:tr w14:paraId="7B57206B">
        <w:tblPrEx>
          <w:tblCellMar>
            <w:top w:w="0" w:type="dxa"/>
            <w:left w:w="108" w:type="dxa"/>
            <w:bottom w:w="0" w:type="dxa"/>
            <w:right w:w="108" w:type="dxa"/>
          </w:tblCellMar>
        </w:tblPrEx>
        <w:tc>
          <w:tcPr>
            <w:tcW w:w="8848" w:type="dxa"/>
            <w:gridSpan w:val="14"/>
            <w:vAlign w:val="center"/>
          </w:tcPr>
          <w:p w14:paraId="3C9FAA52">
            <w:pPr>
              <w:jc w:val="center"/>
            </w:pPr>
            <w:r>
              <w:rPr>
                <w:rFonts w:ascii="宋体" w:hAnsi="宋体" w:eastAsia="宋体"/>
                <w:sz w:val="24"/>
              </w:rPr>
              <w:t>(2024年度)</w:t>
            </w:r>
          </w:p>
        </w:tc>
      </w:tr>
      <w:tr w14:paraId="256BF5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8B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459EC">
            <w:pPr>
              <w:jc w:val="center"/>
            </w:pPr>
            <w:r>
              <w:rPr>
                <w:rFonts w:ascii="宋体" w:hAnsi="宋体" w:eastAsia="宋体"/>
                <w:sz w:val="16"/>
              </w:rPr>
              <w:t>塔县阿巴提镇人民政府</w:t>
            </w:r>
            <w:r>
              <w:rPr>
                <w:rFonts w:hint="eastAsia" w:ascii="宋体" w:hAnsi="宋体"/>
                <w:sz w:val="16"/>
                <w:lang w:eastAsia="zh-CN"/>
              </w:rPr>
              <w:t>人大</w:t>
            </w:r>
            <w:r>
              <w:rPr>
                <w:rFonts w:ascii="宋体" w:hAnsi="宋体" w:eastAsia="宋体"/>
                <w:sz w:val="16"/>
              </w:rPr>
              <w:t>经费项目</w:t>
            </w:r>
          </w:p>
        </w:tc>
      </w:tr>
      <w:tr w14:paraId="57D39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C4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39E57">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D8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CC732">
            <w:pPr>
              <w:jc w:val="center"/>
            </w:pPr>
            <w:r>
              <w:rPr>
                <w:rFonts w:ascii="宋体" w:hAnsi="宋体" w:eastAsia="宋体"/>
                <w:sz w:val="16"/>
              </w:rPr>
              <w:t>塔什库尔干塔吉克自治县塔吉克阿巴提镇人民政府</w:t>
            </w:r>
          </w:p>
        </w:tc>
      </w:tr>
      <w:tr w14:paraId="169B0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051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D2C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5C5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67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D12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05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3C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8487">
            <w:pPr>
              <w:jc w:val="center"/>
            </w:pPr>
            <w:r>
              <w:rPr>
                <w:rFonts w:ascii="宋体" w:hAnsi="宋体" w:eastAsia="宋体"/>
                <w:sz w:val="16"/>
              </w:rPr>
              <w:t>得分</w:t>
            </w:r>
          </w:p>
        </w:tc>
      </w:tr>
      <w:tr w14:paraId="4370FC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336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02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26A31">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3484">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0E57">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AB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62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B5D9">
            <w:pPr>
              <w:jc w:val="center"/>
            </w:pPr>
            <w:r>
              <w:rPr>
                <w:rFonts w:ascii="宋体" w:hAnsi="宋体" w:eastAsia="宋体"/>
                <w:sz w:val="16"/>
              </w:rPr>
              <w:t>10.00分</w:t>
            </w:r>
          </w:p>
        </w:tc>
      </w:tr>
      <w:tr w14:paraId="7EB57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FF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29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FAE2">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D0472">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61AF">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9A9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6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6415">
            <w:pPr>
              <w:jc w:val="center"/>
            </w:pPr>
            <w:r>
              <w:rPr>
                <w:rFonts w:ascii="宋体" w:hAnsi="宋体" w:eastAsia="宋体"/>
                <w:sz w:val="16"/>
              </w:rPr>
              <w:t>—</w:t>
            </w:r>
          </w:p>
        </w:tc>
      </w:tr>
      <w:tr w14:paraId="43FE9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8F8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09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24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9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85E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B1B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2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EF16">
            <w:pPr>
              <w:jc w:val="center"/>
            </w:pPr>
            <w:r>
              <w:rPr>
                <w:rFonts w:ascii="宋体" w:hAnsi="宋体" w:eastAsia="宋体"/>
                <w:sz w:val="16"/>
              </w:rPr>
              <w:t>—</w:t>
            </w:r>
          </w:p>
        </w:tc>
      </w:tr>
      <w:tr w14:paraId="3BDBC0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11F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C74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7033E">
            <w:pPr>
              <w:jc w:val="center"/>
            </w:pPr>
            <w:r>
              <w:rPr>
                <w:rFonts w:ascii="宋体" w:hAnsi="宋体" w:eastAsia="宋体"/>
                <w:sz w:val="16"/>
              </w:rPr>
              <w:t>实际完成情况</w:t>
            </w:r>
          </w:p>
        </w:tc>
      </w:tr>
      <w:tr w14:paraId="3E037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0C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13B44">
            <w:pPr>
              <w:jc w:val="both"/>
            </w:pPr>
            <w:r>
              <w:rPr>
                <w:rFonts w:ascii="宋体" w:hAnsi="宋体" w:eastAsia="宋体"/>
                <w:sz w:val="16"/>
              </w:rPr>
              <w:t>塔县阿巴提镇人民政府</w:t>
            </w:r>
            <w:r>
              <w:rPr>
                <w:rFonts w:hint="eastAsia" w:ascii="宋体" w:hAnsi="宋体"/>
                <w:sz w:val="16"/>
                <w:lang w:eastAsia="zh-CN"/>
              </w:rPr>
              <w:t>人大</w:t>
            </w:r>
            <w:r>
              <w:rPr>
                <w:rFonts w:ascii="宋体" w:hAnsi="宋体" w:eastAsia="宋体"/>
                <w:sz w:val="16"/>
              </w:rPr>
              <w:t>经费项目共投资9750元，用于组织各级人大代表参加乡镇本级的会议活动，保障人大代表的办公、伙食补助以及农牧民代表的误工费等。该项目的实施能够健全乡镇人大代表联络农牧民群众服务体系，充分发挥人大代表监督和建言献策的作用，着力提高代表工作的积极性与主动性，丰富乡村宣传活动内容，为美丽乡村幸福家园建设，为社会和谐，事业发展作出积极的贡献，并做好信访、陪访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710CF">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2024年8月实际支出9750元。已完成圆满召开</w:t>
            </w:r>
            <w:r>
              <w:rPr>
                <w:rFonts w:hint="eastAsia" w:ascii="宋体" w:hAnsi="宋体"/>
                <w:sz w:val="16"/>
                <w:lang w:eastAsia="zh-CN"/>
              </w:rPr>
              <w:t>人大</w:t>
            </w:r>
            <w:r>
              <w:rPr>
                <w:rFonts w:ascii="宋体" w:hAnsi="宋体" w:eastAsia="宋体"/>
                <w:sz w:val="16"/>
              </w:rPr>
              <w:t>、完善办公用品。该项目的实施能够健全人大代表联络农牧民群众服务系统，充分发挥人大代表</w:t>
            </w:r>
            <w:r>
              <w:rPr>
                <w:rFonts w:hint="eastAsia" w:ascii="宋体" w:hAnsi="宋体"/>
                <w:sz w:val="16"/>
                <w:lang w:eastAsia="zh-CN"/>
              </w:rPr>
              <w:t>监督</w:t>
            </w:r>
            <w:r>
              <w:rPr>
                <w:rFonts w:ascii="宋体" w:hAnsi="宋体" w:eastAsia="宋体"/>
                <w:sz w:val="16"/>
              </w:rPr>
              <w:t>和建言献策的作用，着力提高代表工作的积极性与主动性，丰富乡村宣传工作，为社会和谐，事业发展作出积极地贡献，并做好信访、陪访工作。项目预算安排资金0.98万元，其中：财政资金0.98万元，其他资金0万元。用于召开会议发放伙食费0.78万元；用于购买办公用品0.2万元；</w:t>
            </w:r>
          </w:p>
        </w:tc>
      </w:tr>
      <w:tr w14:paraId="5CD2E7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53E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E8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4A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A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E0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1A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6B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A5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A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B2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5A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BC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9028">
            <w:pPr>
              <w:jc w:val="center"/>
            </w:pPr>
            <w:r>
              <w:rPr>
                <w:rFonts w:ascii="宋体" w:hAnsi="宋体" w:eastAsia="宋体"/>
                <w:sz w:val="16"/>
              </w:rPr>
              <w:t>偏差原因分析及改进措施</w:t>
            </w:r>
          </w:p>
        </w:tc>
      </w:tr>
      <w:tr w14:paraId="01980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4A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6D9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8AE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DC7A">
            <w:pPr>
              <w:jc w:val="center"/>
            </w:pPr>
            <w:r>
              <w:rPr>
                <w:rFonts w:ascii="宋体" w:hAnsi="宋体" w:eastAsia="宋体"/>
                <w:sz w:val="16"/>
              </w:rPr>
              <w:t>保障镇人大代表办公用品次数（次）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253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A0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5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67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5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0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D2E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9D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3798">
            <w:pPr>
              <w:jc w:val="center"/>
            </w:pPr>
          </w:p>
        </w:tc>
      </w:tr>
      <w:tr w14:paraId="22DC9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DE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2C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39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D4E4">
            <w:pPr>
              <w:jc w:val="center"/>
            </w:pPr>
            <w:r>
              <w:rPr>
                <w:rFonts w:ascii="宋体" w:hAnsi="宋体" w:eastAsia="宋体"/>
                <w:sz w:val="16"/>
              </w:rPr>
              <w:t>保障参会人大代表人数（人）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DA6C">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86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F8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4A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C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4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6AAB">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357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B0732">
            <w:pPr>
              <w:jc w:val="center"/>
            </w:pPr>
          </w:p>
        </w:tc>
      </w:tr>
      <w:tr w14:paraId="62E72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04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1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D6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CF2A">
            <w:pPr>
              <w:jc w:val="center"/>
            </w:pPr>
            <w:r>
              <w:rPr>
                <w:rFonts w:ascii="宋体" w:hAnsi="宋体" w:eastAsia="宋体"/>
                <w:sz w:val="16"/>
              </w:rPr>
              <w:t>项目资金拨付合规率（%）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C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E6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B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FF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2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4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8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2F8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013F">
            <w:pPr>
              <w:jc w:val="center"/>
            </w:pPr>
          </w:p>
        </w:tc>
      </w:tr>
      <w:tr w14:paraId="2DFEE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6D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43D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A77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1D3A">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DCE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ED8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7B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E9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5F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1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974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A5D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79F40">
            <w:pPr>
              <w:jc w:val="center"/>
            </w:pPr>
          </w:p>
        </w:tc>
      </w:tr>
      <w:tr w14:paraId="69EEC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27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80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84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C2C9">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4FB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6C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72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03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94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3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2271">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A7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42BA">
            <w:pPr>
              <w:jc w:val="center"/>
            </w:pPr>
          </w:p>
        </w:tc>
      </w:tr>
      <w:tr w14:paraId="4BD80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D2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80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B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9CA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5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F32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FF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35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8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7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F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3AD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C151B">
            <w:pPr>
              <w:jc w:val="center"/>
            </w:pPr>
          </w:p>
        </w:tc>
      </w:tr>
      <w:tr w14:paraId="7BA7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F1A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696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237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332B">
            <w:pPr>
              <w:jc w:val="center"/>
            </w:pPr>
            <w:r>
              <w:rPr>
                <w:rFonts w:ascii="宋体" w:hAnsi="宋体" w:eastAsia="宋体"/>
                <w:sz w:val="16"/>
              </w:rPr>
              <w:t>保障镇人大代表成本（元/每人）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6332">
            <w:pPr>
              <w:jc w:val="center"/>
            </w:pPr>
            <w:r>
              <w:rPr>
                <w:rFonts w:ascii="宋体" w:hAnsi="宋体" w:eastAsia="宋体"/>
                <w:sz w:val="16"/>
              </w:rPr>
              <w:t>&lt;=120元/每人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3B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0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30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0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4D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7D41">
            <w:pPr>
              <w:jc w:val="center"/>
            </w:pPr>
            <w:r>
              <w:rPr>
                <w:rFonts w:ascii="宋体" w:hAnsi="宋体" w:eastAsia="宋体"/>
                <w:sz w:val="16"/>
              </w:rPr>
              <w:t>=120元/每人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369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4DA8">
            <w:pPr>
              <w:jc w:val="center"/>
            </w:pPr>
          </w:p>
        </w:tc>
      </w:tr>
      <w:tr w14:paraId="24E57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2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5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94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3836">
            <w:pPr>
              <w:jc w:val="center"/>
            </w:pPr>
            <w:r>
              <w:rPr>
                <w:rFonts w:ascii="宋体" w:hAnsi="宋体" w:eastAsia="宋体"/>
                <w:sz w:val="16"/>
              </w:rPr>
              <w:t>购买办公用品成本（元/次）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8AE8">
            <w:pPr>
              <w:jc w:val="center"/>
            </w:pPr>
            <w:r>
              <w:rPr>
                <w:rFonts w:ascii="宋体" w:hAnsi="宋体" w:eastAsia="宋体"/>
                <w:sz w:val="16"/>
              </w:rPr>
              <w:t>&lt;=1950元/每次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3D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3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8E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4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D6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5AA7">
            <w:pPr>
              <w:jc w:val="center"/>
            </w:pPr>
            <w:r>
              <w:rPr>
                <w:rFonts w:ascii="宋体" w:hAnsi="宋体" w:eastAsia="宋体"/>
                <w:sz w:val="16"/>
              </w:rPr>
              <w:t>=1950元/每次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8DE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ACED9">
            <w:pPr>
              <w:jc w:val="center"/>
            </w:pPr>
          </w:p>
        </w:tc>
      </w:tr>
      <w:tr w14:paraId="53D42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89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0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A0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DE1E">
            <w:pPr>
              <w:jc w:val="center"/>
            </w:pPr>
            <w:r>
              <w:rPr>
                <w:rFonts w:ascii="宋体" w:hAnsi="宋体" w:eastAsia="宋体"/>
                <w:sz w:val="16"/>
              </w:rPr>
              <w:t>保障农牧民人大代表成本（元/每人）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8045">
            <w:pPr>
              <w:jc w:val="center"/>
            </w:pPr>
            <w:r>
              <w:rPr>
                <w:rFonts w:ascii="宋体" w:hAnsi="宋体" w:eastAsia="宋体"/>
                <w:sz w:val="16"/>
              </w:rPr>
              <w:t>&lt;=120元/每人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DC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F4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FF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9E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70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4854">
            <w:pPr>
              <w:jc w:val="center"/>
            </w:pPr>
            <w:r>
              <w:rPr>
                <w:rFonts w:ascii="宋体" w:hAnsi="宋体" w:eastAsia="宋体"/>
                <w:sz w:val="16"/>
              </w:rPr>
              <w:t>=120元/每人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67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EC34">
            <w:pPr>
              <w:jc w:val="center"/>
            </w:pPr>
          </w:p>
        </w:tc>
      </w:tr>
      <w:tr w14:paraId="78418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67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BE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B4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7F63">
            <w:pPr>
              <w:jc w:val="center"/>
            </w:pPr>
            <w:r>
              <w:rPr>
                <w:rFonts w:ascii="宋体" w:hAnsi="宋体" w:eastAsia="宋体"/>
                <w:sz w:val="16"/>
              </w:rPr>
              <w:t>提升建言献策氛围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242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AD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A4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8C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B9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9E4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95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51E4C">
            <w:pPr>
              <w:jc w:val="center"/>
            </w:pPr>
          </w:p>
        </w:tc>
      </w:tr>
      <w:tr w14:paraId="32281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C4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D1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2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39A4">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EC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C2D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5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7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A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3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F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054D">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194D">
            <w:pPr>
              <w:jc w:val="center"/>
            </w:pPr>
            <w:r>
              <w:rPr>
                <w:rFonts w:ascii="宋体" w:hAnsi="宋体" w:eastAsia="宋体"/>
                <w:sz w:val="16"/>
              </w:rPr>
              <w:t>项目完成情况较好，实际收益村集体满意度较高，所以指标出现正偏差</w:t>
            </w:r>
          </w:p>
        </w:tc>
      </w:tr>
      <w:tr w14:paraId="0C3F0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20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EA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4A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E0AE0D">
            <w:pPr>
              <w:jc w:val="center"/>
            </w:pPr>
            <w:r>
              <w:rPr>
                <w:rFonts w:ascii="宋体" w:hAnsi="宋体" w:eastAsia="宋体"/>
                <w:sz w:val="16"/>
              </w:rPr>
              <w:t>99.5分</w:t>
            </w:r>
          </w:p>
        </w:tc>
      </w:tr>
    </w:tbl>
    <w:p w14:paraId="653EAB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A3C76A">
        <w:tblPrEx>
          <w:tblCellMar>
            <w:top w:w="0" w:type="dxa"/>
            <w:left w:w="108" w:type="dxa"/>
            <w:bottom w:w="0" w:type="dxa"/>
            <w:right w:w="108" w:type="dxa"/>
          </w:tblCellMar>
        </w:tblPrEx>
        <w:tc>
          <w:tcPr>
            <w:tcW w:w="8848" w:type="dxa"/>
            <w:gridSpan w:val="14"/>
            <w:vAlign w:val="center"/>
          </w:tcPr>
          <w:p w14:paraId="396633CA">
            <w:pPr>
              <w:jc w:val="center"/>
            </w:pPr>
            <w:r>
              <w:rPr>
                <w:rFonts w:ascii="宋体" w:hAnsi="宋体" w:eastAsia="宋体"/>
                <w:sz w:val="24"/>
              </w:rPr>
              <w:t>项目支出绩效自评表</w:t>
            </w:r>
          </w:p>
        </w:tc>
      </w:tr>
      <w:tr w14:paraId="5250FE90">
        <w:tblPrEx>
          <w:tblCellMar>
            <w:top w:w="0" w:type="dxa"/>
            <w:left w:w="108" w:type="dxa"/>
            <w:bottom w:w="0" w:type="dxa"/>
            <w:right w:w="108" w:type="dxa"/>
          </w:tblCellMar>
        </w:tblPrEx>
        <w:tc>
          <w:tcPr>
            <w:tcW w:w="8848" w:type="dxa"/>
            <w:gridSpan w:val="14"/>
            <w:vAlign w:val="center"/>
          </w:tcPr>
          <w:p w14:paraId="45DBB524">
            <w:pPr>
              <w:jc w:val="center"/>
            </w:pPr>
            <w:r>
              <w:rPr>
                <w:rFonts w:ascii="宋体" w:hAnsi="宋体" w:eastAsia="宋体"/>
                <w:sz w:val="24"/>
              </w:rPr>
              <w:t>(2024年度)</w:t>
            </w:r>
          </w:p>
        </w:tc>
      </w:tr>
      <w:tr w14:paraId="249D2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9E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952BAB">
            <w:pPr>
              <w:jc w:val="center"/>
            </w:pPr>
            <w:r>
              <w:rPr>
                <w:rFonts w:ascii="宋体" w:hAnsi="宋体" w:eastAsia="宋体"/>
                <w:sz w:val="16"/>
              </w:rPr>
              <w:t>塔吉克阿巴提镇2024年福彩公益金支持社会组织参与基层社会治理项目</w:t>
            </w:r>
          </w:p>
        </w:tc>
      </w:tr>
      <w:tr w14:paraId="35BAF5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62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36A7D">
            <w:pPr>
              <w:jc w:val="center"/>
            </w:pPr>
            <w:r>
              <w:rPr>
                <w:rFonts w:ascii="宋体" w:hAnsi="宋体" w:eastAsia="宋体"/>
                <w:sz w:val="16"/>
              </w:rPr>
              <w:t>塔什库尔干塔吉克自治县塔吉克阿巴提镇人民政府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AB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10EDA">
            <w:pPr>
              <w:jc w:val="center"/>
            </w:pPr>
            <w:r>
              <w:rPr>
                <w:rFonts w:ascii="宋体" w:hAnsi="宋体" w:eastAsia="宋体"/>
                <w:sz w:val="16"/>
              </w:rPr>
              <w:t>塔什库尔干塔吉克自治县塔吉克阿巴提镇人民政府</w:t>
            </w:r>
          </w:p>
        </w:tc>
      </w:tr>
      <w:tr w14:paraId="565A0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4C2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2F3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B49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9A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47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1E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E2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BBD3">
            <w:pPr>
              <w:jc w:val="center"/>
            </w:pPr>
            <w:r>
              <w:rPr>
                <w:rFonts w:ascii="宋体" w:hAnsi="宋体" w:eastAsia="宋体"/>
                <w:sz w:val="16"/>
              </w:rPr>
              <w:t>得分</w:t>
            </w:r>
          </w:p>
        </w:tc>
      </w:tr>
      <w:tr w14:paraId="2C7DA3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5C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20E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484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BBA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1A3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8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543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A1B">
            <w:pPr>
              <w:jc w:val="center"/>
            </w:pPr>
            <w:r>
              <w:rPr>
                <w:rFonts w:ascii="宋体" w:hAnsi="宋体" w:eastAsia="宋体"/>
                <w:sz w:val="16"/>
              </w:rPr>
              <w:t>10.00分</w:t>
            </w:r>
          </w:p>
        </w:tc>
      </w:tr>
      <w:tr w14:paraId="3716A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0E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FA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7D5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FEB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5327">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FF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19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429C">
            <w:pPr>
              <w:jc w:val="center"/>
            </w:pPr>
            <w:r>
              <w:rPr>
                <w:rFonts w:ascii="宋体" w:hAnsi="宋体" w:eastAsia="宋体"/>
                <w:sz w:val="16"/>
              </w:rPr>
              <w:t>—</w:t>
            </w:r>
          </w:p>
        </w:tc>
      </w:tr>
      <w:tr w14:paraId="6530D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A18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AA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34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78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90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6C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6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F5D">
            <w:pPr>
              <w:jc w:val="center"/>
            </w:pPr>
            <w:r>
              <w:rPr>
                <w:rFonts w:ascii="宋体" w:hAnsi="宋体" w:eastAsia="宋体"/>
                <w:sz w:val="16"/>
              </w:rPr>
              <w:t>—</w:t>
            </w:r>
          </w:p>
        </w:tc>
      </w:tr>
      <w:tr w14:paraId="1C490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336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6D9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1E848">
            <w:pPr>
              <w:jc w:val="center"/>
            </w:pPr>
            <w:r>
              <w:rPr>
                <w:rFonts w:ascii="宋体" w:hAnsi="宋体" w:eastAsia="宋体"/>
                <w:sz w:val="16"/>
              </w:rPr>
              <w:t>实际完成情况</w:t>
            </w:r>
          </w:p>
        </w:tc>
      </w:tr>
      <w:tr w14:paraId="7DCB3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AC7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6FCD7">
            <w:pPr>
              <w:jc w:val="both"/>
            </w:pPr>
            <w:r>
              <w:rPr>
                <w:rFonts w:ascii="宋体" w:hAnsi="宋体" w:eastAsia="宋体"/>
                <w:sz w:val="16"/>
              </w:rPr>
              <w:t>该项目2024年主要是进行前期的调研工作，与承接方签订合同，组织实施团队，完成地区孵化基地的选址和初步计划和建设工作。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A94BD">
            <w:pPr>
              <w:jc w:val="both"/>
            </w:pPr>
            <w:r>
              <w:rPr>
                <w:rFonts w:ascii="宋体" w:hAnsi="宋体" w:eastAsia="宋体"/>
                <w:sz w:val="16"/>
              </w:rPr>
              <w:t>项目实际支出16万元，在塔吉克阿巴提镇达乌拉特迭村、瑙阿巴提村、萨尔布合村、胡西纳瓦村、布勒布勒迭村等五个村委会设立了10家社会组织；在塔吉克阿巴提镇备案并开展了2场次的社区服务活动；在周期内在帕米尔社会服务中心开展了专业服务活动（个案、小组、社区活动）10场次，受益群众有200多人。在项目周期内帕米尔社会服务中心已开展1次社区社会组织微公益大赛，参赛村社会组织数量10家。在项目周期内帕米尔社会服务中心开展1场次社区志愿者、社区社会组织人才培训，培训人次有30人次。在项目周期内帕米尔社会服务中心链接5000元的慈善资源用于帮扶辖区困难群众。提升社区社会组织参与基层社会治理管理水平，乡人民政府满意度和乡镇居民满意度达到100%。</w:t>
            </w:r>
          </w:p>
        </w:tc>
      </w:tr>
      <w:tr w14:paraId="0D16FE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3940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43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BE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A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F4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DF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5D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40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2A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5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08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20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FDFA">
            <w:pPr>
              <w:jc w:val="center"/>
            </w:pPr>
            <w:r>
              <w:rPr>
                <w:rFonts w:ascii="宋体" w:hAnsi="宋体" w:eastAsia="宋体"/>
                <w:sz w:val="16"/>
              </w:rPr>
              <w:t>偏差原因分析及改进措施</w:t>
            </w:r>
          </w:p>
        </w:tc>
      </w:tr>
      <w:tr w14:paraId="3CDA7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5E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177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B82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09CA">
            <w:pPr>
              <w:jc w:val="center"/>
            </w:pPr>
            <w:r>
              <w:rPr>
                <w:rFonts w:ascii="宋体" w:hAnsi="宋体" w:eastAsia="宋体"/>
                <w:sz w:val="16"/>
              </w:rPr>
              <w:t>采购承接服务主体数量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A46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D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9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2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B3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3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7CF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89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CFB0B">
            <w:pPr>
              <w:jc w:val="center"/>
            </w:pPr>
          </w:p>
        </w:tc>
      </w:tr>
      <w:tr w14:paraId="01122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89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F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27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DEF9">
            <w:pPr>
              <w:jc w:val="center"/>
            </w:pPr>
            <w:r>
              <w:rPr>
                <w:rFonts w:ascii="宋体" w:hAnsi="宋体" w:eastAsia="宋体"/>
                <w:sz w:val="16"/>
              </w:rPr>
              <w:t>组建社区社会组织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465D">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F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27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00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5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B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822D">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41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559E">
            <w:pPr>
              <w:jc w:val="center"/>
            </w:pPr>
          </w:p>
        </w:tc>
      </w:tr>
      <w:tr w14:paraId="3031D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8B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8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63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00C6">
            <w:pPr>
              <w:jc w:val="center"/>
            </w:pPr>
            <w:r>
              <w:rPr>
                <w:rFonts w:ascii="宋体" w:hAnsi="宋体" w:eastAsia="宋体"/>
                <w:sz w:val="16"/>
              </w:rPr>
              <w:t>开展各类社会活动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ACDA">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D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F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D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A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A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96F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D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BC511">
            <w:pPr>
              <w:jc w:val="center"/>
            </w:pPr>
          </w:p>
        </w:tc>
      </w:tr>
      <w:tr w14:paraId="65DBF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E6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1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4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E31E">
            <w:pPr>
              <w:jc w:val="center"/>
            </w:pPr>
            <w:r>
              <w:rPr>
                <w:rFonts w:ascii="宋体" w:hAnsi="宋体" w:eastAsia="宋体"/>
                <w:sz w:val="16"/>
              </w:rPr>
              <w:t>开展人才培训场次数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E27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D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22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CD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2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1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79D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2B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34F6">
            <w:pPr>
              <w:jc w:val="center"/>
            </w:pPr>
          </w:p>
        </w:tc>
      </w:tr>
      <w:tr w14:paraId="5FD90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1E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A03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AD5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8B8C">
            <w:pPr>
              <w:jc w:val="center"/>
            </w:pPr>
            <w:r>
              <w:rPr>
                <w:rFonts w:ascii="宋体" w:hAnsi="宋体" w:eastAsia="宋体"/>
                <w:sz w:val="16"/>
              </w:rPr>
              <w:t>服务实际完成率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B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F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7F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E3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B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9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5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BB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7E7BD">
            <w:pPr>
              <w:jc w:val="center"/>
            </w:pPr>
          </w:p>
        </w:tc>
      </w:tr>
      <w:tr w14:paraId="61DC7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E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2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94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B845">
            <w:pPr>
              <w:jc w:val="center"/>
            </w:pPr>
            <w:r>
              <w:rPr>
                <w:rFonts w:ascii="宋体" w:hAnsi="宋体" w:eastAsia="宋体"/>
                <w:sz w:val="16"/>
              </w:rPr>
              <w:t>服务质量达标率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F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C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F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6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8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7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5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53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1D78">
            <w:pPr>
              <w:jc w:val="center"/>
            </w:pPr>
          </w:p>
        </w:tc>
      </w:tr>
      <w:tr w14:paraId="1BB24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5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B4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BA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650B">
            <w:pPr>
              <w:jc w:val="center"/>
            </w:pPr>
            <w:r>
              <w:rPr>
                <w:rFonts w:ascii="宋体" w:hAnsi="宋体" w:eastAsia="宋体"/>
                <w:sz w:val="16"/>
              </w:rPr>
              <w:t>服务完成及时率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D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C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AF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40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8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762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4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DE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A8EE7">
            <w:pPr>
              <w:jc w:val="center"/>
            </w:pPr>
          </w:p>
        </w:tc>
      </w:tr>
      <w:tr w14:paraId="5B28F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B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55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EF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6B0">
            <w:pPr>
              <w:jc w:val="center"/>
            </w:pPr>
            <w:r>
              <w:rPr>
                <w:rFonts w:ascii="宋体" w:hAnsi="宋体" w:eastAsia="宋体"/>
                <w:sz w:val="16"/>
              </w:rPr>
              <w:t>成本节约率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80DD">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03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54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8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D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AE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B6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98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0DFD7">
            <w:pPr>
              <w:jc w:val="center"/>
            </w:pPr>
          </w:p>
        </w:tc>
      </w:tr>
      <w:tr w14:paraId="760F1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5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1B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8A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7325">
            <w:pPr>
              <w:jc w:val="center"/>
            </w:pPr>
            <w:r>
              <w:rPr>
                <w:rFonts w:ascii="宋体" w:hAnsi="宋体" w:eastAsia="宋体"/>
                <w:sz w:val="16"/>
              </w:rPr>
              <w:t>提升社区社会组织参与基层社会治理管理水平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050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69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23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0A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EC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6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E1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D9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6B34">
            <w:pPr>
              <w:jc w:val="center"/>
            </w:pPr>
          </w:p>
        </w:tc>
      </w:tr>
      <w:tr w14:paraId="014C7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FF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288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DFD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2E49">
            <w:pPr>
              <w:jc w:val="center"/>
            </w:pPr>
            <w:r>
              <w:rPr>
                <w:rFonts w:ascii="宋体" w:hAnsi="宋体" w:eastAsia="宋体"/>
                <w:sz w:val="16"/>
              </w:rPr>
              <w:t>乡人民政府满意度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34D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B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F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AF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0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8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F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4A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010BF">
            <w:pPr>
              <w:jc w:val="center"/>
            </w:pPr>
            <w:r>
              <w:rPr>
                <w:rFonts w:ascii="宋体" w:hAnsi="宋体" w:eastAsia="宋体"/>
                <w:sz w:val="16"/>
              </w:rPr>
              <w:t>项目完成情况较好，实际乡人民政府满意度较高，所以指标出现正偏差</w:t>
            </w:r>
          </w:p>
        </w:tc>
      </w:tr>
      <w:tr w14:paraId="45B24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3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14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A5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5943">
            <w:pPr>
              <w:jc w:val="center"/>
            </w:pPr>
            <w:r>
              <w:rPr>
                <w:rFonts w:ascii="宋体" w:hAnsi="宋体" w:eastAsia="宋体"/>
                <w:sz w:val="16"/>
              </w:rPr>
              <w:t>乡镇居民满意度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847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9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41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8B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9D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F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4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09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B5563">
            <w:pPr>
              <w:jc w:val="center"/>
            </w:pPr>
            <w:r>
              <w:rPr>
                <w:rFonts w:ascii="宋体" w:hAnsi="宋体" w:eastAsia="宋体"/>
                <w:sz w:val="16"/>
              </w:rPr>
              <w:t>项目完成情况较好，实际乡镇居民满意度较高，所以指标出现正偏差</w:t>
            </w:r>
          </w:p>
        </w:tc>
      </w:tr>
      <w:tr w14:paraId="57A99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CB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00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287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12A94">
            <w:pPr>
              <w:jc w:val="center"/>
            </w:pPr>
            <w:r>
              <w:rPr>
                <w:rFonts w:ascii="宋体" w:hAnsi="宋体" w:eastAsia="宋体"/>
                <w:sz w:val="16"/>
              </w:rPr>
              <w:t>100分</w:t>
            </w:r>
          </w:p>
        </w:tc>
      </w:tr>
    </w:tbl>
    <w:p w14:paraId="216E4F1D">
      <w:r>
        <w:br w:type="page"/>
      </w:r>
    </w:p>
    <w:p w14:paraId="3630B25B">
      <w:pPr>
        <w:spacing w:line="640" w:lineRule="exact"/>
        <w:ind w:firstLine="640"/>
        <w:jc w:val="both"/>
        <w:outlineLvl w:val="2"/>
      </w:pPr>
      <w:r>
        <w:rPr>
          <w:rFonts w:ascii="黑体" w:hAnsi="黑体" w:eastAsia="黑体"/>
          <w:sz w:val="32"/>
        </w:rPr>
        <w:t>十二、其他需说明的事项</w:t>
      </w:r>
    </w:p>
    <w:p w14:paraId="505BBE8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F6A4478">
      <w:r>
        <w:br w:type="page"/>
      </w:r>
    </w:p>
    <w:p w14:paraId="7F5A8869">
      <w:pPr>
        <w:spacing w:line="240" w:lineRule="auto"/>
        <w:jc w:val="center"/>
        <w:outlineLvl w:val="1"/>
      </w:pPr>
      <w:r>
        <w:rPr>
          <w:rFonts w:ascii="黑体" w:hAnsi="黑体" w:eastAsia="黑体"/>
          <w:sz w:val="32"/>
        </w:rPr>
        <w:t>第三部分 专业名词解释</w:t>
      </w:r>
    </w:p>
    <w:p w14:paraId="0B138B9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F769F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C5B3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8AF9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1940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C61ED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56D03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176D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2179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945A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038A0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B9194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3C83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F0DD3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331A10">
      <w:r>
        <w:br w:type="page"/>
      </w:r>
    </w:p>
    <w:p w14:paraId="31A13F7C">
      <w:pPr>
        <w:spacing w:line="240" w:lineRule="auto"/>
        <w:jc w:val="center"/>
        <w:outlineLvl w:val="1"/>
      </w:pPr>
      <w:r>
        <w:rPr>
          <w:rFonts w:ascii="黑体" w:hAnsi="黑体" w:eastAsia="黑体"/>
          <w:sz w:val="32"/>
        </w:rPr>
        <w:t>第四部分 部门决算报表（见附表）</w:t>
      </w:r>
    </w:p>
    <w:p w14:paraId="1EB63830">
      <w:pPr>
        <w:spacing w:line="240" w:lineRule="auto"/>
        <w:ind w:firstLine="640"/>
        <w:jc w:val="both"/>
      </w:pPr>
      <w:r>
        <w:rPr>
          <w:rFonts w:ascii="仿宋_GB2312" w:hAnsi="仿宋_GB2312" w:eastAsia="仿宋_GB2312"/>
          <w:b w:val="0"/>
          <w:sz w:val="32"/>
        </w:rPr>
        <w:t>一、《收入支出决算总表》</w:t>
      </w:r>
    </w:p>
    <w:p w14:paraId="607DD30B">
      <w:pPr>
        <w:spacing w:line="240" w:lineRule="auto"/>
        <w:ind w:firstLine="640"/>
        <w:jc w:val="both"/>
      </w:pPr>
      <w:r>
        <w:rPr>
          <w:rFonts w:ascii="仿宋_GB2312" w:hAnsi="仿宋_GB2312" w:eastAsia="仿宋_GB2312"/>
          <w:b w:val="0"/>
          <w:sz w:val="32"/>
        </w:rPr>
        <w:t>二、《收入决算表》</w:t>
      </w:r>
    </w:p>
    <w:p w14:paraId="304AA583">
      <w:pPr>
        <w:spacing w:line="240" w:lineRule="auto"/>
        <w:ind w:firstLine="640"/>
        <w:jc w:val="both"/>
      </w:pPr>
      <w:r>
        <w:rPr>
          <w:rFonts w:ascii="仿宋_GB2312" w:hAnsi="仿宋_GB2312" w:eastAsia="仿宋_GB2312"/>
          <w:b w:val="0"/>
          <w:sz w:val="32"/>
        </w:rPr>
        <w:t>三、《支出决算表》</w:t>
      </w:r>
    </w:p>
    <w:p w14:paraId="4FD81951">
      <w:pPr>
        <w:spacing w:line="240" w:lineRule="auto"/>
        <w:ind w:firstLine="640"/>
        <w:jc w:val="both"/>
      </w:pPr>
      <w:r>
        <w:rPr>
          <w:rFonts w:ascii="仿宋_GB2312" w:hAnsi="仿宋_GB2312" w:eastAsia="仿宋_GB2312"/>
          <w:b w:val="0"/>
          <w:sz w:val="32"/>
        </w:rPr>
        <w:t>四、《财政拨款收入支出决算总表》</w:t>
      </w:r>
    </w:p>
    <w:p w14:paraId="7212DBC1">
      <w:pPr>
        <w:spacing w:line="240" w:lineRule="auto"/>
        <w:ind w:firstLine="640"/>
        <w:jc w:val="both"/>
      </w:pPr>
      <w:r>
        <w:rPr>
          <w:rFonts w:ascii="仿宋_GB2312" w:hAnsi="仿宋_GB2312" w:eastAsia="仿宋_GB2312"/>
          <w:b w:val="0"/>
          <w:sz w:val="32"/>
        </w:rPr>
        <w:t>五、《一般公共预算财政拨款支出决算表》</w:t>
      </w:r>
    </w:p>
    <w:p w14:paraId="4A406920">
      <w:pPr>
        <w:spacing w:line="240" w:lineRule="auto"/>
        <w:ind w:firstLine="640"/>
        <w:jc w:val="both"/>
      </w:pPr>
      <w:r>
        <w:rPr>
          <w:rFonts w:ascii="仿宋_GB2312" w:hAnsi="仿宋_GB2312" w:eastAsia="仿宋_GB2312"/>
          <w:b w:val="0"/>
          <w:sz w:val="32"/>
        </w:rPr>
        <w:t>六、《一般公共预算财政拨款基本支出决算表》</w:t>
      </w:r>
    </w:p>
    <w:p w14:paraId="07999126">
      <w:pPr>
        <w:spacing w:line="240" w:lineRule="auto"/>
        <w:ind w:firstLine="640"/>
        <w:jc w:val="both"/>
      </w:pPr>
      <w:r>
        <w:rPr>
          <w:rFonts w:ascii="仿宋_GB2312" w:hAnsi="仿宋_GB2312" w:eastAsia="仿宋_GB2312"/>
          <w:b w:val="0"/>
          <w:sz w:val="32"/>
        </w:rPr>
        <w:t>七、《政府性基金预算财政拨款收入支出决算表》</w:t>
      </w:r>
    </w:p>
    <w:p w14:paraId="4FC7BA38">
      <w:pPr>
        <w:spacing w:line="240" w:lineRule="auto"/>
        <w:ind w:firstLine="640"/>
        <w:jc w:val="both"/>
      </w:pPr>
      <w:r>
        <w:rPr>
          <w:rFonts w:ascii="仿宋_GB2312" w:hAnsi="仿宋_GB2312" w:eastAsia="仿宋_GB2312"/>
          <w:b w:val="0"/>
          <w:sz w:val="32"/>
        </w:rPr>
        <w:t>八、《国有资本经营预算财政拨款收入支出决算表》</w:t>
      </w:r>
    </w:p>
    <w:p w14:paraId="13D8B117">
      <w:pPr>
        <w:spacing w:line="240" w:lineRule="auto"/>
        <w:ind w:firstLine="640"/>
        <w:jc w:val="both"/>
      </w:pPr>
      <w:r>
        <w:rPr>
          <w:rFonts w:ascii="仿宋_GB2312" w:hAnsi="仿宋_GB2312" w:eastAsia="仿宋_GB2312"/>
          <w:b w:val="0"/>
          <w:sz w:val="32"/>
        </w:rPr>
        <w:t>九、《财政拨款“三公”经费支出决算表》</w:t>
      </w:r>
    </w:p>
    <w:p w14:paraId="55F65914">
      <w:pPr>
        <w:spacing w:line="240" w:lineRule="auto"/>
        <w:ind w:firstLine="640"/>
        <w:jc w:val="both"/>
      </w:pPr>
    </w:p>
    <w:p w14:paraId="06A8A9BB">
      <w:pPr>
        <w:spacing w:line="240" w:lineRule="auto"/>
        <w:ind w:firstLine="640"/>
        <w:jc w:val="both"/>
      </w:pPr>
    </w:p>
    <w:p w14:paraId="14DDC9DC">
      <w:pPr>
        <w:spacing w:line="240" w:lineRule="auto"/>
        <w:ind w:firstLine="640"/>
        <w:jc w:val="both"/>
      </w:pPr>
    </w:p>
    <w:p w14:paraId="1732FC4C">
      <w:pPr>
        <w:spacing w:line="240" w:lineRule="auto"/>
        <w:ind w:firstLine="640"/>
        <w:jc w:val="both"/>
      </w:pPr>
    </w:p>
    <w:p w14:paraId="39A85A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2F7893"/>
    <w:rsid w:val="19071D6C"/>
    <w:rsid w:val="19B5554D"/>
    <w:rsid w:val="1B8F2D19"/>
    <w:rsid w:val="1C317E4F"/>
    <w:rsid w:val="1C472464"/>
    <w:rsid w:val="1DAF458D"/>
    <w:rsid w:val="1E086ACE"/>
    <w:rsid w:val="1E4B5CA5"/>
    <w:rsid w:val="1EAA4A5F"/>
    <w:rsid w:val="1EC11D7B"/>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7733BA"/>
    <w:rsid w:val="4F3F074E"/>
    <w:rsid w:val="50DB5F45"/>
    <w:rsid w:val="52F92565"/>
    <w:rsid w:val="543D17CB"/>
    <w:rsid w:val="55DA564E"/>
    <w:rsid w:val="56E07045"/>
    <w:rsid w:val="583059FA"/>
    <w:rsid w:val="58746CE0"/>
    <w:rsid w:val="587E6212"/>
    <w:rsid w:val="5AFC6609"/>
    <w:rsid w:val="5B1C02DF"/>
    <w:rsid w:val="5FA17648"/>
    <w:rsid w:val="5FD320BD"/>
    <w:rsid w:val="60DE4D57"/>
    <w:rsid w:val="61250592"/>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8440</Words>
  <Characters>9626</Characters>
  <Lines>0</Lines>
  <Paragraphs>0</Paragraphs>
  <TotalTime>4</TotalTime>
  <ScaleCrop>false</ScaleCrop>
  <LinksUpToDate>false</LinksUpToDate>
  <CharactersWithSpaces>9634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