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both"/>
        <w:rPr>
          <w:rFonts w:ascii="黑体" w:hAnsi="黑体" w:eastAsia="黑体"/>
          <w:sz w:val="44"/>
          <w:szCs w:val="44"/>
        </w:rPr>
      </w:pPr>
    </w:p>
    <w:p>
      <w:pPr>
        <w:spacing w:line="580" w:lineRule="exact"/>
        <w:jc w:val="center"/>
        <w:rPr>
          <w:rFonts w:hint="eastAsia" w:ascii="宋体" w:hAnsi="宋体" w:eastAsia="宋体" w:cs="宋体"/>
          <w:b w:val="0"/>
          <w:bCs w:val="0"/>
          <w:sz w:val="44"/>
          <w:szCs w:val="44"/>
        </w:rPr>
      </w:pPr>
      <w:bookmarkStart w:id="0" w:name="_GoBack"/>
      <w:r>
        <w:rPr>
          <w:rFonts w:hint="eastAsia" w:ascii="宋体" w:hAnsi="宋体" w:eastAsia="宋体" w:cs="宋体"/>
          <w:b w:val="0"/>
          <w:bCs w:val="0"/>
          <w:sz w:val="44"/>
          <w:szCs w:val="44"/>
        </w:rPr>
        <w:t>2017年度塔什库尔干县妇</w:t>
      </w:r>
      <w:r>
        <w:rPr>
          <w:rFonts w:hint="eastAsia" w:ascii="宋体" w:hAnsi="宋体" w:cs="宋体"/>
          <w:b w:val="0"/>
          <w:bCs w:val="0"/>
          <w:sz w:val="44"/>
          <w:szCs w:val="44"/>
          <w:lang w:eastAsia="zh-CN"/>
        </w:rPr>
        <w:t>女联合会</w:t>
      </w:r>
      <w:bookmarkEnd w:id="0"/>
      <w:r>
        <w:rPr>
          <w:rFonts w:hint="eastAsia" w:ascii="宋体" w:hAnsi="宋体" w:eastAsia="宋体" w:cs="宋体"/>
          <w:b w:val="0"/>
          <w:bCs w:val="0"/>
          <w:sz w:val="44"/>
          <w:szCs w:val="44"/>
        </w:rPr>
        <w:t>部门决算公开说明</w:t>
      </w:r>
    </w:p>
    <w:p>
      <w:pPr>
        <w:spacing w:line="580" w:lineRule="exact"/>
        <w:jc w:val="center"/>
        <w:rPr>
          <w:rFonts w:hint="eastAsia" w:ascii="宋体" w:hAnsi="宋体" w:eastAsia="宋体" w:cs="宋体"/>
          <w:b w:val="0"/>
          <w:bCs w:val="0"/>
          <w:sz w:val="44"/>
          <w:szCs w:val="44"/>
          <w:lang w:eastAsia="zh-CN"/>
        </w:rPr>
      </w:pPr>
    </w:p>
    <w:p>
      <w:pPr>
        <w:keepNext w:val="0"/>
        <w:keepLines w:val="0"/>
        <w:pageBreakBefore w:val="0"/>
        <w:kinsoku/>
        <w:wordWrap/>
        <w:overflowPunct/>
        <w:topLinePunct w:val="0"/>
        <w:bidi w:val="0"/>
        <w:spacing w:line="560" w:lineRule="exact"/>
        <w:ind w:left="0" w:leftChars="0" w:right="0" w:rightChars="0" w:firstLine="3534" w:firstLineChars="1100"/>
        <w:textAlignment w:val="auto"/>
        <w:outlineLvl w:val="1"/>
        <w:rPr>
          <w:rFonts w:ascii="华文中宋" w:hAnsi="华文中宋" w:eastAsia="华文中宋"/>
          <w:b/>
          <w:sz w:val="32"/>
          <w:szCs w:val="32"/>
        </w:rPr>
      </w:pPr>
      <w:r>
        <w:rPr>
          <w:rFonts w:hint="eastAsia" w:ascii="华文中宋" w:hAnsi="华文中宋" w:eastAsia="华文中宋"/>
          <w:b/>
          <w:sz w:val="32"/>
          <w:szCs w:val="32"/>
        </w:rPr>
        <w:t>目</w:t>
      </w:r>
      <w:r>
        <w:rPr>
          <w:rFonts w:ascii="华文中宋" w:hAnsi="华文中宋" w:eastAsia="华文中宋"/>
          <w:b/>
          <w:sz w:val="32"/>
          <w:szCs w:val="32"/>
        </w:rPr>
        <w:t xml:space="preserve">  </w:t>
      </w:r>
      <w:r>
        <w:rPr>
          <w:rFonts w:hint="eastAsia" w:ascii="华文中宋" w:hAnsi="华文中宋" w:eastAsia="华文中宋"/>
          <w:b/>
          <w:sz w:val="32"/>
          <w:szCs w:val="32"/>
        </w:rPr>
        <w:t>录</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塔什库尔干县妇联单位概况</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1"/>
        <w:rPr>
          <w:rFonts w:ascii="仿宋_GB2312" w:hAnsi="宋体" w:eastAsia="仿宋_GB2312"/>
          <w:sz w:val="32"/>
          <w:szCs w:val="32"/>
        </w:rPr>
      </w:pPr>
      <w:r>
        <w:rPr>
          <w:rFonts w:hint="eastAsia" w:ascii="仿宋_GB2312" w:hAnsi="宋体" w:eastAsia="仿宋_GB2312"/>
          <w:sz w:val="32"/>
          <w:szCs w:val="32"/>
        </w:rPr>
        <w:t>一、主要职能、机构设置及人员情况</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hAnsi="宋体" w:eastAsia="仿宋_GB2312"/>
          <w:sz w:val="32"/>
          <w:szCs w:val="32"/>
        </w:rPr>
        <w:t>二、</w:t>
      </w:r>
      <w:r>
        <w:rPr>
          <w:rFonts w:hint="eastAsia" w:ascii="仿宋_GB2312" w:eastAsia="仿宋_GB2312"/>
          <w:sz w:val="32"/>
          <w:szCs w:val="32"/>
        </w:rPr>
        <w:t>部门决算单位构成</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一、部门收支总体情况</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（一）部门收入支出决算总体情况说明</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（二）部门收入总体情况说明</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（三）部门支出总体情况说明</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二、部门财政拨款收支情况</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（一）财政拨款收支总体情况说明</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（二）一般公共预算支出决算情况说明</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（三）政府性基金预算收支决算情况说明</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（四）政府性基金预算支出决算情况说明</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三、部门结转结余情况</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四、一般公共预算“三公”经费支出情况</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五、机关运行经费支出情况</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六、政府采购情况</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七、其他重要事项的情况</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（一）国有资产占用情况说明</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（二）国有资产收益征缴情况说明</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（三）部门项目支出情况和项目绩效评价情况说明</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w:t>
      </w:r>
    </w:p>
    <w:p>
      <w:pPr>
        <w:keepNext w:val="0"/>
        <w:keepLines w:val="0"/>
        <w:pageBreakBefore w:val="0"/>
        <w:kinsoku/>
        <w:wordWrap/>
        <w:overflowPunct/>
        <w:topLinePunct w:val="0"/>
        <w:bidi w:val="0"/>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一、报表封面</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二、部门收支总体情况（</w:t>
      </w:r>
      <w:r>
        <w:rPr>
          <w:rFonts w:ascii="仿宋_GB2312" w:eastAsia="仿宋_GB2312"/>
          <w:sz w:val="32"/>
          <w:szCs w:val="32"/>
        </w:rPr>
        <w:t>11</w:t>
      </w:r>
      <w:r>
        <w:rPr>
          <w:rFonts w:hint="eastAsia" w:ascii="仿宋_GB2312" w:eastAsia="仿宋_GB2312"/>
          <w:sz w:val="32"/>
          <w:szCs w:val="32"/>
        </w:rPr>
        <w:t>张）：</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《收入支出决算总表》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《收入决算表》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《支出决算表》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《收入支出决算表》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《项目收入支出决算表》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《行政事业类项目收入支出决算表》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《基本建设类项目收入支出决算表》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《支出决算明细表》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《基本支出决算明细表》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《项目支出决算明细表》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《财政专户管理资金收入支出决算表》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三、财政拨款收支情况（</w:t>
      </w:r>
      <w:r>
        <w:rPr>
          <w:rFonts w:ascii="仿宋_GB2312" w:eastAsia="仿宋_GB2312"/>
          <w:sz w:val="32"/>
          <w:szCs w:val="32"/>
        </w:rPr>
        <w:t>9</w:t>
      </w:r>
      <w:r>
        <w:rPr>
          <w:rFonts w:hint="eastAsia" w:ascii="仿宋_GB2312" w:eastAsia="仿宋_GB2312"/>
          <w:sz w:val="32"/>
          <w:szCs w:val="32"/>
        </w:rPr>
        <w:t>张）</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《财政拨款收入支出决算总表》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《一般公共预算财政拨款收入支出决算表》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《一般公共预算财政拨款支出决算明细表》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《一般公共预算财政拨款基本支出决算明细表》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《一般公共预算财政拨款项目支出决算明细表》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《政府性基金预算财政拨款收入支出决算表》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《政府性基金预算财政拨款支出决算明细表》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《政府性基金预算财政拨款基本支出决算明细表》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《政府性基金预算财政拨款项目支出决算明细表》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四、单位资产负责情况（</w:t>
      </w:r>
      <w:r>
        <w:rPr>
          <w:rFonts w:ascii="仿宋_GB2312" w:eastAsia="仿宋_GB2312"/>
          <w:sz w:val="32"/>
          <w:szCs w:val="32"/>
        </w:rPr>
        <w:t>1</w:t>
      </w:r>
      <w:r>
        <w:rPr>
          <w:rFonts w:hint="eastAsia" w:ascii="仿宋_GB2312" w:eastAsia="仿宋_GB2312"/>
          <w:sz w:val="32"/>
          <w:szCs w:val="32"/>
        </w:rPr>
        <w:t>张）：《资产负债简表》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五、部门决算附表（</w:t>
      </w:r>
      <w:r>
        <w:rPr>
          <w:rFonts w:ascii="仿宋_GB2312" w:eastAsia="仿宋_GB2312"/>
          <w:sz w:val="32"/>
          <w:szCs w:val="32"/>
        </w:rPr>
        <w:t>5</w:t>
      </w:r>
      <w:r>
        <w:rPr>
          <w:rFonts w:hint="eastAsia" w:ascii="仿宋_GB2312" w:eastAsia="仿宋_GB2312"/>
          <w:sz w:val="32"/>
          <w:szCs w:val="32"/>
        </w:rPr>
        <w:t>张）</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《资产情况表》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《国有资产收益征缴情况表》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《基本数字表》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《机构人员情况表》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《非税收入征缴情况表》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六、填报说明附表（</w:t>
      </w:r>
      <w:r>
        <w:rPr>
          <w:rFonts w:ascii="仿宋_GB2312" w:eastAsia="仿宋_GB2312"/>
          <w:sz w:val="32"/>
          <w:szCs w:val="32"/>
        </w:rPr>
        <w:t>2</w:t>
      </w:r>
      <w:r>
        <w:rPr>
          <w:rFonts w:hint="eastAsia" w:ascii="仿宋_GB2312" w:eastAsia="仿宋_GB2312"/>
          <w:sz w:val="32"/>
          <w:szCs w:val="32"/>
        </w:rPr>
        <w:t>张）</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《部门决算相关信息统计表》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《政府采购情况表》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七、“三公”经费支出情况</w:t>
      </w:r>
      <w:r>
        <w:rPr>
          <w:rFonts w:ascii="仿宋_GB2312" w:eastAsia="仿宋_GB2312"/>
          <w:sz w:val="32"/>
          <w:szCs w:val="32"/>
        </w:rPr>
        <w:t>(1</w:t>
      </w:r>
      <w:r>
        <w:rPr>
          <w:rFonts w:hint="eastAsia" w:ascii="仿宋_GB2312" w:eastAsia="仿宋_GB2312"/>
          <w:sz w:val="32"/>
          <w:szCs w:val="32"/>
        </w:rPr>
        <w:t>张</w:t>
      </w:r>
      <w:r>
        <w:rPr>
          <w:rFonts w:ascii="仿宋_GB2312" w:eastAsia="仿宋_GB2312"/>
          <w:sz w:val="32"/>
          <w:szCs w:val="32"/>
        </w:rPr>
        <w:t>)</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2017</w:t>
      </w:r>
      <w:r>
        <w:rPr>
          <w:rFonts w:hint="eastAsia" w:ascii="仿宋_GB2312" w:eastAsia="仿宋_GB2312"/>
          <w:sz w:val="32"/>
          <w:szCs w:val="32"/>
        </w:rPr>
        <w:t>年度一般公共预算“三公”经费支出情况表》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bidi w:val="0"/>
        <w:spacing w:line="560" w:lineRule="exact"/>
        <w:ind w:left="0" w:leftChars="0" w:right="0" w:rightChars="0"/>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第一部分 部门单位概况</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一、部门单位基本情况，包括：部门主要职能和机构设置情况、年末编制情况、实有人数情况等。</w:t>
      </w:r>
    </w:p>
    <w:p>
      <w:pPr>
        <w:keepNext w:val="0"/>
        <w:keepLines w:val="0"/>
        <w:pageBreakBefore w:val="0"/>
        <w:kinsoku/>
        <w:wordWrap/>
        <w:overflowPunct/>
        <w:topLinePunct w:val="0"/>
        <w:bidi w:val="0"/>
        <w:spacing w:line="560" w:lineRule="exact"/>
        <w:ind w:left="0" w:leftChars="0" w:right="0" w:rightChars="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（一）主要职能</w:t>
      </w:r>
    </w:p>
    <w:p>
      <w:pPr>
        <w:keepNext w:val="0"/>
        <w:keepLines w:val="0"/>
        <w:pageBreakBefore w:val="0"/>
        <w:kinsoku/>
        <w:wordWrap/>
        <w:overflowPunct/>
        <w:topLinePunct w:val="0"/>
        <w:bidi w:val="0"/>
        <w:spacing w:line="560" w:lineRule="exact"/>
        <w:ind w:left="0" w:leftChars="0"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宣传、贯彻党的路线、方针、政策。教育、引导妇女增强自尊、自信、自立、自强精神，成为有理想、有道德、有文化、有纪律的社会主义新女性。及时传达上级妇联的指示精神，并制订具体落实措施，认真贯彻执行。</w:t>
      </w:r>
    </w:p>
    <w:p>
      <w:pPr>
        <w:keepNext w:val="0"/>
        <w:keepLines w:val="0"/>
        <w:pageBreakBefore w:val="0"/>
        <w:kinsoku/>
        <w:wordWrap/>
        <w:overflowPunct/>
        <w:topLinePunct w:val="0"/>
        <w:bidi w:val="0"/>
        <w:spacing w:line="560" w:lineRule="exact"/>
        <w:ind w:left="0" w:leftChars="0"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2.向上级妇联反映妇女群众的意见、建议和要求。引导妇女在基层政权建设中发挥民主作用，参与民主管理，民主监督作用，推进男女平等基本国策的落实。</w:t>
      </w:r>
    </w:p>
    <w:p>
      <w:pPr>
        <w:keepNext w:val="0"/>
        <w:keepLines w:val="0"/>
        <w:pageBreakBefore w:val="0"/>
        <w:kinsoku/>
        <w:wordWrap/>
        <w:overflowPunct/>
        <w:topLinePunct w:val="0"/>
        <w:bidi w:val="0"/>
        <w:spacing w:line="560" w:lineRule="exact"/>
        <w:ind w:left="0" w:leftChars="0"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3.制订本街妇女工作年度计划及本届妇联工作目标，并组织实施。</w:t>
      </w:r>
    </w:p>
    <w:p>
      <w:pPr>
        <w:keepNext w:val="0"/>
        <w:keepLines w:val="0"/>
        <w:pageBreakBefore w:val="0"/>
        <w:kinsoku/>
        <w:wordWrap/>
        <w:overflowPunct/>
        <w:topLinePunct w:val="0"/>
        <w:bidi w:val="0"/>
        <w:spacing w:line="560" w:lineRule="exact"/>
        <w:ind w:left="0" w:leftChars="0"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4.开展“党建带妇建”、“巾帼建功”、“五好文明家庭”等活动。提高妇女思想道德素质、科技文化素质、民主法制素质，弘扬社会公德、职业道德和家庭美德。</w:t>
      </w:r>
    </w:p>
    <w:p>
      <w:pPr>
        <w:keepNext w:val="0"/>
        <w:keepLines w:val="0"/>
        <w:pageBreakBefore w:val="0"/>
        <w:kinsoku/>
        <w:wordWrap/>
        <w:overflowPunct/>
        <w:topLinePunct w:val="0"/>
        <w:bidi w:val="0"/>
        <w:spacing w:line="560" w:lineRule="exact"/>
        <w:ind w:left="0" w:leftChars="0"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5.抓好妇联组织的班子建设，具体指导社区居委会妇女主任的政治业务学习。及时总结推广妇女工作中的先进事迹和典型事例，并做好推荐优秀妇女作为党的发展对象和后备干部的工作。</w:t>
      </w:r>
    </w:p>
    <w:p>
      <w:pPr>
        <w:keepNext w:val="0"/>
        <w:keepLines w:val="0"/>
        <w:pageBreakBefore w:val="0"/>
        <w:kinsoku/>
        <w:wordWrap/>
        <w:overflowPunct/>
        <w:topLinePunct w:val="0"/>
        <w:bidi w:val="0"/>
        <w:spacing w:line="560" w:lineRule="exact"/>
        <w:ind w:left="0" w:leftChars="0"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6.做好妇女群众的来信来访工作，切实解决来信来访者的诉求问题。</w:t>
      </w:r>
    </w:p>
    <w:p>
      <w:pPr>
        <w:keepNext w:val="0"/>
        <w:keepLines w:val="0"/>
        <w:pageBreakBefore w:val="0"/>
        <w:kinsoku/>
        <w:wordWrap/>
        <w:overflowPunct/>
        <w:topLinePunct w:val="0"/>
        <w:bidi w:val="0"/>
        <w:spacing w:line="560" w:lineRule="exact"/>
        <w:ind w:left="0" w:leftChars="0"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7.协助教育部门抓好本街幼儿教育，帮助解决少儿工作中的有关问题。</w:t>
      </w:r>
    </w:p>
    <w:p>
      <w:pPr>
        <w:keepNext w:val="0"/>
        <w:keepLines w:val="0"/>
        <w:pageBreakBefore w:val="0"/>
        <w:kinsoku/>
        <w:wordWrap/>
        <w:overflowPunct/>
        <w:topLinePunct w:val="0"/>
        <w:bidi w:val="0"/>
        <w:spacing w:line="560" w:lineRule="exact"/>
        <w:ind w:left="0" w:leftChars="0"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宣传、普及有关妇女儿童的法律和法规知识，反对一切歧视、侵犯、虐待妇女儿童的不良现象，配合有关部门打击拐卖妇女儿童、嫖娼、卖淫、赌博、吸毒等社会丑恶行为，维护社会稳定、推进依法治国，依法维护妇女儿童的合法权益。</w:t>
      </w:r>
    </w:p>
    <w:p>
      <w:pPr>
        <w:keepNext w:val="0"/>
        <w:keepLines w:val="0"/>
        <w:pageBreakBefore w:val="0"/>
        <w:kinsoku/>
        <w:wordWrap/>
        <w:overflowPunct/>
        <w:topLinePunct w:val="0"/>
        <w:bidi w:val="0"/>
        <w:spacing w:line="560" w:lineRule="exact"/>
        <w:ind w:left="0" w:leftChars="0"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9.组织妇女开展一些有益的活动，发挥妇女在“三个文明”建设中的作用。</w:t>
      </w:r>
    </w:p>
    <w:p>
      <w:pPr>
        <w:keepNext w:val="0"/>
        <w:keepLines w:val="0"/>
        <w:pageBreakBefore w:val="0"/>
        <w:kinsoku/>
        <w:wordWrap/>
        <w:overflowPunct/>
        <w:topLinePunct w:val="0"/>
        <w:bidi w:val="0"/>
        <w:spacing w:line="560" w:lineRule="exact"/>
        <w:ind w:left="0" w:leftChars="0"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 做好有关妇女报刊杂志的征订工作。</w:t>
      </w:r>
    </w:p>
    <w:p>
      <w:pPr>
        <w:keepNext w:val="0"/>
        <w:keepLines w:val="0"/>
        <w:pageBreakBefore w:val="0"/>
        <w:kinsoku/>
        <w:wordWrap/>
        <w:overflowPunct/>
        <w:topLinePunct w:val="0"/>
        <w:bidi w:val="0"/>
        <w:spacing w:line="560" w:lineRule="exact"/>
        <w:ind w:left="0" w:leftChars="0"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 做好困难单亲母亲的关爱和慰问工作，关爱孤儿，努力为孤儿的成长提供良好的生活环境。</w:t>
      </w:r>
    </w:p>
    <w:p>
      <w:pPr>
        <w:keepNext w:val="0"/>
        <w:keepLines w:val="0"/>
        <w:pageBreakBefore w:val="0"/>
        <w:kinsoku/>
        <w:wordWrap/>
        <w:overflowPunct/>
        <w:topLinePunct w:val="0"/>
        <w:bidi w:val="0"/>
        <w:spacing w:line="560" w:lineRule="exact"/>
        <w:ind w:left="0" w:leftChars="0"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 积极完成党的中心工作和上级妇联交办的其它工作。</w:t>
      </w:r>
    </w:p>
    <w:p>
      <w:pPr>
        <w:keepNext w:val="0"/>
        <w:keepLines w:val="0"/>
        <w:pageBreakBefore w:val="0"/>
        <w:kinsoku/>
        <w:wordWrap/>
        <w:overflowPunct/>
        <w:topLinePunct w:val="0"/>
        <w:bidi w:val="0"/>
        <w:spacing w:line="560" w:lineRule="exact"/>
        <w:ind w:left="0" w:leftChars="0" w:right="0" w:rightChars="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（二）机构设置情况：</w:t>
      </w:r>
    </w:p>
    <w:p>
      <w:pPr>
        <w:keepNext w:val="0"/>
        <w:keepLines w:val="0"/>
        <w:pageBreakBefore w:val="0"/>
        <w:kinsoku/>
        <w:wordWrap/>
        <w:overflowPunct/>
        <w:topLinePunct w:val="0"/>
        <w:bidi w:val="0"/>
        <w:spacing w:line="560" w:lineRule="exact"/>
        <w:ind w:left="0" w:leftChars="0" w:right="0" w:rightChars="0" w:firstLine="420" w:firstLineChars="200"/>
        <w:textAlignment w:val="auto"/>
        <w:rPr>
          <w:rFonts w:hint="eastAsia" w:ascii="仿宋_GB2312" w:hAnsi="仿宋_GB2312" w:eastAsia="仿宋_GB2312" w:cs="仿宋_GB2312"/>
          <w:sz w:val="32"/>
          <w:szCs w:val="32"/>
          <w:lang w:eastAsia="zh-CN"/>
        </w:rPr>
      </w:pPr>
      <w:r>
        <w:rPr>
          <w:rFonts w:hint="eastAsia"/>
          <w:lang w:val="en-US" w:eastAsia="zh-CN"/>
        </w:rPr>
        <w:t xml:space="preserve">  </w:t>
      </w:r>
      <w:r>
        <w:rPr>
          <w:rFonts w:hint="eastAsia" w:ascii="仿宋_GB2312" w:eastAsia="仿宋_GB2312"/>
          <w:sz w:val="32"/>
          <w:szCs w:val="32"/>
        </w:rPr>
        <w:t>塔</w:t>
      </w:r>
      <w:r>
        <w:rPr>
          <w:rFonts w:hint="eastAsia" w:ascii="仿宋_GB2312" w:eastAsia="仿宋_GB2312"/>
          <w:sz w:val="32"/>
          <w:szCs w:val="32"/>
          <w:lang w:eastAsia="zh-CN"/>
        </w:rPr>
        <w:t>什库尔干</w:t>
      </w:r>
      <w:r>
        <w:rPr>
          <w:rFonts w:hint="eastAsia" w:ascii="仿宋_GB2312" w:eastAsia="仿宋_GB2312"/>
          <w:sz w:val="32"/>
          <w:szCs w:val="32"/>
        </w:rPr>
        <w:t>县</w:t>
      </w:r>
      <w:r>
        <w:rPr>
          <w:rFonts w:hint="eastAsia" w:ascii="仿宋_GB2312" w:eastAsia="仿宋_GB2312"/>
          <w:sz w:val="32"/>
          <w:szCs w:val="32"/>
          <w:lang w:eastAsia="zh-CN"/>
        </w:rPr>
        <w:t>妇联</w:t>
      </w:r>
      <w:r>
        <w:rPr>
          <w:rFonts w:hint="eastAsia" w:ascii="仿宋_GB2312" w:eastAsia="仿宋_GB2312"/>
          <w:sz w:val="32"/>
          <w:szCs w:val="32"/>
        </w:rPr>
        <w:t>性质为全额拨款</w:t>
      </w:r>
      <w:r>
        <w:rPr>
          <w:rFonts w:hint="eastAsia" w:ascii="仿宋_GB2312" w:eastAsia="仿宋_GB2312"/>
          <w:sz w:val="32"/>
          <w:szCs w:val="32"/>
          <w:lang w:eastAsia="zh-CN"/>
        </w:rPr>
        <w:t>的</w:t>
      </w:r>
      <w:r>
        <w:rPr>
          <w:rFonts w:hint="eastAsia" w:ascii="仿宋_GB2312" w:eastAsia="仿宋_GB2312"/>
          <w:sz w:val="32"/>
          <w:szCs w:val="32"/>
        </w:rPr>
        <w:t>事业单位，执行会计制度为事业会计制度。独立编制机构1个，独立编制机构与上年</w:t>
      </w:r>
      <w:r>
        <w:rPr>
          <w:rFonts w:hint="eastAsia" w:ascii="仿宋_GB2312" w:eastAsia="仿宋_GB2312"/>
          <w:sz w:val="32"/>
          <w:szCs w:val="32"/>
          <w:lang w:eastAsia="zh-CN"/>
        </w:rPr>
        <w:t>相比</w:t>
      </w:r>
      <w:r>
        <w:rPr>
          <w:rFonts w:hint="eastAsia" w:ascii="仿宋_GB2312" w:eastAsia="仿宋_GB2312"/>
          <w:sz w:val="32"/>
          <w:szCs w:val="32"/>
        </w:rPr>
        <w:t>无变动</w:t>
      </w:r>
      <w:r>
        <w:rPr>
          <w:rFonts w:hint="eastAsia" w:ascii="仿宋_GB2312" w:eastAsia="仿宋_GB2312"/>
          <w:sz w:val="32"/>
          <w:szCs w:val="32"/>
          <w:lang w:eastAsia="zh-CN"/>
        </w:rPr>
        <w:t>，无内设机构。</w:t>
      </w:r>
    </w:p>
    <w:p>
      <w:pPr>
        <w:pStyle w:val="5"/>
        <w:keepNext w:val="0"/>
        <w:keepLines w:val="0"/>
        <w:pageBreakBefore w:val="0"/>
        <w:widowControl/>
        <w:kinsoku/>
        <w:wordWrap/>
        <w:overflowPunct/>
        <w:topLinePunct w:val="0"/>
        <w:bidi w:val="0"/>
        <w:spacing w:line="560" w:lineRule="exact"/>
        <w:ind w:left="0" w:leftChars="0" w:right="0" w:rightChars="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（三）年末编制和实有人数情况</w:t>
      </w:r>
    </w:p>
    <w:p>
      <w:pPr>
        <w:pStyle w:val="5"/>
        <w:keepNext w:val="0"/>
        <w:keepLines w:val="0"/>
        <w:pageBreakBefore w:val="0"/>
        <w:widowControl/>
        <w:kinsoku/>
        <w:wordWrap/>
        <w:overflowPunct/>
        <w:topLinePunct w:val="0"/>
        <w:bidi w:val="0"/>
        <w:spacing w:line="560" w:lineRule="exact"/>
        <w:ind w:left="0" w:leftChars="0" w:right="0" w:rightChars="0"/>
        <w:textAlignment w:val="auto"/>
        <w:rPr>
          <w:rFonts w:hint="eastAsia" w:ascii="仿宋_GB2312" w:hAnsi="仿宋_GB2312" w:eastAsia="仿宋_GB2312" w:cs="仿宋_GB2312"/>
          <w:color w:val="000000"/>
          <w:spacing w:val="-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eastAsia="仿宋_GB2312"/>
          <w:sz w:val="32"/>
          <w:szCs w:val="32"/>
        </w:rPr>
        <w:t>塔</w:t>
      </w:r>
      <w:r>
        <w:rPr>
          <w:rFonts w:hint="eastAsia" w:ascii="仿宋_GB2312" w:eastAsia="仿宋_GB2312"/>
          <w:sz w:val="32"/>
          <w:szCs w:val="32"/>
          <w:lang w:eastAsia="zh-CN"/>
        </w:rPr>
        <w:t>什库尔干</w:t>
      </w:r>
      <w:r>
        <w:rPr>
          <w:rFonts w:hint="eastAsia" w:ascii="仿宋_GB2312" w:eastAsia="仿宋_GB2312"/>
          <w:sz w:val="32"/>
          <w:szCs w:val="32"/>
        </w:rPr>
        <w:t>县</w:t>
      </w:r>
      <w:r>
        <w:rPr>
          <w:rFonts w:hint="eastAsia" w:ascii="仿宋_GB2312" w:eastAsia="仿宋_GB2312"/>
          <w:sz w:val="32"/>
          <w:szCs w:val="32"/>
          <w:lang w:eastAsia="zh-CN"/>
        </w:rPr>
        <w:t>妇联</w:t>
      </w:r>
      <w:r>
        <w:rPr>
          <w:rFonts w:hint="eastAsia" w:ascii="仿宋_GB2312" w:hAnsi="仿宋_GB2312" w:eastAsia="仿宋_GB2312" w:cs="仿宋_GB2312"/>
          <w:sz w:val="32"/>
          <w:szCs w:val="32"/>
        </w:rPr>
        <w:t>编制人数5人，其中行政编制4人，事业编制1人，</w:t>
      </w:r>
      <w:r>
        <w:rPr>
          <w:rFonts w:hint="eastAsia" w:ascii="仿宋_GB2312" w:eastAsia="仿宋_GB2312"/>
          <w:sz w:val="32"/>
          <w:szCs w:val="32"/>
        </w:rPr>
        <w:t>塔</w:t>
      </w:r>
      <w:r>
        <w:rPr>
          <w:rFonts w:hint="eastAsia" w:ascii="仿宋_GB2312" w:eastAsia="仿宋_GB2312"/>
          <w:sz w:val="32"/>
          <w:szCs w:val="32"/>
          <w:lang w:eastAsia="zh-CN"/>
        </w:rPr>
        <w:t>什库尔干</w:t>
      </w:r>
      <w:r>
        <w:rPr>
          <w:rFonts w:hint="eastAsia" w:ascii="仿宋_GB2312" w:eastAsia="仿宋_GB2312"/>
          <w:sz w:val="32"/>
          <w:szCs w:val="32"/>
        </w:rPr>
        <w:t>县</w:t>
      </w:r>
      <w:r>
        <w:rPr>
          <w:rFonts w:hint="eastAsia" w:ascii="仿宋_GB2312" w:eastAsia="仿宋_GB2312"/>
          <w:sz w:val="32"/>
          <w:szCs w:val="32"/>
          <w:lang w:eastAsia="zh-CN"/>
        </w:rPr>
        <w:t>妇联</w:t>
      </w:r>
      <w:r>
        <w:rPr>
          <w:rFonts w:hint="eastAsia" w:ascii="仿宋_GB2312" w:hAnsi="仿宋_GB2312" w:eastAsia="仿宋_GB2312" w:cs="仿宋_GB2312"/>
          <w:sz w:val="32"/>
          <w:szCs w:val="32"/>
        </w:rPr>
        <w:t>总人数4人，其中在职人员4人，与上年一样，在职人员中副科1人，副科0人，科员3人；单位车辆编制数0辆，实有数0辆。</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二、部门决算单位构成。</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从决算单位构成看，</w:t>
      </w:r>
      <w:r>
        <w:rPr>
          <w:rFonts w:hint="eastAsia" w:ascii="仿宋_GB2312" w:eastAsia="仿宋_GB2312"/>
          <w:sz w:val="32"/>
          <w:szCs w:val="32"/>
        </w:rPr>
        <w:t>塔</w:t>
      </w:r>
      <w:r>
        <w:rPr>
          <w:rFonts w:hint="eastAsia" w:ascii="仿宋_GB2312" w:eastAsia="仿宋_GB2312"/>
          <w:sz w:val="32"/>
          <w:szCs w:val="32"/>
          <w:lang w:eastAsia="zh-CN"/>
        </w:rPr>
        <w:t>什库尔干</w:t>
      </w:r>
      <w:r>
        <w:rPr>
          <w:rFonts w:hint="eastAsia" w:ascii="仿宋_GB2312" w:eastAsia="仿宋_GB2312"/>
          <w:sz w:val="32"/>
          <w:szCs w:val="32"/>
        </w:rPr>
        <w:t>县</w:t>
      </w:r>
      <w:r>
        <w:rPr>
          <w:rFonts w:hint="eastAsia" w:ascii="仿宋_GB2312" w:eastAsia="仿宋_GB2312"/>
          <w:sz w:val="32"/>
          <w:szCs w:val="32"/>
          <w:lang w:eastAsia="zh-CN"/>
        </w:rPr>
        <w:t>妇联</w:t>
      </w:r>
      <w:r>
        <w:rPr>
          <w:rFonts w:hint="eastAsia" w:ascii="仿宋_GB2312" w:hAnsi="仿宋_GB2312" w:eastAsia="仿宋_GB2312" w:cs="仿宋_GB2312"/>
          <w:sz w:val="32"/>
          <w:szCs w:val="32"/>
        </w:rPr>
        <w:t>部门决算包括：</w:t>
      </w:r>
      <w:r>
        <w:rPr>
          <w:rFonts w:hint="eastAsia" w:ascii="仿宋_GB2312" w:eastAsia="仿宋_GB2312"/>
          <w:sz w:val="32"/>
          <w:szCs w:val="32"/>
        </w:rPr>
        <w:t>塔</w:t>
      </w:r>
      <w:r>
        <w:rPr>
          <w:rFonts w:hint="eastAsia" w:ascii="仿宋_GB2312" w:eastAsia="仿宋_GB2312"/>
          <w:sz w:val="32"/>
          <w:szCs w:val="32"/>
          <w:lang w:eastAsia="zh-CN"/>
        </w:rPr>
        <w:t>什库尔干</w:t>
      </w:r>
      <w:r>
        <w:rPr>
          <w:rFonts w:hint="eastAsia" w:ascii="仿宋_GB2312" w:eastAsia="仿宋_GB2312"/>
          <w:sz w:val="32"/>
          <w:szCs w:val="32"/>
        </w:rPr>
        <w:t>县</w:t>
      </w:r>
      <w:r>
        <w:rPr>
          <w:rFonts w:hint="eastAsia" w:ascii="仿宋_GB2312" w:eastAsia="仿宋_GB2312"/>
          <w:sz w:val="32"/>
          <w:szCs w:val="32"/>
          <w:lang w:eastAsia="zh-CN"/>
        </w:rPr>
        <w:t>妇联</w:t>
      </w:r>
      <w:r>
        <w:rPr>
          <w:rFonts w:hint="eastAsia" w:ascii="仿宋_GB2312" w:hAnsi="仿宋_GB2312" w:eastAsia="仿宋_GB2312" w:cs="仿宋_GB2312"/>
          <w:sz w:val="32"/>
          <w:szCs w:val="32"/>
        </w:rPr>
        <w:t>部门本级决算</w:t>
      </w:r>
      <w:r>
        <w:rPr>
          <w:rFonts w:hint="eastAsia" w:ascii="仿宋_GB2312" w:hAnsi="仿宋_GB2312" w:eastAsia="仿宋_GB2312" w:cs="仿宋_GB2312"/>
          <w:sz w:val="32"/>
          <w:szCs w:val="32"/>
          <w:lang w:eastAsia="zh-CN"/>
        </w:rPr>
        <w:t>、所属单位决算等</w:t>
      </w:r>
      <w:r>
        <w:rPr>
          <w:rFonts w:hint="eastAsia" w:ascii="仿宋_GB2312" w:hAnsi="仿宋_GB2312" w:eastAsia="仿宋_GB2312" w:cs="仿宋_GB2312"/>
          <w:sz w:val="32"/>
          <w:szCs w:val="32"/>
        </w:rPr>
        <w:t>。</w:t>
      </w:r>
    </w:p>
    <w:p>
      <w:pPr>
        <w:keepNext w:val="0"/>
        <w:keepLines w:val="0"/>
        <w:pageBreakBefore w:val="0"/>
        <w:kinsoku/>
        <w:wordWrap/>
        <w:overflowPunct/>
        <w:topLinePunct w:val="0"/>
        <w:bidi w:val="0"/>
        <w:spacing w:line="560" w:lineRule="exact"/>
        <w:ind w:left="0" w:leftChars="0" w:right="0" w:rightChars="0" w:firstLine="616" w:firstLineChars="200"/>
        <w:textAlignment w:val="auto"/>
        <w:rPr>
          <w:rFonts w:hint="eastAsia"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rPr>
        <w:t>纳入</w:t>
      </w:r>
      <w:r>
        <w:rPr>
          <w:rFonts w:hint="eastAsia" w:ascii="仿宋_GB2312" w:eastAsia="仿宋_GB2312"/>
          <w:sz w:val="32"/>
          <w:szCs w:val="32"/>
        </w:rPr>
        <w:t>塔</w:t>
      </w:r>
      <w:r>
        <w:rPr>
          <w:rFonts w:hint="eastAsia" w:ascii="仿宋_GB2312" w:eastAsia="仿宋_GB2312"/>
          <w:sz w:val="32"/>
          <w:szCs w:val="32"/>
          <w:lang w:eastAsia="zh-CN"/>
        </w:rPr>
        <w:t>什库尔干</w:t>
      </w:r>
      <w:r>
        <w:rPr>
          <w:rFonts w:hint="eastAsia" w:ascii="仿宋_GB2312" w:eastAsia="仿宋_GB2312"/>
          <w:sz w:val="32"/>
          <w:szCs w:val="32"/>
        </w:rPr>
        <w:t>县</w:t>
      </w:r>
      <w:r>
        <w:rPr>
          <w:rFonts w:hint="eastAsia" w:ascii="仿宋_GB2312" w:eastAsia="仿宋_GB2312"/>
          <w:sz w:val="32"/>
          <w:szCs w:val="32"/>
          <w:lang w:eastAsia="zh-CN"/>
        </w:rPr>
        <w:t>妇联</w:t>
      </w:r>
      <w:r>
        <w:rPr>
          <w:rFonts w:hint="eastAsia" w:ascii="仿宋_GB2312" w:hAnsi="仿宋_GB2312" w:eastAsia="仿宋_GB2312" w:cs="仿宋_GB2312"/>
          <w:spacing w:val="-6"/>
          <w:sz w:val="32"/>
          <w:szCs w:val="32"/>
        </w:rPr>
        <w:t>2017年部门决算编制范围的单位名单见下表：</w:t>
      </w:r>
    </w:p>
    <w:p>
      <w:pPr>
        <w:keepNext w:val="0"/>
        <w:keepLines w:val="0"/>
        <w:pageBreakBefore w:val="0"/>
        <w:kinsoku/>
        <w:wordWrap/>
        <w:overflowPunct/>
        <w:topLinePunct w:val="0"/>
        <w:bidi w:val="0"/>
        <w:spacing w:line="560" w:lineRule="exact"/>
        <w:ind w:left="0" w:leftChars="0" w:right="0" w:rightChars="0" w:firstLine="616" w:firstLineChars="200"/>
        <w:textAlignment w:val="auto"/>
        <w:rPr>
          <w:rFonts w:hint="eastAsia" w:ascii="仿宋_GB2312" w:hAnsi="仿宋_GB2312" w:eastAsia="仿宋_GB2312" w:cs="仿宋_GB2312"/>
          <w:spacing w:val="-6"/>
          <w:sz w:val="32"/>
          <w:szCs w:val="32"/>
        </w:rPr>
      </w:pPr>
    </w:p>
    <w:tbl>
      <w:tblPr>
        <w:tblStyle w:val="8"/>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7125"/>
        <w:gridCol w:w="10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73" w:type="dxa"/>
            <w:vAlign w:val="center"/>
          </w:tcPr>
          <w:p>
            <w:pPr>
              <w:keepNext w:val="0"/>
              <w:keepLines w:val="0"/>
              <w:pageBreakBefore w:val="0"/>
              <w:kinsoku/>
              <w:wordWrap/>
              <w:overflowPunct/>
              <w:topLinePunct w:val="0"/>
              <w:bidi w:val="0"/>
              <w:spacing w:line="560" w:lineRule="exact"/>
              <w:ind w:left="0" w:leftChars="0" w:right="0" w:rightChars="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序号</w:t>
            </w:r>
          </w:p>
        </w:tc>
        <w:tc>
          <w:tcPr>
            <w:tcW w:w="7125" w:type="dxa"/>
            <w:vAlign w:val="center"/>
          </w:tcPr>
          <w:p>
            <w:pPr>
              <w:keepNext w:val="0"/>
              <w:keepLines w:val="0"/>
              <w:pageBreakBefore w:val="0"/>
              <w:kinsoku/>
              <w:wordWrap/>
              <w:overflowPunct/>
              <w:topLinePunct w:val="0"/>
              <w:bidi w:val="0"/>
              <w:spacing w:line="560" w:lineRule="exact"/>
              <w:ind w:left="0" w:leftChars="0" w:right="0" w:rightChars="0" w:firstLine="640" w:firstLineChars="20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单位名称</w:t>
            </w:r>
          </w:p>
        </w:tc>
        <w:tc>
          <w:tcPr>
            <w:tcW w:w="1062" w:type="dxa"/>
            <w:vAlign w:val="center"/>
          </w:tcPr>
          <w:p>
            <w:pPr>
              <w:keepNext w:val="0"/>
              <w:keepLines w:val="0"/>
              <w:pageBreakBefore w:val="0"/>
              <w:kinsoku/>
              <w:wordWrap/>
              <w:overflowPunct/>
              <w:topLinePunct w:val="0"/>
              <w:bidi w:val="0"/>
              <w:spacing w:line="560" w:lineRule="exact"/>
              <w:ind w:left="0" w:leftChars="0" w:right="0" w:rightChars="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73" w:type="dxa"/>
            <w:vAlign w:val="center"/>
          </w:tcPr>
          <w:p>
            <w:pPr>
              <w:keepNext w:val="0"/>
              <w:keepLines w:val="0"/>
              <w:pageBreakBefore w:val="0"/>
              <w:kinsoku/>
              <w:wordWrap/>
              <w:overflowPunct/>
              <w:topLinePunct w:val="0"/>
              <w:bidi w:val="0"/>
              <w:spacing w:line="560" w:lineRule="exact"/>
              <w:ind w:left="0" w:leftChars="0" w:right="0" w:rightChars="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p>
        </w:tc>
        <w:tc>
          <w:tcPr>
            <w:tcW w:w="7125" w:type="dxa"/>
            <w:vAlign w:val="center"/>
          </w:tcPr>
          <w:p>
            <w:pPr>
              <w:keepNext w:val="0"/>
              <w:keepLines w:val="0"/>
              <w:pageBreakBefore w:val="0"/>
              <w:kinsoku/>
              <w:wordWrap/>
              <w:overflowPunct/>
              <w:topLinePunct w:val="0"/>
              <w:bidi w:val="0"/>
              <w:spacing w:line="560" w:lineRule="exact"/>
              <w:ind w:left="0" w:leftChars="0" w:right="0" w:rightChars="0" w:firstLine="640" w:firstLineChars="20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新疆喀什地区塔什库尔干县妇女联合委员会</w:t>
            </w:r>
          </w:p>
        </w:tc>
        <w:tc>
          <w:tcPr>
            <w:tcW w:w="1062" w:type="dxa"/>
            <w:vAlign w:val="center"/>
          </w:tcPr>
          <w:p>
            <w:pPr>
              <w:keepNext w:val="0"/>
              <w:keepLines w:val="0"/>
              <w:pageBreakBefore w:val="0"/>
              <w:kinsoku/>
              <w:wordWrap/>
              <w:overflowPunct/>
              <w:topLinePunct w:val="0"/>
              <w:bidi w:val="0"/>
              <w:spacing w:line="560" w:lineRule="exact"/>
              <w:ind w:left="0" w:leftChars="0" w:right="0" w:rightChars="0" w:firstLine="640" w:firstLineChars="200"/>
              <w:jc w:val="center"/>
              <w:textAlignment w:val="auto"/>
              <w:rPr>
                <w:rFonts w:hint="eastAsia" w:ascii="仿宋_GB2312" w:hAnsi="仿宋_GB2312" w:eastAsia="仿宋_GB2312" w:cs="仿宋_GB2312"/>
                <w:sz w:val="32"/>
                <w:szCs w:val="32"/>
              </w:rPr>
            </w:pPr>
          </w:p>
        </w:tc>
      </w:tr>
    </w:tbl>
    <w:p>
      <w:pPr>
        <w:keepNext w:val="0"/>
        <w:keepLines w:val="0"/>
        <w:pageBreakBefore w:val="0"/>
        <w:kinsoku/>
        <w:wordWrap/>
        <w:overflowPunct/>
        <w:topLinePunct w:val="0"/>
        <w:bidi w:val="0"/>
        <w:spacing w:line="560" w:lineRule="exact"/>
        <w:ind w:left="0" w:leftChars="0" w:right="0" w:rightChars="0"/>
        <w:textAlignment w:val="auto"/>
        <w:rPr>
          <w:rFonts w:hint="eastAsia" w:ascii="仿宋_GB2312" w:hAnsi="仿宋_GB2312" w:eastAsia="仿宋_GB2312" w:cs="仿宋_GB2312"/>
          <w:b/>
          <w:sz w:val="32"/>
          <w:szCs w:val="32"/>
        </w:rPr>
      </w:pPr>
    </w:p>
    <w:p>
      <w:pPr>
        <w:keepNext w:val="0"/>
        <w:keepLines w:val="0"/>
        <w:pageBreakBefore w:val="0"/>
        <w:kinsoku/>
        <w:wordWrap/>
        <w:overflowPunct/>
        <w:topLinePunct w:val="0"/>
        <w:bidi w:val="0"/>
        <w:spacing w:line="560" w:lineRule="exact"/>
        <w:ind w:left="0" w:leftChars="0" w:right="0" w:rightChars="0" w:firstLine="627"/>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第二部分 部门决算情况说明</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一、部门收支总体情况</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（一）部门收入支出决算总体情况说明</w:t>
      </w:r>
    </w:p>
    <w:p>
      <w:pPr>
        <w:keepNext w:val="0"/>
        <w:keepLines w:val="0"/>
        <w:pageBreakBefore w:val="0"/>
        <w:kinsoku/>
        <w:wordWrap/>
        <w:overflowPunct/>
        <w:topLinePunct w:val="0"/>
        <w:bidi w:val="0"/>
        <w:snapToGrid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2017年</w:t>
      </w:r>
      <w:r>
        <w:rPr>
          <w:rFonts w:hint="eastAsia" w:ascii="仿宋_GB2312" w:hAnsi="仿宋_GB2312" w:eastAsia="仿宋_GB2312" w:cs="仿宋_GB2312"/>
          <w:sz w:val="32"/>
          <w:szCs w:val="32"/>
          <w:lang w:eastAsia="zh-CN"/>
        </w:rPr>
        <w:t>度</w:t>
      </w:r>
      <w:r>
        <w:rPr>
          <w:rFonts w:hint="eastAsia" w:ascii="仿宋_GB2312" w:hAnsi="仿宋_GB2312" w:eastAsia="仿宋_GB2312" w:cs="仿宋_GB2312"/>
          <w:sz w:val="32"/>
          <w:szCs w:val="32"/>
        </w:rPr>
        <w:t>收入65.07万元，与上年相比，增加6.19万元，增长</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.51%，支出65.07万元，与上年相比，增加6.19万元，增长</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.51%，结余0万元，与上年相比</w:t>
      </w:r>
      <w:r>
        <w:rPr>
          <w:rFonts w:hint="eastAsia" w:ascii="仿宋_GB2312" w:hAnsi="仿宋_GB2312" w:eastAsia="仿宋_GB2312" w:cs="仿宋_GB2312"/>
          <w:sz w:val="32"/>
          <w:szCs w:val="32"/>
          <w:lang w:eastAsia="zh-CN"/>
        </w:rPr>
        <w:t>，增加（减少）</w:t>
      </w:r>
      <w:r>
        <w:rPr>
          <w:rFonts w:hint="eastAsia" w:ascii="仿宋_GB2312" w:hAnsi="仿宋_GB2312" w:eastAsia="仿宋_GB2312" w:cs="仿宋_GB2312"/>
          <w:sz w:val="32"/>
          <w:szCs w:val="32"/>
          <w:lang w:val="en-US" w:eastAsia="zh-CN"/>
        </w:rPr>
        <w:t>0万元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增长（降低）</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增加的主要原因是：</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rPr>
        <w:t>人员津贴</w:t>
      </w:r>
      <w:r>
        <w:rPr>
          <w:rFonts w:hint="eastAsia" w:ascii="仿宋_GB2312" w:hAnsi="仿宋_GB2312" w:eastAsia="仿宋_GB2312" w:cs="仿宋_GB2312"/>
          <w:sz w:val="32"/>
          <w:szCs w:val="32"/>
          <w:lang w:eastAsia="zh-CN"/>
        </w:rPr>
        <w:t>补助</w:t>
      </w:r>
      <w:r>
        <w:rPr>
          <w:rFonts w:hint="eastAsia" w:ascii="仿宋_GB2312" w:hAnsi="仿宋_GB2312" w:eastAsia="仿宋_GB2312" w:cs="仿宋_GB2312"/>
          <w:sz w:val="32"/>
          <w:szCs w:val="32"/>
        </w:rPr>
        <w:t>。</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与预算相比情况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2017年年初预算数12.57万元，</w:t>
      </w:r>
      <w:r>
        <w:rPr>
          <w:rFonts w:hint="eastAsia" w:ascii="仿宋_GB2312" w:hAnsi="仿宋_GB2312" w:eastAsia="仿宋_GB2312" w:cs="仿宋_GB2312"/>
          <w:sz w:val="32"/>
          <w:szCs w:val="32"/>
        </w:rPr>
        <w:t>2017年收入65.07万元，</w:t>
      </w:r>
      <w:r>
        <w:rPr>
          <w:rFonts w:hint="eastAsia" w:ascii="仿宋_GB2312" w:hAnsi="仿宋_GB2312" w:eastAsia="仿宋_GB2312" w:cs="仿宋_GB2312"/>
          <w:sz w:val="32"/>
          <w:szCs w:val="32"/>
          <w:lang w:eastAsia="zh-CN"/>
        </w:rPr>
        <w:t>与预算相比，</w:t>
      </w:r>
      <w:r>
        <w:rPr>
          <w:rFonts w:hint="eastAsia" w:ascii="仿宋_GB2312" w:hAnsi="仿宋_GB2312" w:eastAsia="仿宋_GB2312" w:cs="仿宋_GB2312"/>
          <w:sz w:val="32"/>
          <w:szCs w:val="32"/>
        </w:rPr>
        <w:t>增加52.50万元，</w:t>
      </w:r>
      <w:r>
        <w:rPr>
          <w:rFonts w:hint="eastAsia" w:ascii="仿宋_GB2312" w:hAnsi="仿宋_GB2312" w:eastAsia="仿宋_GB2312" w:cs="仿宋_GB2312"/>
          <w:sz w:val="32"/>
          <w:szCs w:val="32"/>
          <w:lang w:eastAsia="zh-CN"/>
        </w:rPr>
        <w:t>增长</w:t>
      </w:r>
      <w:r>
        <w:rPr>
          <w:rFonts w:hint="eastAsia" w:ascii="仿宋_GB2312" w:hAnsi="仿宋_GB2312" w:eastAsia="仿宋_GB2312" w:cs="仿宋_GB2312"/>
          <w:sz w:val="32"/>
          <w:szCs w:val="32"/>
          <w:lang w:val="en-US" w:eastAsia="zh-CN"/>
        </w:rPr>
        <w:t>417.66%，</w:t>
      </w:r>
      <w:r>
        <w:rPr>
          <w:rFonts w:hint="eastAsia" w:ascii="仿宋_GB2312" w:hAnsi="仿宋_GB2312" w:eastAsia="仿宋_GB2312" w:cs="仿宋_GB2312"/>
          <w:sz w:val="32"/>
          <w:szCs w:val="32"/>
        </w:rPr>
        <w:t>支出65.07万元，</w:t>
      </w:r>
      <w:r>
        <w:rPr>
          <w:rFonts w:hint="eastAsia" w:ascii="仿宋_GB2312" w:hAnsi="仿宋_GB2312" w:eastAsia="仿宋_GB2312" w:cs="仿宋_GB2312"/>
          <w:sz w:val="32"/>
          <w:szCs w:val="32"/>
          <w:lang w:eastAsia="zh-CN"/>
        </w:rPr>
        <w:t>与预算相比，</w:t>
      </w:r>
      <w:r>
        <w:rPr>
          <w:rFonts w:hint="eastAsia" w:ascii="仿宋_GB2312" w:hAnsi="仿宋_GB2312" w:eastAsia="仿宋_GB2312" w:cs="仿宋_GB2312"/>
          <w:sz w:val="32"/>
          <w:szCs w:val="32"/>
        </w:rPr>
        <w:t>增加52.50万元，</w:t>
      </w:r>
      <w:r>
        <w:rPr>
          <w:rFonts w:hint="eastAsia" w:ascii="仿宋_GB2312" w:hAnsi="仿宋_GB2312" w:eastAsia="仿宋_GB2312" w:cs="仿宋_GB2312"/>
          <w:sz w:val="32"/>
          <w:szCs w:val="32"/>
          <w:lang w:eastAsia="zh-CN"/>
        </w:rPr>
        <w:t>增长</w:t>
      </w:r>
      <w:r>
        <w:rPr>
          <w:rFonts w:hint="eastAsia" w:ascii="仿宋_GB2312" w:hAnsi="仿宋_GB2312" w:eastAsia="仿宋_GB2312" w:cs="仿宋_GB2312"/>
          <w:sz w:val="32"/>
          <w:szCs w:val="32"/>
          <w:lang w:val="en-US" w:eastAsia="zh-CN"/>
        </w:rPr>
        <w:t>417.66%。</w:t>
      </w:r>
      <w:r>
        <w:rPr>
          <w:rFonts w:hint="eastAsia" w:ascii="仿宋_GB2312" w:hAnsi="仿宋_GB2312" w:eastAsia="仿宋_GB2312" w:cs="仿宋_GB2312"/>
          <w:sz w:val="32"/>
          <w:szCs w:val="32"/>
        </w:rPr>
        <w:t>增加的主要原因是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highlight w:val="none"/>
          <w:lang w:eastAsia="zh-CN"/>
        </w:rPr>
        <w:t>人员</w:t>
      </w:r>
      <w:r>
        <w:rPr>
          <w:rFonts w:hint="eastAsia" w:ascii="仿宋_GB2312" w:hAnsi="仿宋_GB2312" w:eastAsia="仿宋_GB2312" w:cs="仿宋_GB2312"/>
          <w:sz w:val="32"/>
          <w:szCs w:val="32"/>
          <w:highlight w:val="none"/>
        </w:rPr>
        <w:t>工资和</w:t>
      </w:r>
      <w:r>
        <w:rPr>
          <w:rFonts w:hint="eastAsia" w:ascii="仿宋_GB2312" w:hAnsi="仿宋_GB2312" w:eastAsia="仿宋_GB2312" w:cs="仿宋_GB2312"/>
          <w:sz w:val="32"/>
          <w:szCs w:val="32"/>
          <w:highlight w:val="none"/>
          <w:lang w:eastAsia="zh-CN"/>
        </w:rPr>
        <w:t>人员</w:t>
      </w:r>
      <w:r>
        <w:rPr>
          <w:rFonts w:hint="eastAsia" w:ascii="仿宋_GB2312" w:hAnsi="仿宋_GB2312" w:eastAsia="仿宋_GB2312" w:cs="仿宋_GB2312"/>
          <w:sz w:val="32"/>
          <w:szCs w:val="32"/>
          <w:highlight w:val="none"/>
        </w:rPr>
        <w:t>津贴</w:t>
      </w:r>
      <w:r>
        <w:rPr>
          <w:rFonts w:hint="eastAsia" w:ascii="仿宋_GB2312" w:hAnsi="仿宋_GB2312" w:eastAsia="仿宋_GB2312" w:cs="仿宋_GB2312"/>
          <w:sz w:val="32"/>
          <w:szCs w:val="32"/>
          <w:highlight w:val="none"/>
          <w:lang w:eastAsia="zh-CN"/>
        </w:rPr>
        <w:t>增加</w:t>
      </w:r>
      <w:r>
        <w:rPr>
          <w:rFonts w:hint="eastAsia" w:ascii="仿宋_GB2312" w:hAnsi="仿宋_GB2312" w:eastAsia="仿宋_GB2312" w:cs="仿宋_GB2312"/>
          <w:sz w:val="32"/>
          <w:szCs w:val="32"/>
          <w:highlight w:val="none"/>
        </w:rPr>
        <w:t>。</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eastAsia="zh-CN"/>
        </w:rPr>
        <w:t>：</w:t>
      </w:r>
      <w:r>
        <w:rPr>
          <w:rFonts w:hint="eastAsia" w:ascii="仿宋_GB2312" w:hAnsi="仿宋_GB2312" w:eastAsia="仿宋_GB2312" w:cs="仿宋_GB2312"/>
          <w:sz w:val="32"/>
          <w:szCs w:val="32"/>
          <w:lang w:val="en-GB"/>
        </w:rPr>
        <w:t>无</w:t>
      </w:r>
      <w:r>
        <w:rPr>
          <w:rFonts w:hint="eastAsia" w:ascii="仿宋_GB2312" w:hAnsi="仿宋_GB2312" w:eastAsia="仿宋_GB2312" w:cs="仿宋_GB2312"/>
          <w:sz w:val="32"/>
          <w:szCs w:val="32"/>
          <w:lang w:val="en-GB" w:eastAsia="zh-CN"/>
        </w:rPr>
        <w:t>。</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（二）部门收入总体情况说明</w:t>
      </w:r>
    </w:p>
    <w:p>
      <w:pPr>
        <w:keepNext w:val="0"/>
        <w:keepLines w:val="0"/>
        <w:pageBreakBefore w:val="0"/>
        <w:kinsoku/>
        <w:wordWrap/>
        <w:overflowPunct/>
        <w:topLinePunct w:val="0"/>
        <w:bidi w:val="0"/>
        <w:snapToGrid w:val="0"/>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本年收入合计</w:t>
      </w:r>
      <w:r>
        <w:rPr>
          <w:rFonts w:hint="eastAsia" w:ascii="仿宋_GB2312" w:hAnsi="仿宋_GB2312" w:eastAsia="仿宋_GB2312" w:cs="仿宋_GB2312"/>
          <w:sz w:val="32"/>
          <w:szCs w:val="32"/>
          <w:lang w:val="en-US" w:eastAsia="zh-CN"/>
        </w:rPr>
        <w:t>65.07万元，</w:t>
      </w:r>
      <w:r>
        <w:rPr>
          <w:rFonts w:hint="eastAsia" w:ascii="仿宋_GB2312" w:hAnsi="仿宋_GB2312" w:eastAsia="仿宋_GB2312" w:cs="仿宋_GB2312"/>
          <w:sz w:val="32"/>
          <w:szCs w:val="32"/>
          <w:lang w:eastAsia="zh-CN"/>
        </w:rPr>
        <w:t>其中：财政拨款收入</w:t>
      </w:r>
      <w:r>
        <w:rPr>
          <w:rFonts w:hint="eastAsia" w:ascii="仿宋_GB2312" w:hAnsi="仿宋_GB2312" w:eastAsia="仿宋_GB2312" w:cs="仿宋_GB2312"/>
          <w:sz w:val="32"/>
          <w:szCs w:val="32"/>
          <w:lang w:val="en-US" w:eastAsia="zh-CN"/>
        </w:rPr>
        <w:t>65.07万元，占100%；上级补助收入0万元，占0%；事业收入0万元，占0%；经营收入0万元，占0%；附属单位缴费0万元，占0%；其他收入0万元，占0%。增加的主要原因是</w:t>
      </w:r>
      <w:r>
        <w:rPr>
          <w:rFonts w:hint="eastAsia" w:ascii="仿宋_GB2312" w:hAnsi="仿宋_GB2312" w:eastAsia="仿宋_GB2312" w:cs="仿宋_GB2312"/>
          <w:sz w:val="32"/>
          <w:szCs w:val="32"/>
          <w:highlight w:val="none"/>
          <w:lang w:eastAsia="zh-CN"/>
        </w:rPr>
        <w:t>人员</w:t>
      </w:r>
      <w:r>
        <w:rPr>
          <w:rFonts w:hint="eastAsia" w:ascii="仿宋_GB2312" w:hAnsi="仿宋_GB2312" w:eastAsia="仿宋_GB2312" w:cs="仿宋_GB2312"/>
          <w:sz w:val="32"/>
          <w:szCs w:val="32"/>
          <w:highlight w:val="none"/>
        </w:rPr>
        <w:t>工资和</w:t>
      </w:r>
      <w:r>
        <w:rPr>
          <w:rFonts w:hint="eastAsia" w:ascii="仿宋_GB2312" w:hAnsi="仿宋_GB2312" w:eastAsia="仿宋_GB2312" w:cs="仿宋_GB2312"/>
          <w:sz w:val="32"/>
          <w:szCs w:val="32"/>
          <w:highlight w:val="none"/>
          <w:lang w:eastAsia="zh-CN"/>
        </w:rPr>
        <w:t>人员</w:t>
      </w:r>
      <w:r>
        <w:rPr>
          <w:rFonts w:hint="eastAsia" w:ascii="仿宋_GB2312" w:hAnsi="仿宋_GB2312" w:eastAsia="仿宋_GB2312" w:cs="仿宋_GB2312"/>
          <w:sz w:val="32"/>
          <w:szCs w:val="32"/>
          <w:highlight w:val="none"/>
        </w:rPr>
        <w:t>津贴</w:t>
      </w:r>
      <w:r>
        <w:rPr>
          <w:rFonts w:hint="eastAsia" w:ascii="仿宋_GB2312" w:hAnsi="仿宋_GB2312" w:eastAsia="仿宋_GB2312" w:cs="仿宋_GB2312"/>
          <w:sz w:val="32"/>
          <w:szCs w:val="32"/>
          <w:highlight w:val="none"/>
          <w:lang w:eastAsia="zh-CN"/>
        </w:rPr>
        <w:t>增加</w:t>
      </w:r>
      <w:r>
        <w:rPr>
          <w:rFonts w:hint="eastAsia" w:ascii="仿宋_GB2312" w:hAnsi="仿宋_GB2312" w:eastAsia="仿宋_GB2312" w:cs="仿宋_GB2312"/>
          <w:sz w:val="32"/>
          <w:szCs w:val="32"/>
          <w:highlight w:val="none"/>
        </w:rPr>
        <w:t>。</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与预算相比情况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2017年年初预算数12.57万元，</w:t>
      </w:r>
      <w:r>
        <w:rPr>
          <w:rFonts w:hint="eastAsia" w:ascii="仿宋_GB2312" w:hAnsi="仿宋_GB2312" w:eastAsia="仿宋_GB2312" w:cs="仿宋_GB2312"/>
          <w:sz w:val="32"/>
          <w:szCs w:val="32"/>
          <w:lang w:eastAsia="zh-CN"/>
        </w:rPr>
        <w:t>本年收入合计</w:t>
      </w:r>
      <w:r>
        <w:rPr>
          <w:rFonts w:hint="eastAsia" w:ascii="仿宋_GB2312" w:hAnsi="仿宋_GB2312" w:eastAsia="仿宋_GB2312" w:cs="仿宋_GB2312"/>
          <w:sz w:val="32"/>
          <w:szCs w:val="32"/>
          <w:lang w:val="en-US" w:eastAsia="zh-CN"/>
        </w:rPr>
        <w:t>65.07万元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与预算相比</w:t>
      </w:r>
      <w:r>
        <w:rPr>
          <w:rFonts w:hint="eastAsia" w:ascii="仿宋_GB2312" w:hAnsi="仿宋_GB2312" w:eastAsia="仿宋_GB2312" w:cs="仿宋_GB2312"/>
          <w:sz w:val="32"/>
          <w:szCs w:val="32"/>
        </w:rPr>
        <w:t>，增加52.50万元，</w:t>
      </w:r>
      <w:r>
        <w:rPr>
          <w:rFonts w:hint="eastAsia" w:ascii="仿宋_GB2312" w:hAnsi="仿宋_GB2312" w:eastAsia="仿宋_GB2312" w:cs="仿宋_GB2312"/>
          <w:sz w:val="32"/>
          <w:szCs w:val="32"/>
          <w:lang w:eastAsia="zh-CN"/>
        </w:rPr>
        <w:t>增长</w:t>
      </w:r>
      <w:r>
        <w:rPr>
          <w:rFonts w:hint="eastAsia" w:ascii="仿宋_GB2312" w:hAnsi="仿宋_GB2312" w:eastAsia="仿宋_GB2312" w:cs="仿宋_GB2312"/>
          <w:sz w:val="32"/>
          <w:szCs w:val="32"/>
          <w:lang w:val="en-US" w:eastAsia="zh-CN"/>
        </w:rPr>
        <w:t>417.66%，</w:t>
      </w:r>
      <w:r>
        <w:rPr>
          <w:rFonts w:hint="eastAsia" w:ascii="仿宋_GB2312" w:hAnsi="仿宋_GB2312" w:eastAsia="仿宋_GB2312" w:cs="仿宋_GB2312"/>
          <w:sz w:val="32"/>
          <w:szCs w:val="32"/>
        </w:rPr>
        <w:t>增加的主要原因是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highlight w:val="none"/>
          <w:lang w:eastAsia="zh-CN"/>
        </w:rPr>
        <w:t>人员</w:t>
      </w:r>
      <w:r>
        <w:rPr>
          <w:rFonts w:hint="eastAsia" w:ascii="仿宋_GB2312" w:hAnsi="仿宋_GB2312" w:eastAsia="仿宋_GB2312" w:cs="仿宋_GB2312"/>
          <w:sz w:val="32"/>
          <w:szCs w:val="32"/>
          <w:highlight w:val="none"/>
        </w:rPr>
        <w:t>工资和</w:t>
      </w:r>
      <w:r>
        <w:rPr>
          <w:rFonts w:hint="eastAsia" w:ascii="仿宋_GB2312" w:hAnsi="仿宋_GB2312" w:eastAsia="仿宋_GB2312" w:cs="仿宋_GB2312"/>
          <w:sz w:val="32"/>
          <w:szCs w:val="32"/>
          <w:highlight w:val="none"/>
          <w:lang w:eastAsia="zh-CN"/>
        </w:rPr>
        <w:t>人员</w:t>
      </w:r>
      <w:r>
        <w:rPr>
          <w:rFonts w:hint="eastAsia" w:ascii="仿宋_GB2312" w:hAnsi="仿宋_GB2312" w:eastAsia="仿宋_GB2312" w:cs="仿宋_GB2312"/>
          <w:sz w:val="32"/>
          <w:szCs w:val="32"/>
          <w:highlight w:val="none"/>
        </w:rPr>
        <w:t>津贴</w:t>
      </w:r>
      <w:r>
        <w:rPr>
          <w:rFonts w:hint="eastAsia" w:ascii="仿宋_GB2312" w:hAnsi="仿宋_GB2312" w:eastAsia="仿宋_GB2312" w:cs="仿宋_GB2312"/>
          <w:sz w:val="32"/>
          <w:szCs w:val="32"/>
          <w:highlight w:val="none"/>
          <w:lang w:eastAsia="zh-CN"/>
        </w:rPr>
        <w:t>增加。</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eastAsia="zh-CN"/>
        </w:rPr>
        <w:t>：</w:t>
      </w:r>
      <w:r>
        <w:rPr>
          <w:rFonts w:hint="eastAsia" w:ascii="仿宋_GB2312" w:hAnsi="仿宋_GB2312" w:eastAsia="仿宋_GB2312" w:cs="仿宋_GB2312"/>
          <w:sz w:val="32"/>
          <w:szCs w:val="32"/>
          <w:lang w:val="en-GB"/>
        </w:rPr>
        <w:t>无</w:t>
      </w:r>
      <w:r>
        <w:rPr>
          <w:rFonts w:hint="eastAsia" w:ascii="仿宋_GB2312" w:hAnsi="仿宋_GB2312" w:eastAsia="仿宋_GB2312" w:cs="仿宋_GB2312"/>
          <w:sz w:val="32"/>
          <w:szCs w:val="32"/>
          <w:lang w:val="en-GB" w:eastAsia="zh-CN"/>
        </w:rPr>
        <w:t>。</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（三）部门支出总体情况说明</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本年支出合计65.07万元，其中：基本支出</w:t>
      </w:r>
      <w:r>
        <w:rPr>
          <w:rFonts w:hint="eastAsia" w:ascii="仿宋_GB2312" w:hAnsi="仿宋_GB2312" w:eastAsia="仿宋_GB2312" w:cs="仿宋_GB2312"/>
          <w:sz w:val="32"/>
          <w:szCs w:val="32"/>
          <w:lang w:val="en-US" w:eastAsia="zh-CN"/>
        </w:rPr>
        <w:t>65.07</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%。增</w:t>
      </w:r>
      <w:r>
        <w:rPr>
          <w:rFonts w:hint="eastAsia" w:ascii="仿宋_GB2312" w:hAnsi="仿宋_GB2312" w:eastAsia="仿宋_GB2312" w:cs="仿宋_GB2312"/>
          <w:sz w:val="32"/>
          <w:szCs w:val="32"/>
          <w:lang w:eastAsia="zh-CN"/>
        </w:rPr>
        <w:t>加</w:t>
      </w:r>
      <w:r>
        <w:rPr>
          <w:rFonts w:hint="eastAsia" w:ascii="仿宋_GB2312" w:hAnsi="仿宋_GB2312" w:eastAsia="仿宋_GB2312" w:cs="仿宋_GB2312"/>
          <w:sz w:val="32"/>
          <w:szCs w:val="32"/>
        </w:rPr>
        <w:t>的主要原因是</w:t>
      </w:r>
      <w:r>
        <w:rPr>
          <w:rFonts w:hint="eastAsia" w:ascii="仿宋_GB2312" w:hAnsi="仿宋_GB2312" w:eastAsia="仿宋_GB2312" w:cs="仿宋_GB2312"/>
          <w:sz w:val="32"/>
          <w:szCs w:val="32"/>
          <w:lang w:eastAsia="zh-CN"/>
        </w:rPr>
        <w:t>：人员工资和人员津贴增加</w:t>
      </w:r>
      <w:r>
        <w:rPr>
          <w:rFonts w:hint="eastAsia" w:ascii="仿宋_GB2312" w:hAnsi="仿宋_GB2312" w:eastAsia="仿宋_GB2312" w:cs="仿宋_GB2312"/>
          <w:sz w:val="32"/>
          <w:szCs w:val="32"/>
        </w:rPr>
        <w:t>。</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rPr>
        <w:t>与预算相比情况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2017年年初预算数12.57万元，</w:t>
      </w:r>
      <w:r>
        <w:rPr>
          <w:rFonts w:hint="eastAsia" w:ascii="仿宋_GB2312" w:hAnsi="仿宋_GB2312" w:eastAsia="仿宋_GB2312" w:cs="仿宋_GB2312"/>
          <w:sz w:val="32"/>
          <w:szCs w:val="32"/>
        </w:rPr>
        <w:t>本年支出合计65.07万元，</w:t>
      </w:r>
      <w:r>
        <w:rPr>
          <w:rFonts w:hint="eastAsia" w:ascii="仿宋_GB2312" w:hAnsi="仿宋_GB2312" w:eastAsia="仿宋_GB2312" w:cs="仿宋_GB2312"/>
          <w:sz w:val="32"/>
          <w:szCs w:val="32"/>
          <w:lang w:eastAsia="zh-CN"/>
        </w:rPr>
        <w:t>与预算相比</w:t>
      </w:r>
      <w:r>
        <w:rPr>
          <w:rFonts w:hint="eastAsia" w:ascii="仿宋_GB2312" w:hAnsi="仿宋_GB2312" w:eastAsia="仿宋_GB2312" w:cs="仿宋_GB2312"/>
          <w:sz w:val="32"/>
          <w:szCs w:val="32"/>
        </w:rPr>
        <w:t>，增加52.50万元，</w:t>
      </w:r>
      <w:r>
        <w:rPr>
          <w:rFonts w:hint="eastAsia" w:ascii="仿宋_GB2312" w:hAnsi="仿宋_GB2312" w:eastAsia="仿宋_GB2312" w:cs="仿宋_GB2312"/>
          <w:sz w:val="32"/>
          <w:szCs w:val="32"/>
          <w:lang w:eastAsia="zh-CN"/>
        </w:rPr>
        <w:t>增长</w:t>
      </w:r>
      <w:r>
        <w:rPr>
          <w:rFonts w:hint="eastAsia" w:ascii="仿宋_GB2312" w:hAnsi="仿宋_GB2312" w:eastAsia="仿宋_GB2312" w:cs="仿宋_GB2312"/>
          <w:sz w:val="32"/>
          <w:szCs w:val="32"/>
          <w:lang w:val="en-US" w:eastAsia="zh-CN"/>
        </w:rPr>
        <w:t>417.66%，</w:t>
      </w:r>
      <w:r>
        <w:rPr>
          <w:rFonts w:hint="eastAsia" w:ascii="仿宋_GB2312" w:hAnsi="仿宋_GB2312" w:eastAsia="仿宋_GB2312" w:cs="仿宋_GB2312"/>
          <w:sz w:val="32"/>
          <w:szCs w:val="32"/>
        </w:rPr>
        <w:t>增加的主要原因是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highlight w:val="none"/>
          <w:lang w:eastAsia="zh-CN"/>
        </w:rPr>
        <w:t>人员</w:t>
      </w:r>
      <w:r>
        <w:rPr>
          <w:rFonts w:hint="eastAsia" w:ascii="仿宋_GB2312" w:hAnsi="仿宋_GB2312" w:eastAsia="仿宋_GB2312" w:cs="仿宋_GB2312"/>
          <w:sz w:val="32"/>
          <w:szCs w:val="32"/>
          <w:highlight w:val="none"/>
        </w:rPr>
        <w:t>工资和</w:t>
      </w:r>
      <w:r>
        <w:rPr>
          <w:rFonts w:hint="eastAsia" w:ascii="仿宋_GB2312" w:hAnsi="仿宋_GB2312" w:eastAsia="仿宋_GB2312" w:cs="仿宋_GB2312"/>
          <w:sz w:val="32"/>
          <w:szCs w:val="32"/>
          <w:highlight w:val="none"/>
          <w:lang w:eastAsia="zh-CN"/>
        </w:rPr>
        <w:t>人员</w:t>
      </w:r>
      <w:r>
        <w:rPr>
          <w:rFonts w:hint="eastAsia" w:ascii="仿宋_GB2312" w:hAnsi="仿宋_GB2312" w:eastAsia="仿宋_GB2312" w:cs="仿宋_GB2312"/>
          <w:sz w:val="32"/>
          <w:szCs w:val="32"/>
          <w:highlight w:val="none"/>
        </w:rPr>
        <w:t>津贴</w:t>
      </w:r>
      <w:r>
        <w:rPr>
          <w:rFonts w:hint="eastAsia" w:ascii="仿宋_GB2312" w:hAnsi="仿宋_GB2312" w:eastAsia="仿宋_GB2312" w:cs="仿宋_GB2312"/>
          <w:sz w:val="32"/>
          <w:szCs w:val="32"/>
          <w:highlight w:val="none"/>
          <w:lang w:eastAsia="zh-CN"/>
        </w:rPr>
        <w:t>增加。</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eastAsia="zh-CN"/>
        </w:rPr>
        <w:t>：无。</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二、部门财政拨款收支情况</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（一）财政拨款收支总体情况说明</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rPr>
        <w:t>2017年财政拨款收入65.07万元，与上年相比，增加6.19万元，增长</w:t>
      </w:r>
      <w:r>
        <w:rPr>
          <w:rFonts w:hint="eastAsia" w:ascii="仿宋_GB2312" w:hAnsi="仿宋_GB2312" w:eastAsia="仿宋_GB2312" w:cs="仿宋_GB2312"/>
          <w:sz w:val="32"/>
          <w:szCs w:val="32"/>
          <w:lang w:val="en-US" w:eastAsia="zh-CN"/>
        </w:rPr>
        <w:t>10.51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增加的主要原因是</w:t>
      </w:r>
      <w:r>
        <w:rPr>
          <w:rFonts w:hint="eastAsia" w:ascii="仿宋_GB2312" w:hAnsi="仿宋_GB2312" w:eastAsia="仿宋_GB2312" w:cs="仿宋_GB2312"/>
          <w:sz w:val="32"/>
          <w:szCs w:val="32"/>
          <w:highlight w:val="none"/>
          <w:lang w:eastAsia="zh-CN"/>
        </w:rPr>
        <w:t>人员</w:t>
      </w:r>
      <w:r>
        <w:rPr>
          <w:rFonts w:hint="eastAsia" w:ascii="仿宋_GB2312" w:hAnsi="仿宋_GB2312" w:eastAsia="仿宋_GB2312" w:cs="仿宋_GB2312"/>
          <w:sz w:val="32"/>
          <w:szCs w:val="32"/>
          <w:highlight w:val="none"/>
        </w:rPr>
        <w:t>工资和</w:t>
      </w:r>
      <w:r>
        <w:rPr>
          <w:rFonts w:hint="eastAsia" w:ascii="仿宋_GB2312" w:hAnsi="仿宋_GB2312" w:eastAsia="仿宋_GB2312" w:cs="仿宋_GB2312"/>
          <w:sz w:val="32"/>
          <w:szCs w:val="32"/>
          <w:highlight w:val="none"/>
          <w:lang w:eastAsia="zh-CN"/>
        </w:rPr>
        <w:t>人员</w:t>
      </w:r>
      <w:r>
        <w:rPr>
          <w:rFonts w:hint="eastAsia" w:ascii="仿宋_GB2312" w:hAnsi="仿宋_GB2312" w:eastAsia="仿宋_GB2312" w:cs="仿宋_GB2312"/>
          <w:sz w:val="32"/>
          <w:szCs w:val="32"/>
          <w:highlight w:val="none"/>
        </w:rPr>
        <w:t>津贴</w:t>
      </w:r>
      <w:r>
        <w:rPr>
          <w:rFonts w:hint="eastAsia" w:ascii="仿宋_GB2312" w:hAnsi="仿宋_GB2312" w:eastAsia="仿宋_GB2312" w:cs="仿宋_GB2312"/>
          <w:sz w:val="32"/>
          <w:szCs w:val="32"/>
          <w:highlight w:val="none"/>
          <w:lang w:eastAsia="zh-CN"/>
        </w:rPr>
        <w:t>增加。财政拨款</w:t>
      </w:r>
      <w:r>
        <w:rPr>
          <w:rFonts w:hint="eastAsia" w:ascii="仿宋_GB2312" w:hAnsi="仿宋_GB2312" w:eastAsia="仿宋_GB2312" w:cs="仿宋_GB2312"/>
          <w:sz w:val="32"/>
          <w:szCs w:val="32"/>
        </w:rPr>
        <w:t>支出65.07万元，与上年相比，增加6.19万元，增长</w:t>
      </w:r>
      <w:r>
        <w:rPr>
          <w:rFonts w:hint="eastAsia" w:ascii="仿宋_GB2312" w:hAnsi="仿宋_GB2312" w:eastAsia="仿宋_GB2312" w:cs="仿宋_GB2312"/>
          <w:sz w:val="32"/>
          <w:szCs w:val="32"/>
          <w:lang w:val="en-US" w:eastAsia="zh-CN"/>
        </w:rPr>
        <w:t>10.51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其中，基本支出</w:t>
      </w:r>
      <w:r>
        <w:rPr>
          <w:rFonts w:hint="eastAsia" w:ascii="仿宋_GB2312" w:hAnsi="仿宋_GB2312" w:eastAsia="仿宋_GB2312" w:cs="仿宋_GB2312"/>
          <w:sz w:val="32"/>
          <w:szCs w:val="32"/>
          <w:lang w:val="en-US" w:eastAsia="zh-CN"/>
        </w:rPr>
        <w:t>65.07万元，项目支出0万元。增加的主要原因是</w:t>
      </w:r>
      <w:r>
        <w:rPr>
          <w:rFonts w:hint="eastAsia" w:ascii="仿宋_GB2312" w:hAnsi="仿宋_GB2312" w:eastAsia="仿宋_GB2312" w:cs="仿宋_GB2312"/>
          <w:sz w:val="32"/>
          <w:szCs w:val="32"/>
          <w:lang w:eastAsia="zh-CN"/>
        </w:rPr>
        <w:t>人员工资和人员津贴增加</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财政拨款结转</w:t>
      </w:r>
      <w:r>
        <w:rPr>
          <w:rFonts w:hint="eastAsia" w:ascii="仿宋_GB2312" w:hAnsi="仿宋_GB2312" w:eastAsia="仿宋_GB2312" w:cs="仿宋_GB2312"/>
          <w:sz w:val="32"/>
          <w:szCs w:val="32"/>
        </w:rPr>
        <w:t>结余0万元，与上年相比</w:t>
      </w:r>
      <w:r>
        <w:rPr>
          <w:rFonts w:hint="eastAsia" w:ascii="仿宋_GB2312" w:hAnsi="仿宋_GB2312" w:eastAsia="仿宋_GB2312" w:cs="仿宋_GB2312"/>
          <w:sz w:val="32"/>
          <w:szCs w:val="32"/>
          <w:lang w:eastAsia="zh-CN"/>
        </w:rPr>
        <w:t>，增加（减少）</w:t>
      </w:r>
      <w:r>
        <w:rPr>
          <w:rFonts w:hint="eastAsia" w:ascii="仿宋_GB2312" w:hAnsi="仿宋_GB2312" w:eastAsia="仿宋_GB2312" w:cs="仿宋_GB2312"/>
          <w:sz w:val="32"/>
          <w:szCs w:val="32"/>
          <w:lang w:val="en-US" w:eastAsia="zh-CN"/>
        </w:rPr>
        <w:t>0万元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增长（降低）</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增加的主要原因是</w:t>
      </w:r>
      <w:r>
        <w:rPr>
          <w:rFonts w:hint="eastAsia" w:ascii="仿宋_GB2312" w:hAnsi="仿宋_GB2312" w:eastAsia="仿宋_GB2312" w:cs="仿宋_GB2312"/>
          <w:sz w:val="32"/>
          <w:szCs w:val="32"/>
          <w:lang w:eastAsia="zh-CN"/>
        </w:rPr>
        <w:t>：无财政拨款结转</w:t>
      </w:r>
      <w:r>
        <w:rPr>
          <w:rFonts w:hint="eastAsia" w:ascii="仿宋_GB2312" w:hAnsi="仿宋_GB2312" w:eastAsia="仿宋_GB2312" w:cs="仿宋_GB2312"/>
          <w:sz w:val="32"/>
          <w:szCs w:val="32"/>
        </w:rPr>
        <w:t>结余</w:t>
      </w:r>
      <w:r>
        <w:rPr>
          <w:rFonts w:hint="eastAsia" w:ascii="仿宋_GB2312" w:hAnsi="仿宋_GB2312" w:eastAsia="仿宋_GB2312" w:cs="仿宋_GB2312"/>
          <w:sz w:val="32"/>
          <w:szCs w:val="32"/>
          <w:highlight w:val="none"/>
          <w:lang w:eastAsia="zh-CN"/>
        </w:rPr>
        <w:t>。</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与预算相比情况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2017年年初预算数12.57万元，</w:t>
      </w:r>
      <w:r>
        <w:rPr>
          <w:rFonts w:hint="eastAsia" w:ascii="仿宋_GB2312" w:hAnsi="仿宋_GB2312" w:eastAsia="仿宋_GB2312" w:cs="仿宋_GB2312"/>
          <w:sz w:val="32"/>
          <w:szCs w:val="32"/>
        </w:rPr>
        <w:t>2017年财政拨款收入65.07万元，</w:t>
      </w:r>
      <w:r>
        <w:rPr>
          <w:rFonts w:hint="eastAsia" w:ascii="仿宋_GB2312" w:hAnsi="仿宋_GB2312" w:eastAsia="仿宋_GB2312" w:cs="仿宋_GB2312"/>
          <w:sz w:val="32"/>
          <w:szCs w:val="32"/>
          <w:lang w:eastAsia="zh-CN"/>
        </w:rPr>
        <w:t>与预算相比，</w:t>
      </w:r>
      <w:r>
        <w:rPr>
          <w:rFonts w:hint="eastAsia" w:ascii="仿宋_GB2312" w:hAnsi="仿宋_GB2312" w:eastAsia="仿宋_GB2312" w:cs="仿宋_GB2312"/>
          <w:sz w:val="32"/>
          <w:szCs w:val="32"/>
        </w:rPr>
        <w:t>增加52.50万元，</w:t>
      </w:r>
      <w:r>
        <w:rPr>
          <w:rFonts w:hint="eastAsia" w:ascii="仿宋_GB2312" w:hAnsi="仿宋_GB2312" w:eastAsia="仿宋_GB2312" w:cs="仿宋_GB2312"/>
          <w:sz w:val="32"/>
          <w:szCs w:val="32"/>
          <w:lang w:eastAsia="zh-CN"/>
        </w:rPr>
        <w:t>增长</w:t>
      </w:r>
      <w:r>
        <w:rPr>
          <w:rFonts w:hint="eastAsia" w:ascii="仿宋_GB2312" w:hAnsi="仿宋_GB2312" w:eastAsia="仿宋_GB2312" w:cs="仿宋_GB2312"/>
          <w:sz w:val="32"/>
          <w:szCs w:val="32"/>
          <w:lang w:val="en-US" w:eastAsia="zh-CN"/>
        </w:rPr>
        <w:t>417.66%，</w:t>
      </w:r>
      <w:r>
        <w:rPr>
          <w:rFonts w:hint="eastAsia" w:ascii="仿宋_GB2312" w:hAnsi="仿宋_GB2312" w:eastAsia="仿宋_GB2312" w:cs="仿宋_GB2312"/>
          <w:sz w:val="32"/>
          <w:szCs w:val="32"/>
          <w:highlight w:val="none"/>
          <w:lang w:eastAsia="zh-CN"/>
        </w:rPr>
        <w:t>财政拨款</w:t>
      </w:r>
      <w:r>
        <w:rPr>
          <w:rFonts w:hint="eastAsia" w:ascii="仿宋_GB2312" w:hAnsi="仿宋_GB2312" w:eastAsia="仿宋_GB2312" w:cs="仿宋_GB2312"/>
          <w:sz w:val="32"/>
          <w:szCs w:val="32"/>
        </w:rPr>
        <w:t>支出65.07万元，</w:t>
      </w:r>
      <w:r>
        <w:rPr>
          <w:rFonts w:hint="eastAsia" w:ascii="仿宋_GB2312" w:hAnsi="仿宋_GB2312" w:eastAsia="仿宋_GB2312" w:cs="仿宋_GB2312"/>
          <w:sz w:val="32"/>
          <w:szCs w:val="32"/>
          <w:lang w:eastAsia="zh-CN"/>
        </w:rPr>
        <w:t>与预算相比，</w:t>
      </w:r>
      <w:r>
        <w:rPr>
          <w:rFonts w:hint="eastAsia" w:ascii="仿宋_GB2312" w:hAnsi="仿宋_GB2312" w:eastAsia="仿宋_GB2312" w:cs="仿宋_GB2312"/>
          <w:sz w:val="32"/>
          <w:szCs w:val="32"/>
        </w:rPr>
        <w:t>增加52.50万元，</w:t>
      </w:r>
      <w:r>
        <w:rPr>
          <w:rFonts w:hint="eastAsia" w:ascii="仿宋_GB2312" w:hAnsi="仿宋_GB2312" w:eastAsia="仿宋_GB2312" w:cs="仿宋_GB2312"/>
          <w:sz w:val="32"/>
          <w:szCs w:val="32"/>
          <w:lang w:eastAsia="zh-CN"/>
        </w:rPr>
        <w:t>增长</w:t>
      </w:r>
      <w:r>
        <w:rPr>
          <w:rFonts w:hint="eastAsia" w:ascii="仿宋_GB2312" w:hAnsi="仿宋_GB2312" w:eastAsia="仿宋_GB2312" w:cs="仿宋_GB2312"/>
          <w:sz w:val="32"/>
          <w:szCs w:val="32"/>
          <w:lang w:val="en-US" w:eastAsia="zh-CN"/>
        </w:rPr>
        <w:t>417.66%。</w:t>
      </w:r>
      <w:r>
        <w:rPr>
          <w:rFonts w:hint="eastAsia" w:ascii="仿宋_GB2312" w:hAnsi="仿宋_GB2312" w:eastAsia="仿宋_GB2312" w:cs="仿宋_GB2312"/>
          <w:sz w:val="32"/>
          <w:szCs w:val="32"/>
        </w:rPr>
        <w:t>增加的主要原因是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highlight w:val="none"/>
          <w:lang w:eastAsia="zh-CN"/>
        </w:rPr>
        <w:t>人员</w:t>
      </w:r>
      <w:r>
        <w:rPr>
          <w:rFonts w:hint="eastAsia" w:ascii="仿宋_GB2312" w:hAnsi="仿宋_GB2312" w:eastAsia="仿宋_GB2312" w:cs="仿宋_GB2312"/>
          <w:sz w:val="32"/>
          <w:szCs w:val="32"/>
          <w:highlight w:val="none"/>
        </w:rPr>
        <w:t>工资和</w:t>
      </w:r>
      <w:r>
        <w:rPr>
          <w:rFonts w:hint="eastAsia" w:ascii="仿宋_GB2312" w:hAnsi="仿宋_GB2312" w:eastAsia="仿宋_GB2312" w:cs="仿宋_GB2312"/>
          <w:sz w:val="32"/>
          <w:szCs w:val="32"/>
          <w:highlight w:val="none"/>
          <w:lang w:eastAsia="zh-CN"/>
        </w:rPr>
        <w:t>人员</w:t>
      </w:r>
      <w:r>
        <w:rPr>
          <w:rFonts w:hint="eastAsia" w:ascii="仿宋_GB2312" w:hAnsi="仿宋_GB2312" w:eastAsia="仿宋_GB2312" w:cs="仿宋_GB2312"/>
          <w:sz w:val="32"/>
          <w:szCs w:val="32"/>
          <w:highlight w:val="none"/>
        </w:rPr>
        <w:t>津贴</w:t>
      </w:r>
      <w:r>
        <w:rPr>
          <w:rFonts w:hint="eastAsia" w:ascii="仿宋_GB2312" w:hAnsi="仿宋_GB2312" w:eastAsia="仿宋_GB2312" w:cs="仿宋_GB2312"/>
          <w:sz w:val="32"/>
          <w:szCs w:val="32"/>
          <w:highlight w:val="none"/>
          <w:lang w:eastAsia="zh-CN"/>
        </w:rPr>
        <w:t>增加</w:t>
      </w:r>
      <w:r>
        <w:rPr>
          <w:rFonts w:hint="eastAsia" w:ascii="仿宋_GB2312" w:hAnsi="仿宋_GB2312" w:eastAsia="仿宋_GB2312" w:cs="仿宋_GB2312"/>
          <w:sz w:val="32"/>
          <w:szCs w:val="32"/>
          <w:highlight w:val="none"/>
        </w:rPr>
        <w:t>。</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eastAsia="zh-CN"/>
        </w:rPr>
        <w:t>：</w:t>
      </w:r>
      <w:r>
        <w:rPr>
          <w:rFonts w:hint="eastAsia" w:ascii="仿宋_GB2312" w:hAnsi="仿宋_GB2312" w:eastAsia="仿宋_GB2312" w:cs="仿宋_GB2312"/>
          <w:sz w:val="32"/>
          <w:szCs w:val="32"/>
          <w:lang w:val="en-GB"/>
        </w:rPr>
        <w:t>无</w:t>
      </w:r>
      <w:r>
        <w:rPr>
          <w:rFonts w:hint="eastAsia" w:ascii="仿宋_GB2312" w:hAnsi="仿宋_GB2312" w:eastAsia="仿宋_GB2312" w:cs="仿宋_GB2312"/>
          <w:sz w:val="32"/>
          <w:szCs w:val="32"/>
          <w:lang w:val="en-GB" w:eastAsia="zh-CN"/>
        </w:rPr>
        <w:t>。</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（二）一般公共预算支出决算情况说明</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2017年度一般公共预算财政拨款支出65.07万元。与上年相比，增加6.19万元，增长9.51%。增加的主要原因是：</w:t>
      </w:r>
      <w:r>
        <w:rPr>
          <w:rFonts w:hint="eastAsia" w:ascii="仿宋_GB2312" w:hAnsi="仿宋_GB2312" w:eastAsia="仿宋_GB2312" w:cs="仿宋_GB2312"/>
          <w:sz w:val="32"/>
          <w:szCs w:val="32"/>
          <w:highlight w:val="none"/>
          <w:lang w:eastAsia="zh-CN"/>
        </w:rPr>
        <w:t>人员</w:t>
      </w:r>
      <w:r>
        <w:rPr>
          <w:rFonts w:hint="eastAsia" w:ascii="仿宋_GB2312" w:hAnsi="仿宋_GB2312" w:eastAsia="仿宋_GB2312" w:cs="仿宋_GB2312"/>
          <w:sz w:val="32"/>
          <w:szCs w:val="32"/>
          <w:highlight w:val="none"/>
        </w:rPr>
        <w:t>工资和</w:t>
      </w:r>
      <w:r>
        <w:rPr>
          <w:rFonts w:hint="eastAsia" w:ascii="仿宋_GB2312" w:hAnsi="仿宋_GB2312" w:eastAsia="仿宋_GB2312" w:cs="仿宋_GB2312"/>
          <w:sz w:val="32"/>
          <w:szCs w:val="32"/>
          <w:highlight w:val="none"/>
          <w:lang w:eastAsia="zh-CN"/>
        </w:rPr>
        <w:t>人员</w:t>
      </w:r>
      <w:r>
        <w:rPr>
          <w:rFonts w:hint="eastAsia" w:ascii="仿宋_GB2312" w:hAnsi="仿宋_GB2312" w:eastAsia="仿宋_GB2312" w:cs="仿宋_GB2312"/>
          <w:sz w:val="32"/>
          <w:szCs w:val="32"/>
          <w:highlight w:val="none"/>
        </w:rPr>
        <w:t>津贴</w:t>
      </w:r>
      <w:r>
        <w:rPr>
          <w:rFonts w:hint="eastAsia" w:ascii="仿宋_GB2312" w:hAnsi="仿宋_GB2312" w:eastAsia="仿宋_GB2312" w:cs="仿宋_GB2312"/>
          <w:sz w:val="32"/>
          <w:szCs w:val="32"/>
          <w:highlight w:val="none"/>
          <w:lang w:eastAsia="zh-CN"/>
        </w:rPr>
        <w:t>增加。</w:t>
      </w:r>
      <w:r>
        <w:rPr>
          <w:rFonts w:hint="eastAsia" w:ascii="仿宋_GB2312" w:hAnsi="仿宋_GB2312" w:eastAsia="仿宋_GB2312" w:cs="仿宋_GB2312"/>
          <w:sz w:val="32"/>
          <w:szCs w:val="32"/>
        </w:rPr>
        <w:t>其中：按功能分类科目，一般公共服务支出52.96万元，社会保障和就业支出7.29万元，住房保障支出4.83万元。按经济分类科目，工资福利支出54.26万元，商品服务支出4.4万元，对个人和家庭补助支出6.41万元。</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与预算相比情况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2017年年初预算数12.57万元，</w:t>
      </w:r>
      <w:r>
        <w:rPr>
          <w:rFonts w:hint="eastAsia" w:ascii="仿宋_GB2312" w:hAnsi="仿宋_GB2312" w:eastAsia="仿宋_GB2312" w:cs="仿宋_GB2312"/>
          <w:sz w:val="32"/>
          <w:szCs w:val="32"/>
        </w:rPr>
        <w:t>2017年度一般公共预算财政拨款支出65.07万元，</w:t>
      </w:r>
      <w:r>
        <w:rPr>
          <w:rFonts w:hint="eastAsia" w:ascii="仿宋_GB2312" w:hAnsi="仿宋_GB2312" w:eastAsia="仿宋_GB2312" w:cs="仿宋_GB2312"/>
          <w:sz w:val="32"/>
          <w:szCs w:val="32"/>
          <w:lang w:eastAsia="zh-CN"/>
        </w:rPr>
        <w:t>与预算相比，</w:t>
      </w:r>
      <w:r>
        <w:rPr>
          <w:rFonts w:hint="eastAsia" w:ascii="仿宋_GB2312" w:hAnsi="仿宋_GB2312" w:eastAsia="仿宋_GB2312" w:cs="仿宋_GB2312"/>
          <w:sz w:val="32"/>
          <w:szCs w:val="32"/>
        </w:rPr>
        <w:t>增加52.50万元，</w:t>
      </w:r>
      <w:r>
        <w:rPr>
          <w:rFonts w:hint="eastAsia" w:ascii="仿宋_GB2312" w:hAnsi="仿宋_GB2312" w:eastAsia="仿宋_GB2312" w:cs="仿宋_GB2312"/>
          <w:sz w:val="32"/>
          <w:szCs w:val="32"/>
          <w:lang w:eastAsia="zh-CN"/>
        </w:rPr>
        <w:t>增长</w:t>
      </w:r>
      <w:r>
        <w:rPr>
          <w:rFonts w:hint="eastAsia" w:ascii="仿宋_GB2312" w:hAnsi="仿宋_GB2312" w:eastAsia="仿宋_GB2312" w:cs="仿宋_GB2312"/>
          <w:sz w:val="32"/>
          <w:szCs w:val="32"/>
          <w:lang w:val="en-US" w:eastAsia="zh-CN"/>
        </w:rPr>
        <w:t>417.66%。</w:t>
      </w:r>
      <w:r>
        <w:rPr>
          <w:rFonts w:hint="eastAsia" w:ascii="仿宋_GB2312" w:hAnsi="仿宋_GB2312" w:eastAsia="仿宋_GB2312" w:cs="仿宋_GB2312"/>
          <w:sz w:val="32"/>
          <w:szCs w:val="32"/>
        </w:rPr>
        <w:t>增加的主要原因是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highlight w:val="none"/>
          <w:lang w:eastAsia="zh-CN"/>
        </w:rPr>
        <w:t>人员</w:t>
      </w:r>
      <w:r>
        <w:rPr>
          <w:rFonts w:hint="eastAsia" w:ascii="仿宋_GB2312" w:hAnsi="仿宋_GB2312" w:eastAsia="仿宋_GB2312" w:cs="仿宋_GB2312"/>
          <w:sz w:val="32"/>
          <w:szCs w:val="32"/>
          <w:highlight w:val="none"/>
        </w:rPr>
        <w:t>工资和</w:t>
      </w:r>
      <w:r>
        <w:rPr>
          <w:rFonts w:hint="eastAsia" w:ascii="仿宋_GB2312" w:hAnsi="仿宋_GB2312" w:eastAsia="仿宋_GB2312" w:cs="仿宋_GB2312"/>
          <w:sz w:val="32"/>
          <w:szCs w:val="32"/>
          <w:highlight w:val="none"/>
          <w:lang w:eastAsia="zh-CN"/>
        </w:rPr>
        <w:t>人员</w:t>
      </w:r>
      <w:r>
        <w:rPr>
          <w:rFonts w:hint="eastAsia" w:ascii="仿宋_GB2312" w:hAnsi="仿宋_GB2312" w:eastAsia="仿宋_GB2312" w:cs="仿宋_GB2312"/>
          <w:sz w:val="32"/>
          <w:szCs w:val="32"/>
          <w:highlight w:val="none"/>
        </w:rPr>
        <w:t>津贴</w:t>
      </w:r>
      <w:r>
        <w:rPr>
          <w:rFonts w:hint="eastAsia" w:ascii="仿宋_GB2312" w:hAnsi="仿宋_GB2312" w:eastAsia="仿宋_GB2312" w:cs="仿宋_GB2312"/>
          <w:sz w:val="32"/>
          <w:szCs w:val="32"/>
          <w:highlight w:val="none"/>
          <w:lang w:eastAsia="zh-CN"/>
        </w:rPr>
        <w:t>增加</w:t>
      </w:r>
      <w:r>
        <w:rPr>
          <w:rFonts w:hint="eastAsia" w:ascii="仿宋_GB2312" w:hAnsi="仿宋_GB2312" w:eastAsia="仿宋_GB2312" w:cs="仿宋_GB2312"/>
          <w:sz w:val="32"/>
          <w:szCs w:val="32"/>
          <w:highlight w:val="none"/>
        </w:rPr>
        <w:t>。</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eastAsia="zh-CN"/>
        </w:rPr>
        <w:t>：</w:t>
      </w:r>
      <w:r>
        <w:rPr>
          <w:rFonts w:hint="eastAsia" w:ascii="仿宋_GB2312" w:hAnsi="仿宋_GB2312" w:eastAsia="仿宋_GB2312" w:cs="仿宋_GB2312"/>
          <w:sz w:val="32"/>
          <w:szCs w:val="32"/>
          <w:lang w:val="en-GB"/>
        </w:rPr>
        <w:t>无</w:t>
      </w:r>
      <w:r>
        <w:rPr>
          <w:rFonts w:hint="eastAsia" w:ascii="仿宋_GB2312" w:hAnsi="仿宋_GB2312" w:eastAsia="仿宋_GB2312" w:cs="仿宋_GB2312"/>
          <w:sz w:val="32"/>
          <w:szCs w:val="32"/>
          <w:lang w:val="en-GB" w:eastAsia="zh-CN"/>
        </w:rPr>
        <w:t>。</w:t>
      </w:r>
    </w:p>
    <w:p>
      <w:pPr>
        <w:keepNext w:val="0"/>
        <w:keepLines w:val="0"/>
        <w:pageBreakBefore w:val="0"/>
        <w:kinsoku/>
        <w:wordWrap/>
        <w:overflowPunct/>
        <w:topLinePunct w:val="0"/>
        <w:bidi w:val="0"/>
        <w:spacing w:line="560" w:lineRule="exact"/>
        <w:ind w:left="0" w:leftChars="0" w:right="0" w:righ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（三）政府性基金预算收支决算情况说明</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2017年度政府性基金预算财政拨款收入0万元，与上年相比，增加（减少）0万元，增长（降低）0%。</w:t>
      </w:r>
      <w:r>
        <w:rPr>
          <w:rFonts w:hint="eastAsia" w:ascii="仿宋_GB2312" w:hAnsi="仿宋_GB2312" w:eastAsia="仿宋_GB2312" w:cs="仿宋_GB2312"/>
          <w:sz w:val="32"/>
          <w:szCs w:val="32"/>
          <w:lang w:eastAsia="zh-CN"/>
        </w:rPr>
        <w:t>增减变化的主要原因是本单位无</w:t>
      </w:r>
      <w:r>
        <w:rPr>
          <w:rFonts w:hint="eastAsia" w:ascii="仿宋_GB2312" w:hAnsi="仿宋_GB2312" w:eastAsia="仿宋_GB2312" w:cs="仿宋_GB2312"/>
          <w:sz w:val="32"/>
          <w:szCs w:val="32"/>
        </w:rPr>
        <w:t>政府性基金预算财政拨款收入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政府性基金预算财政拨款支出0万元，与上年相比，增加（减少）0万元，增长（降低）0%。增减变化的主要原因是：</w:t>
      </w:r>
      <w:r>
        <w:rPr>
          <w:rFonts w:hint="eastAsia" w:ascii="仿宋_GB2312" w:hAnsi="仿宋_GB2312" w:eastAsia="仿宋_GB2312" w:cs="仿宋_GB2312"/>
          <w:sz w:val="32"/>
          <w:szCs w:val="32"/>
          <w:lang w:val="en-GB" w:eastAsia="zh-CN"/>
        </w:rPr>
        <w:t>本单位无</w:t>
      </w:r>
      <w:r>
        <w:rPr>
          <w:rFonts w:hint="eastAsia" w:ascii="仿宋_GB2312" w:hAnsi="仿宋_GB2312" w:eastAsia="仿宋_GB2312" w:cs="仿宋_GB2312"/>
          <w:sz w:val="32"/>
          <w:szCs w:val="32"/>
        </w:rPr>
        <w:t>政府性基金预算财政拨款支出。</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与预算相比情况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GB" w:eastAsia="zh-CN"/>
        </w:rPr>
        <w:t>本单位无</w:t>
      </w:r>
      <w:r>
        <w:rPr>
          <w:rFonts w:hint="eastAsia" w:ascii="仿宋_GB2312" w:hAnsi="仿宋_GB2312" w:eastAsia="仿宋_GB2312" w:cs="仿宋_GB2312"/>
          <w:sz w:val="32"/>
          <w:szCs w:val="32"/>
        </w:rPr>
        <w:t>政府性基金预算收支</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lang w:val="en-GB" w:eastAsia="zh-CN"/>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eastAsia="zh-CN"/>
        </w:rPr>
        <w:t>：无。</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（四）政府性基金预算支出决算情况说明</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2017年度政府性基金预算支出0万元。与上年相比，增加（减少）0万元，增长（降低）0%。增减变化的主要原因是：</w:t>
      </w:r>
      <w:r>
        <w:rPr>
          <w:rFonts w:hint="eastAsia" w:ascii="仿宋_GB2312" w:hAnsi="仿宋_GB2312" w:eastAsia="仿宋_GB2312" w:cs="仿宋_GB2312"/>
          <w:sz w:val="32"/>
          <w:szCs w:val="32"/>
          <w:lang w:val="en-GB" w:eastAsia="zh-CN"/>
        </w:rPr>
        <w:t>本单位无</w:t>
      </w:r>
      <w:r>
        <w:rPr>
          <w:rFonts w:hint="eastAsia" w:ascii="仿宋_GB2312" w:hAnsi="仿宋_GB2312" w:eastAsia="仿宋_GB2312" w:cs="仿宋_GB2312"/>
          <w:sz w:val="32"/>
          <w:szCs w:val="32"/>
        </w:rPr>
        <w:t>政府性基金预算支出。</w:t>
      </w:r>
      <w:r>
        <w:rPr>
          <w:rFonts w:hint="eastAsia" w:ascii="仿宋_GB2312" w:hAnsi="仿宋_GB2312" w:eastAsia="仿宋_GB2312" w:cs="仿宋_GB2312"/>
          <w:sz w:val="32"/>
          <w:szCs w:val="32"/>
          <w:lang w:eastAsia="zh-CN"/>
        </w:rPr>
        <w:t>其中，按功能分类科目，</w:t>
      </w:r>
      <w:r>
        <w:rPr>
          <w:rFonts w:hint="eastAsia" w:ascii="仿宋_GB2312" w:hAnsi="仿宋_GB2312" w:eastAsia="仿宋_GB2312" w:cs="仿宋_GB2312"/>
          <w:sz w:val="32"/>
          <w:szCs w:val="32"/>
          <w:lang w:val="en-US" w:eastAsia="zh-CN"/>
        </w:rPr>
        <w:t>0支出0万元，0支出0万元。按经济分类科目，0支出0万元，0支出0万元。</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与预算相比情况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GB" w:eastAsia="zh-CN"/>
        </w:rPr>
        <w:t>本单位无</w:t>
      </w:r>
      <w:r>
        <w:rPr>
          <w:rFonts w:hint="eastAsia" w:ascii="仿宋_GB2312" w:hAnsi="仿宋_GB2312" w:eastAsia="仿宋_GB2312" w:cs="仿宋_GB2312"/>
          <w:sz w:val="32"/>
          <w:szCs w:val="32"/>
        </w:rPr>
        <w:t>政府性基金预算收支</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lang w:val="en-GB" w:eastAsia="zh-CN"/>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eastAsia="zh-CN"/>
        </w:rPr>
        <w:t>：无。</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三、部门结转结余情况</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年末结转结余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万元。与上年相比，增加（减少）</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万元，增长（降低）</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其中财政拨款结转结余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万元。与上年相比，增加（减少）</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万元，增长（降低）</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US" w:eastAsia="zh-CN"/>
        </w:rPr>
        <w:t>:无。</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四、一般公共预算“三公”经费支出情况</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2017</w:t>
      </w:r>
      <w:r>
        <w:rPr>
          <w:rFonts w:hint="eastAsia" w:ascii="仿宋_GB2312" w:hAnsi="仿宋_GB2312" w:eastAsia="仿宋_GB2312" w:cs="仿宋_GB2312"/>
          <w:sz w:val="32"/>
          <w:szCs w:val="32"/>
        </w:rPr>
        <w:t>年度一般公共预算“三公”经费支出决算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万元，比上年增加（减少）</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万元，增长（降低）</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%，增加（减少）原因是</w:t>
      </w:r>
      <w:r>
        <w:rPr>
          <w:rFonts w:hint="eastAsia" w:ascii="仿宋_GB2312" w:hAnsi="仿宋_GB2312" w:eastAsia="仿宋_GB2312" w:cs="仿宋_GB2312"/>
          <w:sz w:val="32"/>
          <w:szCs w:val="32"/>
          <w:lang w:eastAsia="zh-CN"/>
        </w:rPr>
        <w:t>本单位无</w:t>
      </w:r>
      <w:r>
        <w:rPr>
          <w:rFonts w:hint="eastAsia" w:ascii="仿宋_GB2312" w:hAnsi="仿宋_GB2312" w:eastAsia="仿宋_GB2312" w:cs="仿宋_GB2312"/>
          <w:sz w:val="32"/>
          <w:szCs w:val="32"/>
        </w:rPr>
        <w:t>一般公共预算“三公”经费支出。其中，因公出国（境）费支出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%，比上年增加（减少）</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万元，增长（降低）</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%，增加（减少）原因是</w:t>
      </w:r>
      <w:r>
        <w:rPr>
          <w:rFonts w:hint="eastAsia" w:ascii="仿宋_GB2312" w:hAnsi="仿宋_GB2312" w:eastAsia="仿宋_GB2312" w:cs="仿宋_GB2312"/>
          <w:sz w:val="32"/>
          <w:szCs w:val="32"/>
          <w:lang w:eastAsia="zh-CN"/>
        </w:rPr>
        <w:t>本单位无</w:t>
      </w:r>
      <w:r>
        <w:rPr>
          <w:rFonts w:hint="eastAsia" w:ascii="仿宋_GB2312" w:hAnsi="仿宋_GB2312" w:eastAsia="仿宋_GB2312" w:cs="仿宋_GB2312"/>
          <w:sz w:val="32"/>
          <w:szCs w:val="32"/>
        </w:rPr>
        <w:t>因公出国（境）费支出；公务用车购置及运行维护费支出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%，比上年增加（减少）</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万元，增长（降低）</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%，增加（减少）原因是</w:t>
      </w:r>
      <w:r>
        <w:rPr>
          <w:rFonts w:hint="eastAsia" w:ascii="仿宋_GB2312" w:hAnsi="仿宋_GB2312" w:eastAsia="仿宋_GB2312" w:cs="仿宋_GB2312"/>
          <w:sz w:val="32"/>
          <w:szCs w:val="32"/>
          <w:lang w:eastAsia="zh-CN"/>
        </w:rPr>
        <w:t>本单位无</w:t>
      </w:r>
      <w:r>
        <w:rPr>
          <w:rFonts w:hint="eastAsia" w:ascii="仿宋_GB2312" w:hAnsi="仿宋_GB2312" w:eastAsia="仿宋_GB2312" w:cs="仿宋_GB2312"/>
          <w:sz w:val="32"/>
          <w:szCs w:val="32"/>
        </w:rPr>
        <w:t>公务用车购置及运行维护费支出；公务接待费支出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%，比上年增加（减少）</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万元，增长（降低）</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%，增加（减少）原因是</w:t>
      </w:r>
      <w:r>
        <w:rPr>
          <w:rFonts w:hint="eastAsia" w:ascii="仿宋_GB2312" w:hAnsi="仿宋_GB2312" w:eastAsia="仿宋_GB2312" w:cs="仿宋_GB2312"/>
          <w:sz w:val="32"/>
          <w:szCs w:val="32"/>
          <w:lang w:eastAsia="zh-CN"/>
        </w:rPr>
        <w:t>本单位无</w:t>
      </w:r>
      <w:r>
        <w:rPr>
          <w:rFonts w:hint="eastAsia" w:ascii="仿宋_GB2312" w:hAnsi="仿宋_GB2312" w:eastAsia="仿宋_GB2312" w:cs="仿宋_GB2312"/>
          <w:sz w:val="32"/>
          <w:szCs w:val="32"/>
        </w:rPr>
        <w:t>公务接待费支出。具体情况如下：</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因公出国（境）费支出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eastAsia="仿宋_GB2312"/>
          <w:sz w:val="32"/>
          <w:szCs w:val="32"/>
        </w:rPr>
        <w:t>塔</w:t>
      </w:r>
      <w:r>
        <w:rPr>
          <w:rFonts w:hint="eastAsia" w:ascii="仿宋_GB2312" w:eastAsia="仿宋_GB2312"/>
          <w:sz w:val="32"/>
          <w:szCs w:val="32"/>
          <w:lang w:eastAsia="zh-CN"/>
        </w:rPr>
        <w:t>什库尔干</w:t>
      </w:r>
      <w:r>
        <w:rPr>
          <w:rFonts w:hint="eastAsia" w:ascii="仿宋_GB2312" w:eastAsia="仿宋_GB2312"/>
          <w:sz w:val="32"/>
          <w:szCs w:val="32"/>
        </w:rPr>
        <w:t>县</w:t>
      </w:r>
      <w:r>
        <w:rPr>
          <w:rFonts w:hint="eastAsia" w:ascii="仿宋_GB2312" w:eastAsia="仿宋_GB2312"/>
          <w:sz w:val="32"/>
          <w:szCs w:val="32"/>
          <w:lang w:eastAsia="zh-CN"/>
        </w:rPr>
        <w:t>妇联</w:t>
      </w:r>
      <w:r>
        <w:rPr>
          <w:rFonts w:hint="eastAsia" w:ascii="仿宋_GB2312" w:hAnsi="仿宋_GB2312" w:eastAsia="仿宋_GB2312" w:cs="仿宋_GB2312"/>
          <w:sz w:val="32"/>
          <w:szCs w:val="32"/>
        </w:rPr>
        <w:t>全年使用一般公共预算财政拨款安排的出国（境）团组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个，累计</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人次。</w:t>
      </w:r>
      <w:r>
        <w:rPr>
          <w:rFonts w:hint="eastAsia" w:ascii="仿宋_GB2312" w:hAnsi="仿宋_GB2312" w:eastAsia="仿宋_GB2312" w:cs="仿宋_GB2312"/>
          <w:sz w:val="32"/>
          <w:szCs w:val="32"/>
          <w:lang w:eastAsia="zh-CN"/>
        </w:rPr>
        <w:t>开支内容包括：本单位无因公出国境费用。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公务用车购置及运行维护费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万元,其中，公务用车购置</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万元，公务用车运行维护费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主要用于无。</w:t>
      </w:r>
      <w:r>
        <w:rPr>
          <w:rFonts w:hint="eastAsia" w:ascii="仿宋_GB2312" w:hAnsi="仿宋_GB2312" w:eastAsia="仿宋_GB2312" w:cs="仿宋_GB2312"/>
          <w:sz w:val="32"/>
          <w:szCs w:val="32"/>
          <w:lang w:val="en-US" w:eastAsia="zh-CN"/>
        </w:rPr>
        <w:t>2017</w:t>
      </w:r>
      <w:r>
        <w:rPr>
          <w:rFonts w:hint="eastAsia" w:ascii="仿宋_GB2312" w:hAnsi="仿宋_GB2312" w:eastAsia="仿宋_GB2312" w:cs="仿宋_GB2312"/>
          <w:sz w:val="32"/>
          <w:szCs w:val="32"/>
        </w:rPr>
        <w:t>年，单位一般公共财政拨款安排的公务用车购置量</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辆，保有量为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lang w:val="en-GB"/>
        </w:rPr>
      </w:pPr>
      <w:r>
        <w:rPr>
          <w:rFonts w:hint="eastAsia" w:ascii="仿宋_GB2312" w:hAnsi="仿宋_GB2312" w:eastAsia="仿宋_GB2312" w:cs="仿宋_GB2312"/>
          <w:sz w:val="32"/>
          <w:szCs w:val="32"/>
        </w:rPr>
        <w:t>公务接待费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万元。具体是：国内公务接待支出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，主要是无</w:t>
      </w:r>
      <w:r>
        <w:rPr>
          <w:rFonts w:hint="eastAsia" w:ascii="仿宋_GB2312" w:hAnsi="仿宋_GB2312" w:eastAsia="仿宋_GB2312" w:cs="仿宋_GB2312"/>
          <w:sz w:val="32"/>
          <w:szCs w:val="32"/>
        </w:rPr>
        <w:t>。</w:t>
      </w:r>
      <w:r>
        <w:rPr>
          <w:rFonts w:hint="eastAsia" w:ascii="仿宋_GB2312" w:eastAsia="仿宋_GB2312"/>
          <w:sz w:val="32"/>
          <w:szCs w:val="32"/>
        </w:rPr>
        <w:t>塔</w:t>
      </w:r>
      <w:r>
        <w:rPr>
          <w:rFonts w:hint="eastAsia" w:ascii="仿宋_GB2312" w:eastAsia="仿宋_GB2312"/>
          <w:sz w:val="32"/>
          <w:szCs w:val="32"/>
          <w:lang w:eastAsia="zh-CN"/>
        </w:rPr>
        <w:t>什库尔干</w:t>
      </w:r>
      <w:r>
        <w:rPr>
          <w:rFonts w:hint="eastAsia" w:ascii="仿宋_GB2312" w:eastAsia="仿宋_GB2312"/>
          <w:sz w:val="32"/>
          <w:szCs w:val="32"/>
        </w:rPr>
        <w:t>县</w:t>
      </w:r>
      <w:r>
        <w:rPr>
          <w:rFonts w:hint="eastAsia" w:ascii="仿宋_GB2312" w:eastAsia="仿宋_GB2312"/>
          <w:sz w:val="32"/>
          <w:szCs w:val="32"/>
          <w:lang w:eastAsia="zh-CN"/>
        </w:rPr>
        <w:t>妇联</w:t>
      </w:r>
      <w:r>
        <w:rPr>
          <w:rFonts w:hint="eastAsia" w:ascii="仿宋_GB2312" w:hAnsi="仿宋_GB2312" w:eastAsia="仿宋_GB2312" w:cs="仿宋_GB2312"/>
          <w:sz w:val="32"/>
          <w:szCs w:val="32"/>
        </w:rPr>
        <w:t>国内公务接待</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批次，</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人次。</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与预算相比情况</w:t>
      </w:r>
      <w:r>
        <w:rPr>
          <w:rFonts w:hint="eastAsia" w:ascii="仿宋_GB2312" w:hAnsi="仿宋_GB2312" w:eastAsia="仿宋_GB2312" w:cs="仿宋_GB2312"/>
          <w:sz w:val="32"/>
          <w:szCs w:val="32"/>
          <w:lang w:eastAsia="zh-CN"/>
        </w:rPr>
        <w:t>：无。</w:t>
      </w:r>
    </w:p>
    <w:p>
      <w:pPr>
        <w:keepNext w:val="0"/>
        <w:keepLines w:val="0"/>
        <w:pageBreakBefore w:val="0"/>
        <w:kinsoku/>
        <w:wordWrap/>
        <w:overflowPunct/>
        <w:topLinePunct w:val="0"/>
        <w:bidi w:val="0"/>
        <w:spacing w:line="560" w:lineRule="exact"/>
        <w:ind w:left="0" w:leftChars="0" w:right="0" w:rightChars="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eastAsia="zh-CN"/>
        </w:rPr>
        <w:t>：无。</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五、机关运行经费支出情况</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2017年度</w:t>
      </w:r>
      <w:r>
        <w:rPr>
          <w:rFonts w:hint="eastAsia" w:ascii="仿宋_GB2312" w:eastAsia="仿宋_GB2312"/>
          <w:sz w:val="32"/>
          <w:szCs w:val="32"/>
        </w:rPr>
        <w:t>塔</w:t>
      </w:r>
      <w:r>
        <w:rPr>
          <w:rFonts w:hint="eastAsia" w:ascii="仿宋_GB2312" w:eastAsia="仿宋_GB2312"/>
          <w:sz w:val="32"/>
          <w:szCs w:val="32"/>
          <w:lang w:eastAsia="zh-CN"/>
        </w:rPr>
        <w:t>什库尔干</w:t>
      </w:r>
      <w:r>
        <w:rPr>
          <w:rFonts w:hint="eastAsia" w:ascii="仿宋_GB2312" w:eastAsia="仿宋_GB2312"/>
          <w:sz w:val="32"/>
          <w:szCs w:val="32"/>
        </w:rPr>
        <w:t>县</w:t>
      </w:r>
      <w:r>
        <w:rPr>
          <w:rFonts w:hint="eastAsia" w:ascii="仿宋_GB2312" w:eastAsia="仿宋_GB2312"/>
          <w:sz w:val="32"/>
          <w:szCs w:val="32"/>
          <w:lang w:eastAsia="zh-CN"/>
        </w:rPr>
        <w:t>妇联</w:t>
      </w:r>
      <w:r>
        <w:rPr>
          <w:rFonts w:hint="eastAsia" w:ascii="仿宋_GB2312" w:hAnsi="仿宋_GB2312" w:eastAsia="仿宋_GB2312" w:cs="仿宋_GB2312"/>
          <w:sz w:val="32"/>
          <w:szCs w:val="32"/>
        </w:rPr>
        <w:t>机关运行经费支出4.4万元，比上年减少2.58万元，降低36.96%，主要原因是压缩公务</w:t>
      </w:r>
      <w:r>
        <w:rPr>
          <w:rFonts w:hint="eastAsia" w:ascii="仿宋_GB2312" w:hAnsi="仿宋_GB2312" w:eastAsia="仿宋_GB2312" w:cs="仿宋_GB2312"/>
          <w:sz w:val="32"/>
          <w:szCs w:val="32"/>
          <w:lang w:eastAsia="zh-CN"/>
        </w:rPr>
        <w:t>日常</w:t>
      </w:r>
      <w:r>
        <w:rPr>
          <w:rFonts w:hint="eastAsia" w:ascii="仿宋_GB2312" w:hAnsi="仿宋_GB2312" w:eastAsia="仿宋_GB2312" w:cs="仿宋_GB2312"/>
          <w:sz w:val="32"/>
          <w:szCs w:val="32"/>
        </w:rPr>
        <w:t>经费。</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GB"/>
        </w:rPr>
        <w:t>无</w:t>
      </w:r>
      <w:r>
        <w:rPr>
          <w:rFonts w:hint="eastAsia" w:ascii="仿宋_GB2312" w:hAnsi="仿宋_GB2312" w:eastAsia="仿宋_GB2312" w:cs="仿宋_GB2312"/>
          <w:sz w:val="32"/>
          <w:szCs w:val="32"/>
          <w:lang w:val="en-GB" w:eastAsia="zh-CN"/>
        </w:rPr>
        <w:t>。</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六、政府采购情况</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eastAsia="仿宋_GB2312"/>
          <w:sz w:val="32"/>
          <w:szCs w:val="32"/>
        </w:rPr>
        <w:t>塔</w:t>
      </w:r>
      <w:r>
        <w:rPr>
          <w:rFonts w:hint="eastAsia" w:ascii="仿宋_GB2312" w:eastAsia="仿宋_GB2312"/>
          <w:sz w:val="32"/>
          <w:szCs w:val="32"/>
          <w:lang w:eastAsia="zh-CN"/>
        </w:rPr>
        <w:t>什库尔干</w:t>
      </w:r>
      <w:r>
        <w:rPr>
          <w:rFonts w:hint="eastAsia" w:ascii="仿宋_GB2312" w:eastAsia="仿宋_GB2312"/>
          <w:sz w:val="32"/>
          <w:szCs w:val="32"/>
        </w:rPr>
        <w:t>县</w:t>
      </w:r>
      <w:r>
        <w:rPr>
          <w:rFonts w:hint="eastAsia" w:ascii="仿宋_GB2312" w:eastAsia="仿宋_GB2312"/>
          <w:sz w:val="32"/>
          <w:szCs w:val="32"/>
          <w:lang w:eastAsia="zh-CN"/>
        </w:rPr>
        <w:t>妇联</w:t>
      </w:r>
      <w:r>
        <w:rPr>
          <w:rFonts w:hint="eastAsia" w:ascii="仿宋_GB2312" w:hAnsi="仿宋_GB2312" w:eastAsia="仿宋_GB2312" w:cs="仿宋_GB2312"/>
          <w:sz w:val="32"/>
          <w:szCs w:val="32"/>
        </w:rPr>
        <w:t>政府采购计划0万元，其中：政府采购货物支出0万元、政府采购工程支出0万元、政府采购服务支出0万元；实际采购0万元，其中：政府采购货物支出0万元、政府采购工程支出0万元、政府采购服务支出0万元。</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eastAsia="zh-CN"/>
        </w:rPr>
        <w:t>：无。</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七、其他重要事项的情况</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（一）国有资产占用情况说明</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截至2017年12月31日，资产总计98.44万元，其中：流动资产97.47万元，固定资产0.97万元，其中：房屋0（平方米），价值0万元，共有车辆0辆，价值0万元，其中：部级领导干部用车0辆、一般公务用车0辆、一般执法执勤用车0辆、特种专业技术用车0辆、其他用车0辆</w:t>
      </w:r>
      <w:r>
        <w:rPr>
          <w:rFonts w:hint="eastAsia" w:ascii="仿宋_GB2312" w:hAnsi="仿宋_GB2312" w:eastAsia="仿宋_GB2312" w:cs="仿宋_GB2312"/>
          <w:sz w:val="32"/>
          <w:szCs w:val="32"/>
          <w:lang w:eastAsia="zh-CN"/>
        </w:rPr>
        <w:t>（其他用车主要是：无）</w:t>
      </w:r>
      <w:r>
        <w:rPr>
          <w:rFonts w:hint="eastAsia" w:ascii="仿宋_GB2312" w:hAnsi="仿宋_GB2312" w:eastAsia="仿宋_GB2312" w:cs="仿宋_GB2312"/>
          <w:sz w:val="32"/>
          <w:szCs w:val="32"/>
        </w:rPr>
        <w:t>；单位价值50万元以上通用设备0台（套）、单位价值100万元以上专用设备0台（套），其他固定资产价值0.97万元。</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eastAsia="zh-CN"/>
        </w:rPr>
        <w:t>：</w:t>
      </w:r>
      <w:r>
        <w:rPr>
          <w:rFonts w:hint="eastAsia" w:ascii="仿宋_GB2312" w:hAnsi="仿宋_GB2312" w:eastAsia="仿宋_GB2312" w:cs="仿宋_GB2312"/>
          <w:sz w:val="32"/>
          <w:szCs w:val="32"/>
          <w:lang w:val="en-GB"/>
        </w:rPr>
        <w:t>无</w:t>
      </w:r>
      <w:r>
        <w:rPr>
          <w:rFonts w:hint="eastAsia" w:ascii="仿宋_GB2312" w:hAnsi="仿宋_GB2312" w:eastAsia="仿宋_GB2312" w:cs="仿宋_GB2312"/>
          <w:sz w:val="32"/>
          <w:szCs w:val="32"/>
          <w:lang w:val="en-GB" w:eastAsia="zh-CN"/>
        </w:rPr>
        <w:t>。</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（二）国有资产收益征缴情况说明</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截至2017年12月31日，</w:t>
      </w:r>
      <w:r>
        <w:rPr>
          <w:rFonts w:hint="eastAsia" w:ascii="仿宋_GB2312" w:eastAsia="仿宋_GB2312"/>
          <w:sz w:val="32"/>
          <w:szCs w:val="32"/>
        </w:rPr>
        <w:t>塔</w:t>
      </w:r>
      <w:r>
        <w:rPr>
          <w:rFonts w:hint="eastAsia" w:ascii="仿宋_GB2312" w:eastAsia="仿宋_GB2312"/>
          <w:sz w:val="32"/>
          <w:szCs w:val="32"/>
          <w:lang w:eastAsia="zh-CN"/>
        </w:rPr>
        <w:t>什库尔干</w:t>
      </w:r>
      <w:r>
        <w:rPr>
          <w:rFonts w:hint="eastAsia" w:ascii="仿宋_GB2312" w:eastAsia="仿宋_GB2312"/>
          <w:sz w:val="32"/>
          <w:szCs w:val="32"/>
        </w:rPr>
        <w:t>县</w:t>
      </w:r>
      <w:r>
        <w:rPr>
          <w:rFonts w:hint="eastAsia" w:ascii="仿宋_GB2312" w:eastAsia="仿宋_GB2312"/>
          <w:sz w:val="32"/>
          <w:szCs w:val="32"/>
          <w:lang w:eastAsia="zh-CN"/>
        </w:rPr>
        <w:t>妇联</w:t>
      </w:r>
      <w:r>
        <w:rPr>
          <w:rFonts w:hint="eastAsia" w:ascii="仿宋_GB2312" w:hAnsi="仿宋_GB2312" w:eastAsia="仿宋_GB2312" w:cs="仿宋_GB2312"/>
          <w:sz w:val="32"/>
          <w:szCs w:val="32"/>
        </w:rPr>
        <w:t>资产有偿使用收入合计0万元，资产处置收入合计0万元。其中：已缴国库0万元，已缴财政专户0万元，应缴未缴0万元，单位留用0万元。</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eastAsia="zh-CN"/>
        </w:rPr>
        <w:t>：无。</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（三）部门项目支出情况和项目绩效评价情况说明</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2017年度，本部门单位实行绩效管理的项目0个，涉及预算0万元，项目支出决算0万元。年末本部门单位民生项目和重点支出项目的绩效评价开展情况及结果：本部门单位无实行绩效管理的项目</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eastAsia="zh-CN"/>
        </w:rPr>
        <w:t>：</w:t>
      </w:r>
      <w:r>
        <w:rPr>
          <w:rFonts w:hint="eastAsia" w:ascii="仿宋_GB2312" w:hAnsi="仿宋_GB2312" w:eastAsia="仿宋_GB2312" w:cs="仿宋_GB2312"/>
          <w:sz w:val="32"/>
          <w:szCs w:val="32"/>
          <w:lang w:val="en-GB"/>
        </w:rPr>
        <w:t>无</w:t>
      </w:r>
      <w:r>
        <w:rPr>
          <w:rFonts w:hint="eastAsia" w:ascii="仿宋_GB2312" w:hAnsi="仿宋_GB2312" w:eastAsia="仿宋_GB2312" w:cs="仿宋_GB2312"/>
          <w:sz w:val="32"/>
          <w:szCs w:val="32"/>
          <w:lang w:val="en-GB" w:eastAsia="zh-CN"/>
        </w:rPr>
        <w:t>。</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lang w:val="en-GB"/>
        </w:rPr>
      </w:pPr>
    </w:p>
    <w:p>
      <w:pPr>
        <w:keepNext w:val="0"/>
        <w:keepLines w:val="0"/>
        <w:pageBreakBefore w:val="0"/>
        <w:kinsoku/>
        <w:wordWrap/>
        <w:overflowPunct/>
        <w:topLinePunct w:val="0"/>
        <w:bidi w:val="0"/>
        <w:spacing w:line="560" w:lineRule="exact"/>
        <w:ind w:left="0" w:leftChars="0" w:right="0" w:rightChars="0" w:firstLine="640"/>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第三部分 专业名词解释</w:t>
      </w:r>
    </w:p>
    <w:p>
      <w:pPr>
        <w:keepNext w:val="0"/>
        <w:keepLines w:val="0"/>
        <w:pageBreakBefore w:val="0"/>
        <w:kinsoku/>
        <w:wordWrap/>
        <w:overflowPunct/>
        <w:topLinePunct w:val="0"/>
        <w:autoSpaceDE w:val="0"/>
        <w:autoSpaceDN w:val="0"/>
        <w:bidi w:val="0"/>
        <w:adjustRightInd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财政拨款收入：指同级财政当年拨付的资金。</w:t>
      </w:r>
    </w:p>
    <w:p>
      <w:pPr>
        <w:keepNext w:val="0"/>
        <w:keepLines w:val="0"/>
        <w:pageBreakBefore w:val="0"/>
        <w:kinsoku/>
        <w:wordWrap/>
        <w:overflowPunct/>
        <w:topLinePunct w:val="0"/>
        <w:autoSpaceDE w:val="0"/>
        <w:autoSpaceDN w:val="0"/>
        <w:bidi w:val="0"/>
        <w:adjustRightInd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上级补助收入：指事业单位从主管部门和上级单位取得的非财政补助收入。</w:t>
      </w:r>
    </w:p>
    <w:p>
      <w:pPr>
        <w:keepNext w:val="0"/>
        <w:keepLines w:val="0"/>
        <w:pageBreakBefore w:val="0"/>
        <w:kinsoku/>
        <w:wordWrap/>
        <w:overflowPunct/>
        <w:topLinePunct w:val="0"/>
        <w:autoSpaceDE w:val="0"/>
        <w:autoSpaceDN w:val="0"/>
        <w:bidi w:val="0"/>
        <w:adjustRightInd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事业收入：指事业单位开展专业业务活动及其辅助活动所取得的收入。</w:t>
      </w:r>
    </w:p>
    <w:p>
      <w:pPr>
        <w:keepNext w:val="0"/>
        <w:keepLines w:val="0"/>
        <w:pageBreakBefore w:val="0"/>
        <w:kinsoku/>
        <w:wordWrap/>
        <w:overflowPunct/>
        <w:topLinePunct w:val="0"/>
        <w:autoSpaceDE w:val="0"/>
        <w:autoSpaceDN w:val="0"/>
        <w:bidi w:val="0"/>
        <w:adjustRightInd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经营收入：指事业单位在专业业务活动及其辅助活动之外开展非独立核算经营活动取得的收入。</w:t>
      </w:r>
    </w:p>
    <w:p>
      <w:pPr>
        <w:keepNext w:val="0"/>
        <w:keepLines w:val="0"/>
        <w:pageBreakBefore w:val="0"/>
        <w:kinsoku/>
        <w:wordWrap/>
        <w:overflowPunct/>
        <w:topLinePunct w:val="0"/>
        <w:autoSpaceDE w:val="0"/>
        <w:autoSpaceDN w:val="0"/>
        <w:bidi w:val="0"/>
        <w:adjustRightInd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附属单位缴款：指事业单位附属的独立核算单位按有关规定上缴的收入。</w:t>
      </w:r>
    </w:p>
    <w:p>
      <w:pPr>
        <w:keepNext w:val="0"/>
        <w:keepLines w:val="0"/>
        <w:pageBreakBefore w:val="0"/>
        <w:kinsoku/>
        <w:wordWrap/>
        <w:overflowPunct/>
        <w:topLinePunct w:val="0"/>
        <w:autoSpaceDE w:val="0"/>
        <w:autoSpaceDN w:val="0"/>
        <w:bidi w:val="0"/>
        <w:adjustRightInd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其他收入：指除上述“财政拨款收入”、“事业收入”、“经营收入”、“附属单位缴款”等之外取得的收入。</w:t>
      </w:r>
    </w:p>
    <w:p>
      <w:pPr>
        <w:keepNext w:val="0"/>
        <w:keepLines w:val="0"/>
        <w:pageBreakBefore w:val="0"/>
        <w:kinsoku/>
        <w:wordWrap/>
        <w:overflowPunct/>
        <w:topLinePunct w:val="0"/>
        <w:autoSpaceDE w:val="0"/>
        <w:autoSpaceDN w:val="0"/>
        <w:bidi w:val="0"/>
        <w:adjustRightInd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keepNext w:val="0"/>
        <w:keepLines w:val="0"/>
        <w:pageBreakBefore w:val="0"/>
        <w:kinsoku/>
        <w:wordWrap/>
        <w:overflowPunct/>
        <w:topLinePunct w:val="0"/>
        <w:autoSpaceDE w:val="0"/>
        <w:autoSpaceDN w:val="0"/>
        <w:bidi w:val="0"/>
        <w:adjustRightInd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kinsoku/>
        <w:wordWrap/>
        <w:overflowPunct/>
        <w:topLinePunct w:val="0"/>
        <w:autoSpaceDE w:val="0"/>
        <w:autoSpaceDN w:val="0"/>
        <w:bidi w:val="0"/>
        <w:adjustRightInd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结余分配：反映单位当年结余的分配情况。</w:t>
      </w:r>
    </w:p>
    <w:p>
      <w:pPr>
        <w:keepNext w:val="0"/>
        <w:keepLines w:val="0"/>
        <w:pageBreakBefore w:val="0"/>
        <w:kinsoku/>
        <w:wordWrap/>
        <w:overflowPunct/>
        <w:topLinePunct w:val="0"/>
        <w:autoSpaceDE w:val="0"/>
        <w:autoSpaceDN w:val="0"/>
        <w:bidi w:val="0"/>
        <w:adjustRightInd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kinsoku/>
        <w:wordWrap/>
        <w:overflowPunct/>
        <w:topLinePunct w:val="0"/>
        <w:autoSpaceDE w:val="0"/>
        <w:autoSpaceDN w:val="0"/>
        <w:bidi w:val="0"/>
        <w:adjustRightInd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基本支出：指为保障机构正常运转、完成日常工作任务而发生的人员支出和公用支出。</w:t>
      </w:r>
    </w:p>
    <w:p>
      <w:pPr>
        <w:keepNext w:val="0"/>
        <w:keepLines w:val="0"/>
        <w:pageBreakBefore w:val="0"/>
        <w:kinsoku/>
        <w:wordWrap/>
        <w:overflowPunct/>
        <w:topLinePunct w:val="0"/>
        <w:autoSpaceDE w:val="0"/>
        <w:autoSpaceDN w:val="0"/>
        <w:bidi w:val="0"/>
        <w:adjustRightInd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项目支出：指在基本支出之外为完成特定行政任务和事业发展目标所发生的支出。</w:t>
      </w:r>
    </w:p>
    <w:p>
      <w:pPr>
        <w:keepNext w:val="0"/>
        <w:keepLines w:val="0"/>
        <w:pageBreakBefore w:val="0"/>
        <w:kinsoku/>
        <w:wordWrap/>
        <w:overflowPunct/>
        <w:topLinePunct w:val="0"/>
        <w:autoSpaceDE w:val="0"/>
        <w:autoSpaceDN w:val="0"/>
        <w:bidi w:val="0"/>
        <w:adjustRightInd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经营支出：指事业单位在专业业务活动及其辅助活动之外开展非独立核算经营活动发生的支出。</w:t>
      </w:r>
    </w:p>
    <w:p>
      <w:pPr>
        <w:keepNext w:val="0"/>
        <w:keepLines w:val="0"/>
        <w:pageBreakBefore w:val="0"/>
        <w:kinsoku/>
        <w:wordWrap/>
        <w:overflowPunct/>
        <w:topLinePunct w:val="0"/>
        <w:autoSpaceDE w:val="0"/>
        <w:autoSpaceDN w:val="0"/>
        <w:bidi w:val="0"/>
        <w:adjustRightInd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对附属单位补助支出：指事业单位发生的用非财政预算资金对附属单位的补助支出。</w:t>
      </w:r>
    </w:p>
    <w:p>
      <w:pPr>
        <w:keepNext w:val="0"/>
        <w:keepLines w:val="0"/>
        <w:pageBreakBefore w:val="0"/>
        <w:kinsoku/>
        <w:wordWrap/>
        <w:overflowPunct/>
        <w:topLinePunct w:val="0"/>
        <w:autoSpaceDE w:val="0"/>
        <w:autoSpaceDN w:val="0"/>
        <w:bidi w:val="0"/>
        <w:adjustRightInd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本单位支出功能分类说明</w:t>
      </w:r>
      <w:r>
        <w:rPr>
          <w:rFonts w:hint="eastAsia" w:ascii="仿宋_GB2312" w:hAnsi="仿宋_GB2312" w:eastAsia="仿宋_GB2312" w:cs="仿宋_GB2312"/>
          <w:sz w:val="32"/>
          <w:szCs w:val="32"/>
          <w:lang w:val="en-GB"/>
        </w:rPr>
        <w:t>。</w:t>
      </w:r>
      <w:r>
        <w:rPr>
          <w:rFonts w:hint="eastAsia" w:ascii="仿宋_GB2312" w:hAnsi="仿宋_GB2312" w:eastAsia="仿宋_GB2312" w:cs="仿宋_GB2312"/>
          <w:sz w:val="32"/>
          <w:szCs w:val="32"/>
          <w:lang w:val="en-US" w:eastAsia="zh-CN"/>
        </w:rPr>
        <w:t>201</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29</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01</w:t>
      </w:r>
      <w:r>
        <w:rPr>
          <w:rFonts w:hint="eastAsia" w:ascii="仿宋_GB2312" w:hAnsi="仿宋_GB2312" w:eastAsia="仿宋_GB2312" w:cs="仿宋_GB2312"/>
          <w:sz w:val="32"/>
          <w:szCs w:val="32"/>
        </w:rPr>
        <w:t>（项）：指行政运行。</w:t>
      </w:r>
      <w:r>
        <w:rPr>
          <w:rFonts w:hint="eastAsia" w:ascii="仿宋_GB2312" w:hAnsi="仿宋_GB2312" w:eastAsia="仿宋_GB2312" w:cs="仿宋_GB2312"/>
          <w:sz w:val="32"/>
          <w:szCs w:val="32"/>
          <w:lang w:val="en-US" w:eastAsia="zh-CN"/>
        </w:rPr>
        <w:t>208</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05</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05</w:t>
      </w:r>
      <w:r>
        <w:rPr>
          <w:rFonts w:hint="eastAsia" w:ascii="仿宋_GB2312" w:hAnsi="仿宋_GB2312" w:eastAsia="仿宋_GB2312" w:cs="仿宋_GB2312"/>
          <w:sz w:val="32"/>
          <w:szCs w:val="32"/>
        </w:rPr>
        <w:t>（项）：指机关事业单位基本养老保险缴费支出。</w:t>
      </w:r>
      <w:r>
        <w:rPr>
          <w:rFonts w:hint="eastAsia" w:ascii="仿宋_GB2312" w:hAnsi="仿宋_GB2312" w:eastAsia="仿宋_GB2312" w:cs="仿宋_GB2312"/>
          <w:sz w:val="32"/>
          <w:szCs w:val="32"/>
          <w:lang w:val="en-US" w:eastAsia="zh-CN"/>
        </w:rPr>
        <w:t>221</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02</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01</w:t>
      </w:r>
      <w:r>
        <w:rPr>
          <w:rFonts w:hint="eastAsia" w:ascii="仿宋_GB2312" w:hAnsi="仿宋_GB2312" w:eastAsia="仿宋_GB2312" w:cs="仿宋_GB2312"/>
          <w:sz w:val="32"/>
          <w:szCs w:val="32"/>
        </w:rPr>
        <w:t>（项）：指住房公积金。</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lang w:val="en-GB" w:eastAsia="zh-CN"/>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eastAsia="zh-CN"/>
        </w:rPr>
        <w:t>：无</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lang w:val="en-GB" w:eastAsia="zh-CN"/>
        </w:rPr>
      </w:pPr>
    </w:p>
    <w:p>
      <w:pPr>
        <w:keepNext w:val="0"/>
        <w:keepLines w:val="0"/>
        <w:pageBreakBefore w:val="0"/>
        <w:kinsoku/>
        <w:wordWrap/>
        <w:overflowPunct/>
        <w:topLinePunct w:val="0"/>
        <w:bidi w:val="0"/>
        <w:spacing w:line="560" w:lineRule="exact"/>
        <w:ind w:left="0" w:leftChars="0" w:right="0" w:rightChars="0" w:firstLine="627"/>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第四部分 部门决算报表（见附表）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一、报表封面</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二、《收入支出决算总表》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三、《收入决算表》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四、《支出决算表》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五、《收入支出决算表》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六、《项目收入支出决算表》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七、《行政事业类项目收入支出决算表》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八、《基本建设类项目收入支出决算表》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九、《支出决算明细表》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十、《基本支出决算明细表》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十一、《项目支出决算明细表》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十二、《财政专户管理资金收入支出决算表》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十三、《财政拨款收入支出决算总表》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十四、《一般公共预算财政拨款收入支出决算表》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十五、《一般公共预算财政拨款支出决算明细表》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十六、《一般公共预算财政拨款基本支出决算明细表》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十七、《一般公共预算财政拨款项目支出决算明细表》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十八、《政府性基金预算财政拨款收入支出决算表》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十九、《政府性基金预算财政拨款支出决算明细表》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二十、《政府性基金预算财政拨款基本支出决算明细表》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二十一、《政府性基金预算财政拨款项目支出决算明细表》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二十二、《资产负债简表》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二十三、《资产情况表》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二十四、《国有资产收益征缴情况表》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二十五、《基本数字表》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二十六、《机构人员情况表》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二十七、《非税收入征缴情况表》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二十八、《部门决算相关信息统计表》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二十九、《政府采购情况表》</w:t>
      </w:r>
    </w:p>
    <w:p>
      <w:pPr>
        <w:keepNext w:val="0"/>
        <w:keepLines w:val="0"/>
        <w:pageBreakBefore w:val="0"/>
        <w:kinsoku/>
        <w:wordWrap/>
        <w:overflowPunct/>
        <w:topLinePunct w:val="0"/>
        <w:bidi w:val="0"/>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三十、《2017年度一般公共预算“三公”经费支出情况表》</w:t>
      </w:r>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5" w:left="1588" w:header="851" w:footer="992" w:gutter="0"/>
      <w:cols w:space="425" w:num="1"/>
      <w:docGrid w:type="lines" w:linePitch="435"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827" w:wrap="around" w:vAnchor="text" w:hAnchor="margin" w:xAlign="outside" w:y="1"/>
      <w:rPr>
        <w:rStyle w:val="7"/>
      </w:rPr>
    </w:pPr>
    <w:r>
      <w:rPr>
        <w:rStyle w:val="7"/>
      </w:rPr>
      <w:t>—</w:t>
    </w:r>
    <w:r>
      <w:rPr>
        <w:rStyle w:val="7"/>
        <w:sz w:val="28"/>
        <w:szCs w:val="28"/>
      </w:rPr>
      <w:fldChar w:fldCharType="begin"/>
    </w:r>
    <w:r>
      <w:rPr>
        <w:rStyle w:val="7"/>
        <w:sz w:val="28"/>
        <w:szCs w:val="28"/>
      </w:rPr>
      <w:instrText xml:space="preserve">PAGE  </w:instrText>
    </w:r>
    <w:r>
      <w:rPr>
        <w:rStyle w:val="7"/>
        <w:sz w:val="28"/>
        <w:szCs w:val="28"/>
      </w:rPr>
      <w:fldChar w:fldCharType="separate"/>
    </w:r>
    <w:r>
      <w:rPr>
        <w:rStyle w:val="7"/>
        <w:sz w:val="28"/>
        <w:szCs w:val="28"/>
      </w:rPr>
      <w:t>4</w:t>
    </w:r>
    <w:r>
      <w:rPr>
        <w:rStyle w:val="7"/>
        <w:sz w:val="28"/>
        <w:szCs w:val="28"/>
      </w:rPr>
      <w:fldChar w:fldCharType="end"/>
    </w:r>
    <w:r>
      <w:rPr>
        <w:rStyle w:val="7"/>
      </w:rPr>
      <w:t>—</w:t>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BB5"/>
    <w:rsid w:val="00020E9B"/>
    <w:rsid w:val="00104962"/>
    <w:rsid w:val="001838BC"/>
    <w:rsid w:val="0027001D"/>
    <w:rsid w:val="00294D53"/>
    <w:rsid w:val="002C5D5E"/>
    <w:rsid w:val="0032577F"/>
    <w:rsid w:val="0034260A"/>
    <w:rsid w:val="00345068"/>
    <w:rsid w:val="00441131"/>
    <w:rsid w:val="004E0371"/>
    <w:rsid w:val="00537031"/>
    <w:rsid w:val="00574373"/>
    <w:rsid w:val="005A0237"/>
    <w:rsid w:val="0060130A"/>
    <w:rsid w:val="00642BB5"/>
    <w:rsid w:val="006B1C91"/>
    <w:rsid w:val="00750706"/>
    <w:rsid w:val="007A7B94"/>
    <w:rsid w:val="007B38BE"/>
    <w:rsid w:val="008B4374"/>
    <w:rsid w:val="008F1C88"/>
    <w:rsid w:val="00900823"/>
    <w:rsid w:val="00943CDC"/>
    <w:rsid w:val="0095613B"/>
    <w:rsid w:val="009F635E"/>
    <w:rsid w:val="00A56000"/>
    <w:rsid w:val="00A96E0F"/>
    <w:rsid w:val="00B51792"/>
    <w:rsid w:val="00B61798"/>
    <w:rsid w:val="00B63377"/>
    <w:rsid w:val="00BA39B4"/>
    <w:rsid w:val="00CD78CA"/>
    <w:rsid w:val="00CF2BC0"/>
    <w:rsid w:val="00D36546"/>
    <w:rsid w:val="00D421D0"/>
    <w:rsid w:val="00E20BCF"/>
    <w:rsid w:val="00E33593"/>
    <w:rsid w:val="00E35400"/>
    <w:rsid w:val="00ED5FA7"/>
    <w:rsid w:val="00F054B7"/>
    <w:rsid w:val="00F87B93"/>
    <w:rsid w:val="00FB4607"/>
    <w:rsid w:val="01C63C32"/>
    <w:rsid w:val="024E4859"/>
    <w:rsid w:val="02EB594C"/>
    <w:rsid w:val="0314496D"/>
    <w:rsid w:val="034435E8"/>
    <w:rsid w:val="037D4D00"/>
    <w:rsid w:val="03974B18"/>
    <w:rsid w:val="03DF7370"/>
    <w:rsid w:val="067F1EFF"/>
    <w:rsid w:val="085F02DE"/>
    <w:rsid w:val="086C4C6A"/>
    <w:rsid w:val="0B073811"/>
    <w:rsid w:val="0B86533D"/>
    <w:rsid w:val="0C826309"/>
    <w:rsid w:val="0CB57D80"/>
    <w:rsid w:val="0D0C4955"/>
    <w:rsid w:val="0D0F0B48"/>
    <w:rsid w:val="0F266BAA"/>
    <w:rsid w:val="0F896C84"/>
    <w:rsid w:val="11B474ED"/>
    <w:rsid w:val="11DE5412"/>
    <w:rsid w:val="13422CF4"/>
    <w:rsid w:val="1374301C"/>
    <w:rsid w:val="16D755DA"/>
    <w:rsid w:val="17833255"/>
    <w:rsid w:val="17901E36"/>
    <w:rsid w:val="17A37B89"/>
    <w:rsid w:val="18A11D00"/>
    <w:rsid w:val="1AC92F3E"/>
    <w:rsid w:val="1AF95A04"/>
    <w:rsid w:val="1CBC12E6"/>
    <w:rsid w:val="1D340D37"/>
    <w:rsid w:val="1D9B6E5A"/>
    <w:rsid w:val="1DC6735B"/>
    <w:rsid w:val="1DD56D6B"/>
    <w:rsid w:val="207F375C"/>
    <w:rsid w:val="20BB4E2B"/>
    <w:rsid w:val="211A3026"/>
    <w:rsid w:val="226B1240"/>
    <w:rsid w:val="23AA2305"/>
    <w:rsid w:val="23FC6949"/>
    <w:rsid w:val="25C02C21"/>
    <w:rsid w:val="25F71AED"/>
    <w:rsid w:val="26162E9C"/>
    <w:rsid w:val="26AD2725"/>
    <w:rsid w:val="27022195"/>
    <w:rsid w:val="2716511C"/>
    <w:rsid w:val="27751479"/>
    <w:rsid w:val="27B537A9"/>
    <w:rsid w:val="29143F9F"/>
    <w:rsid w:val="29263C9B"/>
    <w:rsid w:val="2A032FAC"/>
    <w:rsid w:val="2A0972F1"/>
    <w:rsid w:val="2A1C524C"/>
    <w:rsid w:val="2AAA370A"/>
    <w:rsid w:val="2AB55F8E"/>
    <w:rsid w:val="2AD855FE"/>
    <w:rsid w:val="2B5B2EA6"/>
    <w:rsid w:val="2D053F73"/>
    <w:rsid w:val="2D1536FD"/>
    <w:rsid w:val="2D825E0F"/>
    <w:rsid w:val="2DA6201F"/>
    <w:rsid w:val="2E036B43"/>
    <w:rsid w:val="2E2E02DB"/>
    <w:rsid w:val="2F3957D6"/>
    <w:rsid w:val="303971F2"/>
    <w:rsid w:val="312E3F0F"/>
    <w:rsid w:val="3134532E"/>
    <w:rsid w:val="32492177"/>
    <w:rsid w:val="324E0A74"/>
    <w:rsid w:val="328E6DC5"/>
    <w:rsid w:val="32BD4261"/>
    <w:rsid w:val="33521532"/>
    <w:rsid w:val="33C73DC6"/>
    <w:rsid w:val="34203190"/>
    <w:rsid w:val="34AB7129"/>
    <w:rsid w:val="354D5A94"/>
    <w:rsid w:val="358D3307"/>
    <w:rsid w:val="360B09FE"/>
    <w:rsid w:val="365F6732"/>
    <w:rsid w:val="36B3255E"/>
    <w:rsid w:val="372A0FA7"/>
    <w:rsid w:val="38F91A2E"/>
    <w:rsid w:val="391E1EFC"/>
    <w:rsid w:val="3A494A23"/>
    <w:rsid w:val="3B3E2EFE"/>
    <w:rsid w:val="3BF3733C"/>
    <w:rsid w:val="3C346D89"/>
    <w:rsid w:val="3C4342AD"/>
    <w:rsid w:val="3CB031DA"/>
    <w:rsid w:val="3CE21834"/>
    <w:rsid w:val="3CFA38B3"/>
    <w:rsid w:val="3CFE5C6C"/>
    <w:rsid w:val="3DD26234"/>
    <w:rsid w:val="3DE43D88"/>
    <w:rsid w:val="3E18468B"/>
    <w:rsid w:val="3E1B59C9"/>
    <w:rsid w:val="3E413119"/>
    <w:rsid w:val="3E7B4045"/>
    <w:rsid w:val="3F207730"/>
    <w:rsid w:val="3F2109F2"/>
    <w:rsid w:val="3F394C9D"/>
    <w:rsid w:val="40413C2C"/>
    <w:rsid w:val="41AF4E6C"/>
    <w:rsid w:val="41D202AD"/>
    <w:rsid w:val="427D76AE"/>
    <w:rsid w:val="42A565D2"/>
    <w:rsid w:val="42F03C2C"/>
    <w:rsid w:val="43160EF6"/>
    <w:rsid w:val="43556F20"/>
    <w:rsid w:val="43583CB3"/>
    <w:rsid w:val="43B92000"/>
    <w:rsid w:val="43FE474E"/>
    <w:rsid w:val="443D1758"/>
    <w:rsid w:val="44EC1577"/>
    <w:rsid w:val="45643939"/>
    <w:rsid w:val="4611177D"/>
    <w:rsid w:val="46896415"/>
    <w:rsid w:val="46C56441"/>
    <w:rsid w:val="476502E9"/>
    <w:rsid w:val="4916535C"/>
    <w:rsid w:val="49703030"/>
    <w:rsid w:val="49FC4C6D"/>
    <w:rsid w:val="4AB14F74"/>
    <w:rsid w:val="4BEE0F74"/>
    <w:rsid w:val="4CAB15FF"/>
    <w:rsid w:val="4D072770"/>
    <w:rsid w:val="4E5E342E"/>
    <w:rsid w:val="4E7C2C04"/>
    <w:rsid w:val="4F44050E"/>
    <w:rsid w:val="4F6A5D0C"/>
    <w:rsid w:val="4FB67C0C"/>
    <w:rsid w:val="50510CAF"/>
    <w:rsid w:val="506361E4"/>
    <w:rsid w:val="509037A8"/>
    <w:rsid w:val="509A28F6"/>
    <w:rsid w:val="50B57A19"/>
    <w:rsid w:val="517B5A7B"/>
    <w:rsid w:val="517F16E7"/>
    <w:rsid w:val="51F3443B"/>
    <w:rsid w:val="528F34F5"/>
    <w:rsid w:val="53870C56"/>
    <w:rsid w:val="546D0379"/>
    <w:rsid w:val="54B95C65"/>
    <w:rsid w:val="55C33857"/>
    <w:rsid w:val="55CA297A"/>
    <w:rsid w:val="55EB7A54"/>
    <w:rsid w:val="55F13041"/>
    <w:rsid w:val="55F13433"/>
    <w:rsid w:val="55FE6ACA"/>
    <w:rsid w:val="5735625C"/>
    <w:rsid w:val="574615D7"/>
    <w:rsid w:val="57554F0E"/>
    <w:rsid w:val="57D55525"/>
    <w:rsid w:val="57DD5399"/>
    <w:rsid w:val="5AE5316D"/>
    <w:rsid w:val="5C274629"/>
    <w:rsid w:val="5C317D99"/>
    <w:rsid w:val="5C4438FB"/>
    <w:rsid w:val="5D660BA1"/>
    <w:rsid w:val="5E4952B2"/>
    <w:rsid w:val="5F276AB8"/>
    <w:rsid w:val="5F31694C"/>
    <w:rsid w:val="60416187"/>
    <w:rsid w:val="605948FA"/>
    <w:rsid w:val="617C7A1F"/>
    <w:rsid w:val="61D83EAB"/>
    <w:rsid w:val="61F079D9"/>
    <w:rsid w:val="623334A0"/>
    <w:rsid w:val="623677F8"/>
    <w:rsid w:val="627A39FE"/>
    <w:rsid w:val="63C86915"/>
    <w:rsid w:val="6465256E"/>
    <w:rsid w:val="67F52DF2"/>
    <w:rsid w:val="67F96EC4"/>
    <w:rsid w:val="6876740B"/>
    <w:rsid w:val="6A987B79"/>
    <w:rsid w:val="6B92361D"/>
    <w:rsid w:val="6D1061B8"/>
    <w:rsid w:val="6D540725"/>
    <w:rsid w:val="6EDC2962"/>
    <w:rsid w:val="6FAD4AC3"/>
    <w:rsid w:val="7075190F"/>
    <w:rsid w:val="70C0520C"/>
    <w:rsid w:val="7105026E"/>
    <w:rsid w:val="71C62CCA"/>
    <w:rsid w:val="72A74083"/>
    <w:rsid w:val="72F95687"/>
    <w:rsid w:val="73822B22"/>
    <w:rsid w:val="75632265"/>
    <w:rsid w:val="75F01B3C"/>
    <w:rsid w:val="7653516F"/>
    <w:rsid w:val="773B7AA6"/>
    <w:rsid w:val="77761133"/>
    <w:rsid w:val="77C869C5"/>
    <w:rsid w:val="783D6D00"/>
    <w:rsid w:val="7876398F"/>
    <w:rsid w:val="791F59D5"/>
    <w:rsid w:val="79255085"/>
    <w:rsid w:val="793763EE"/>
    <w:rsid w:val="79851E83"/>
    <w:rsid w:val="79946526"/>
    <w:rsid w:val="79DE6CDF"/>
    <w:rsid w:val="7A980EA3"/>
    <w:rsid w:val="7A993F40"/>
    <w:rsid w:val="7B0369BC"/>
    <w:rsid w:val="7B7A2A1C"/>
    <w:rsid w:val="7BA86683"/>
    <w:rsid w:val="7BC052D4"/>
    <w:rsid w:val="7C515904"/>
    <w:rsid w:val="7C824DB4"/>
    <w:rsid w:val="7D931093"/>
    <w:rsid w:val="7E010B6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1"/>
      <w:szCs w:val="24"/>
      <w:lang w:val="en-US" w:eastAsia="zh-CN" w:bidi="ar-SA"/>
    </w:rPr>
  </w:style>
  <w:style w:type="character" w:default="1" w:styleId="6">
    <w:name w:val="Default Paragraph Font"/>
    <w:semiHidden/>
    <w:qFormat/>
    <w:uiPriority w:val="99"/>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cs="Courier New"/>
      <w:szCs w:val="21"/>
    </w:rPr>
  </w:style>
  <w:style w:type="paragraph" w:styleId="3">
    <w:name w:val="footer"/>
    <w:basedOn w:val="1"/>
    <w:link w:val="10"/>
    <w:qFormat/>
    <w:uiPriority w:val="99"/>
    <w:pPr>
      <w:tabs>
        <w:tab w:val="center" w:pos="4153"/>
        <w:tab w:val="right" w:pos="8306"/>
      </w:tabs>
      <w:snapToGrid w:val="0"/>
      <w:jc w:val="left"/>
    </w:pPr>
    <w:rPr>
      <w:rFonts w:ascii="Calibri" w:hAnsi="Calibri"/>
      <w:kern w:val="2"/>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rFonts w:ascii="Calibri" w:hAnsi="Calibri"/>
      <w:kern w:val="2"/>
      <w:sz w:val="18"/>
      <w:szCs w:val="18"/>
    </w:rPr>
  </w:style>
  <w:style w:type="paragraph" w:styleId="5">
    <w:name w:val="Normal (Web)"/>
    <w:basedOn w:val="1"/>
    <w:qFormat/>
    <w:uiPriority w:val="99"/>
    <w:rPr>
      <w:kern w:val="2"/>
      <w:sz w:val="24"/>
    </w:rPr>
  </w:style>
  <w:style w:type="character" w:styleId="7">
    <w:name w:val="page number"/>
    <w:basedOn w:val="6"/>
    <w:qFormat/>
    <w:uiPriority w:val="99"/>
    <w:rPr>
      <w:rFonts w:cs="Times New Roman"/>
    </w:rPr>
  </w:style>
  <w:style w:type="character" w:customStyle="1" w:styleId="9">
    <w:name w:val="Header Char"/>
    <w:basedOn w:val="6"/>
    <w:link w:val="4"/>
    <w:qFormat/>
    <w:locked/>
    <w:uiPriority w:val="99"/>
    <w:rPr>
      <w:rFonts w:cs="Times New Roman"/>
      <w:sz w:val="18"/>
      <w:szCs w:val="18"/>
    </w:rPr>
  </w:style>
  <w:style w:type="character" w:customStyle="1" w:styleId="10">
    <w:name w:val="Footer Char"/>
    <w:basedOn w:val="6"/>
    <w:link w:val="3"/>
    <w:qFormat/>
    <w:locked/>
    <w:uiPriority w:val="99"/>
    <w:rPr>
      <w:rFonts w:cs="Times New Roman"/>
      <w:sz w:val="18"/>
      <w:szCs w:val="18"/>
    </w:rPr>
  </w:style>
  <w:style w:type="paragraph" w:customStyle="1"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china</Company>
  <Pages>14</Pages>
  <Words>894</Words>
  <Characters>5099</Characters>
  <Lines>0</Lines>
  <Paragraphs>0</Paragraphs>
  <TotalTime>0</TotalTime>
  <ScaleCrop>false</ScaleCrop>
  <LinksUpToDate>false</LinksUpToDate>
  <CharactersWithSpaces>0</CharactersWithSpaces>
  <Application>WPS Office_11.1.0.8013_F1E327BC-269C-435d-A152-05C5408002CA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2018-05-21T05:01:00Z</dcterms:created>
  <dc:creator>董志强</dc:creator>
  <cp:lastModifiedBy>塔县财政局</cp:lastModifiedBy>
  <dcterms:modified xsi:type="dcterms:W3CDTF">2019-01-07T05:18:12Z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