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宋体" w:cs="宋体"/>
          <w:sz w:val="44"/>
          <w:szCs w:val="44"/>
        </w:rPr>
      </w:pP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2017年度塔什库尔干县财政国库集中支付</w:t>
      </w: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中心部门决算公开说明</w:t>
      </w:r>
    </w:p>
    <w:p>
      <w:pPr>
        <w:spacing w:line="580" w:lineRule="exact"/>
        <w:jc w:val="center"/>
        <w:rPr>
          <w:rFonts w:ascii="方正小标宋简体" w:hAnsi="方正小标宋简体" w:eastAsia="方正小标宋简体" w:cs="方正小标宋简体"/>
          <w:sz w:val="44"/>
          <w:szCs w:val="44"/>
        </w:rPr>
      </w:pPr>
    </w:p>
    <w:p>
      <w:pPr>
        <w:spacing w:line="58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塔什库尔干县支付中心单位概况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jc w:val="center"/>
        <w:rPr>
          <w:rFonts w:ascii="黑体" w:hAnsi="黑体" w:eastAsia="黑体"/>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1.认真贯彻国家有关财经法律、法规和制度，教育引导财政国库集中支付中心工作人员正确处理监督与服务的关系。</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2.组织建立健全财政国库集中支付中心支付、会计核算和内部管理制度，强化内部制约机制。定期布置、检查、总结中心工作，发现问题及时解决，不断提高工作效率和管理质量。</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3.负责抓好财政国库集中支付中心的政治思想工作和廉政建设，抓好中心的行政管理工作。</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4.依法保障财政国库集中支付中心工作人员的后续教育，促进业务素质的提高。</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5.负责协调财政国库集中支付中心与财政局内有关业务股室和预算单位的关系，解决政府中心与国库股、预算单位、供货商、银行支付、会计核算业务中出现的问题。</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6.完成财政局交办的其他工作。</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塔什库尔干县国库集中支付中心单位性质为行政单位全额拨款，执行会计制度为行政会计制度，独立编制机构1个，与上年相比无变化，无内设机构。</w:t>
      </w:r>
    </w:p>
    <w:p>
      <w:pPr>
        <w:numPr>
          <w:ilvl w:val="0"/>
          <w:numId w:val="1"/>
        </w:num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机构人员情况：</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编制20人，实有在职人数 17人，退休4人，属于一般公共预算财政拨款（补助）开支 21人，其中：在职 17人，退休4人。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从决算单位构成看，塔什库尔干县国库集中支付中心部门决算包括：塔什库尔干县国库集中支付中心部门本级决算、所属单位决算等。</w:t>
      </w:r>
    </w:p>
    <w:p>
      <w:pPr>
        <w:spacing w:line="560" w:lineRule="exact"/>
        <w:ind w:firstLine="616" w:firstLineChars="200"/>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纳入塔什库尔干县国库集中支付中心2017年部门决算编制范围的单位名单见下表：</w:t>
      </w:r>
    </w:p>
    <w:p>
      <w:pPr>
        <w:spacing w:line="560" w:lineRule="exact"/>
        <w:ind w:firstLine="616" w:firstLineChars="200"/>
        <w:rPr>
          <w:rFonts w:hint="eastAsia" w:ascii="仿宋_GB2312" w:hAnsi="仿宋_GB2312" w:eastAsia="仿宋_GB2312" w:cs="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7050"/>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03" w:type="dxa"/>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7050" w:type="dxa"/>
            <w:vAlign w:val="center"/>
          </w:tcPr>
          <w:p>
            <w:pPr>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1107" w:type="dxa"/>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03" w:type="dxa"/>
            <w:vAlign w:val="center"/>
          </w:tcPr>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7050" w:type="dxa"/>
            <w:vAlign w:val="center"/>
          </w:tcPr>
          <w:p>
            <w:pPr>
              <w:spacing w:line="560" w:lineRule="exact"/>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塔什库尔干县财政国库集中支付中心</w:t>
            </w:r>
          </w:p>
        </w:tc>
        <w:tc>
          <w:tcPr>
            <w:tcW w:w="1107" w:type="dxa"/>
            <w:vAlign w:val="center"/>
          </w:tcPr>
          <w:p>
            <w:pPr>
              <w:spacing w:line="560" w:lineRule="exact"/>
              <w:ind w:firstLine="640" w:firstLineChars="200"/>
              <w:jc w:val="center"/>
              <w:rPr>
                <w:rFonts w:hint="eastAsia" w:ascii="仿宋_GB2312" w:hAnsi="仿宋_GB2312" w:eastAsia="仿宋_GB2312" w:cs="仿宋_GB2312"/>
                <w:sz w:val="32"/>
                <w:szCs w:val="32"/>
              </w:rPr>
            </w:pPr>
          </w:p>
        </w:tc>
      </w:tr>
    </w:tbl>
    <w:p>
      <w:pPr>
        <w:spacing w:line="560" w:lineRule="exact"/>
        <w:rPr>
          <w:rFonts w:hint="eastAsia" w:ascii="仿宋_GB2312" w:hAnsi="仿宋_GB2312" w:eastAsia="仿宋_GB2312" w:cs="仿宋_GB2312"/>
          <w:b/>
          <w:sz w:val="32"/>
          <w:szCs w:val="32"/>
        </w:rPr>
      </w:pPr>
    </w:p>
    <w:p>
      <w:pPr>
        <w:spacing w:line="560" w:lineRule="exact"/>
        <w:ind w:firstLine="627"/>
        <w:jc w:val="center"/>
        <w:rPr>
          <w:rFonts w:hint="eastAsia" w:ascii="黑体" w:hAnsi="黑体" w:eastAsia="黑体" w:cs="黑体"/>
          <w:sz w:val="32"/>
          <w:szCs w:val="32"/>
        </w:rPr>
      </w:pPr>
      <w:r>
        <w:rPr>
          <w:rFonts w:hint="eastAsia" w:ascii="黑体" w:hAnsi="黑体" w:eastAsia="黑体" w:cs="黑体"/>
          <w:sz w:val="32"/>
          <w:szCs w:val="32"/>
        </w:rPr>
        <w:t>第二部分 部门决算情况说明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收入243.26万元,与上年相比，增加22.57万元，增长10.23%，支出243.26万元,与上年相比，增加22.57万元，增长10.23%，结余0万元，与上年相比，增加（减少）0万元，增长（降低）0%。增加的主要原因是：2017年新增4名人员导致人员经费增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预算收入294.17万元，与预算相比，减少50.91万元，降低17.31%，增减变化主要原因是：2017年部分预算经费未执行；2人辞职和1人调出导致人员经费减少。2017年预算支出294.17万元，与预算相比，降低50.91万元，降低17.31%。增减变化主要原因是：2017年部分预算经费未执行，2人辞职和1人调出导致人员经费减少。</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收入合计243.26万元，其中：财政拨款收入243.26万元，占100%；上级补助收入0万元，占0.00%；事业收入0万元，占0.00%；经营收入0万元，占0.00%；附属单位缴款0万元，占0.00%；其他收入0万元，占0.00%。增减变化的主要原因是：2017年新增4名人员导致人员经费增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与预算相比情况。2017年预算收入294.17万元，与预算相比，减少50.91万元，降低17.31%，增减变化主要原因是：2017年部分预算经费未执行，2人辞职和1人调出导致人员经费减少。       </w:t>
      </w:r>
    </w:p>
    <w:p>
      <w:pPr>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其他有关说明内容：</w:t>
      </w:r>
      <w:r>
        <w:rPr>
          <w:rFonts w:hint="eastAsia" w:ascii="仿宋_GB2312" w:hAnsi="仿宋_GB2312" w:eastAsia="仿宋_GB2312" w:cs="仿宋_GB2312"/>
          <w:sz w:val="32"/>
          <w:szCs w:val="32"/>
          <w:lang w:val="en-GB"/>
        </w:rPr>
        <w:t>无</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（三）部门支出总体情况说明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支出合计243.26万元，其中：基本支出243.26万元，占100%；项目支出0万元，占0%；上缴上级支出0万元，占0%；经营支出0万元，占0%；对附属单位补助支出0万元，占0%。增减变化主要原因是：2017年新增4名人员导致人员经费增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与预算相比情况。2017年预算支出294.17万元，与预算相比，减少50.91万元，降低17.31%。增减变化主要原因是：2017年部分预算经费未执行，2人辞职和1人调出导致人员经费减少。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财政拨款收入243.26万元，与上年相比，增加22.57万元，增长10.23%。增减变化的主要原因是：2017年新增4名人员导致人员经费增加。财政拨款支出243.26万元，与上年相比，增加22.57万元，增长10.23%。其中：基本支出243.26万元，项目支出0万元。增减变化的主要原因是：2017年新增4名人员导致人员经费增加。财政拨款结转结余0万元，与上年相比，增加（减少）0万元，增长（降低）0.00%。增减变化的主要原因是：2016年与2017年无结转结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与预算相比情况。2017年预算收入294.17万元，与预算相比，减少50.91万元，降低17.31%，增减变化主要原因是：2017年部分预算经费未执行，2人辞职和1人调出导致人员经费减少。</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2017年预算支出294.17万元，与预算相比，减少50.91万元，降低17.31%。增减变化主要原因是：2017年部分预算经费未执行，2人辞职和1人调出导致人员经费减少。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财政拨款支出243.26万元。与上年相比，增加22.57万元，增长10.23%。增减变化的主要原因是：2017年新增4名人员导致人员经费增加。其中：按功能分类科目，一般公共服务支出200.51万元，社会保障和就业支出25.65万元，住房保障支出17.10万元。按经济分类科目，工资福利支出204.67万元，商品和服务支出14.93万元，对个人和家庭的补助23.66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与预算相比情况。2017年一般公共服务预算支出243.26万元，与预算相比，减少42.75万元，降低17.57%，增减变化主要原因是：2017年部分预算经费未执行，2人辞职和1人调出导致人员经费减少。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（三）政府性基金预算收支决算情况说明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财政拨款收入0万元，与上年相比，增加（减少）0万元，增长（降低）0%。增减变化的主要原因是：本单位无政府性基金预算收支。政府性基金预算财政拨款支出0万元，与上年相比，增加（减少）0万元，增长（降低）0%。增减变化的主要原因是：本单位无政府性基金预算收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与预算相比情况：无变动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政府性基金预算支出0万元。与上年相比，增加（减少）0万元，增长（降低）0%。增减变化的主要原因是：本单位无政府性基金预算收支。其中：按功能分类科目，0支出0万元。按经济分类科目，0支出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与预算相比情况：无变化。</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年末结转结余0万元。与上年相比，增加（减少）0万元，增长（降低）0%。</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其中财政拨款结转结余0万元。与上年相比，增加（减少）0万元，增长（降低）0%。</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其他有关说明内容：2016年度与2017年度均无结转结余。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三公”经费支出决算2万元，比上年增加（减少）0万元，增长（降低）0%，增长（减低）原因是无变化。其中，因公出国（境）费支出0万元，占0%，比上年增加（减少）0万元，增长（降低）0%，增加（减少）原因是本单位无因公出国（境）费支出；公务用车购置及运行维护费支出2万元，占100.00%，比上年增加（减少）0万元，增长（降低）0%，增加（减少）原因是无变化；公务接待费支出0万元，占0%，比上年增加（减少）0万元，增长（降低）0%，增加（减少）原因是本单位无公务接待费支出。具体情况如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因公出国（境）费支出0万元。</w:t>
      </w:r>
      <w:r>
        <w:rPr>
          <w:rFonts w:hint="eastAsia" w:ascii="仿宋_GB2312" w:hAnsi="仿宋_GB2312" w:eastAsia="仿宋_GB2312" w:cs="仿宋_GB2312"/>
          <w:spacing w:val="-6"/>
          <w:sz w:val="32"/>
          <w:szCs w:val="32"/>
        </w:rPr>
        <w:t>塔什库尔干县国库集中支付中心</w:t>
      </w:r>
      <w:r>
        <w:rPr>
          <w:rFonts w:hint="eastAsia" w:ascii="仿宋_GB2312" w:hAnsi="仿宋_GB2312" w:eastAsia="仿宋_GB2312" w:cs="仿宋_GB2312"/>
          <w:sz w:val="32"/>
          <w:szCs w:val="32"/>
        </w:rPr>
        <w:t>全年使用一般公共预算财政拨款安排的出国（境）团组0个，累计0人次。开支内容包括：无支出费用。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公务用车购置及运行维护费2万元,其中，公务用车购置0万元，公务用车运行维护费2万元。主要用于车辆燃料费、维修费、保险费等。2017年，单位一般公共财政拨款安排的公务用车购置量0辆，保有量为1辆。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公务接待费0万元。具体是：国内公务接待支出0万元。</w:t>
      </w:r>
      <w:r>
        <w:rPr>
          <w:rFonts w:hint="eastAsia" w:ascii="仿宋_GB2312" w:hAnsi="仿宋_GB2312" w:eastAsia="仿宋_GB2312" w:cs="仿宋_GB2312"/>
          <w:spacing w:val="-6"/>
          <w:sz w:val="32"/>
          <w:szCs w:val="32"/>
        </w:rPr>
        <w:t>塔什库尔干县国库集中支付中心</w:t>
      </w:r>
      <w:r>
        <w:rPr>
          <w:rFonts w:hint="eastAsia" w:ascii="仿宋_GB2312" w:hAnsi="仿宋_GB2312" w:eastAsia="仿宋_GB2312" w:cs="仿宋_GB2312"/>
          <w:sz w:val="32"/>
          <w:szCs w:val="32"/>
        </w:rPr>
        <w:t>国内公务接待0批次，0人次。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与预算相比情况：无变动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w:t>
      </w:r>
      <w:r>
        <w:rPr>
          <w:rFonts w:hint="eastAsia" w:ascii="仿宋_GB2312" w:hAnsi="仿宋_GB2312" w:eastAsia="仿宋_GB2312" w:cs="仿宋_GB2312"/>
          <w:spacing w:val="-6"/>
          <w:sz w:val="32"/>
          <w:szCs w:val="32"/>
        </w:rPr>
        <w:t>塔什库尔干县国库集中支付中心</w:t>
      </w:r>
      <w:r>
        <w:rPr>
          <w:rFonts w:hint="eastAsia" w:ascii="仿宋_GB2312" w:hAnsi="仿宋_GB2312" w:eastAsia="仿宋_GB2312" w:cs="仿宋_GB2312"/>
          <w:sz w:val="32"/>
          <w:szCs w:val="32"/>
        </w:rPr>
        <w:t>机关运行经费支出14.93万元，比上年减少0.84万元，降低5.33%，主要原因是2017年办公经费减少支出。</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塔什库尔干县国库集中支付中心</w:t>
      </w:r>
      <w:r>
        <w:rPr>
          <w:rFonts w:hint="eastAsia" w:ascii="仿宋_GB2312" w:hAnsi="仿宋_GB2312" w:eastAsia="仿宋_GB2312" w:cs="仿宋_GB2312"/>
          <w:sz w:val="32"/>
          <w:szCs w:val="32"/>
        </w:rPr>
        <w:t>政府采购计划0万元，其中：政府采购货物支出0万元、政府采购工程支出0万元、政府采购服务支出0万元；实际采购0万元，其中：政府采购货物支出0万元、政府采购工程支出0万元、政府采购服务支出0万元。</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其他有关说明内容：本单位无</w:t>
      </w:r>
      <w:r>
        <w:rPr>
          <w:rFonts w:hint="eastAsia" w:ascii="仿宋_GB2312" w:hAnsi="仿宋_GB2312" w:eastAsia="仿宋_GB2312" w:cs="仿宋_GB2312"/>
          <w:sz w:val="32"/>
          <w:szCs w:val="32"/>
          <w:lang w:val="en-GB"/>
        </w:rPr>
        <w:t>政府采购</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资产总计216.12万元，其中：流动资产47.12万元，固定资产169万元，其中：房屋2000（平方米），价值141.49万元，共有车辆1辆，价值17.63万元，其中：部级领导干部用车0辆、一般公务用车1辆、一般执法执勤用车0辆、特种专业技术用车0辆、其他用车0辆（其他用车主要是：无）；单位价值50万元以上通用设备0台（套）、单位价值100万元以上专用设备0台（套），其他固定资产价值9.88万元。</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截至2017年12月31日，</w:t>
      </w:r>
      <w:r>
        <w:rPr>
          <w:rFonts w:hint="eastAsia" w:ascii="仿宋_GB2312" w:hAnsi="仿宋_GB2312" w:eastAsia="仿宋_GB2312" w:cs="仿宋_GB2312"/>
          <w:spacing w:val="-6"/>
          <w:sz w:val="32"/>
          <w:szCs w:val="32"/>
        </w:rPr>
        <w:t>塔什库尔干县国库集中支付中心</w:t>
      </w:r>
      <w:r>
        <w:rPr>
          <w:rFonts w:hint="eastAsia" w:ascii="仿宋_GB2312" w:hAnsi="仿宋_GB2312" w:eastAsia="仿宋_GB2312" w:cs="仿宋_GB2312"/>
          <w:sz w:val="32"/>
          <w:szCs w:val="32"/>
        </w:rPr>
        <w:t>资产有偿使用收入合计0万元，资产处置收入合计0万元。其中：已缴国库0万元，已缴财政专户0万元，应缴未缴0万元，单位留用0万元。</w:t>
      </w:r>
    </w:p>
    <w:p>
      <w:pPr>
        <w:spacing w:line="560" w:lineRule="exact"/>
        <w:ind w:firstLine="640" w:firstLineChars="200"/>
        <w:rPr>
          <w:rFonts w:hint="eastAsia"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2017年度，本部门单位实行绩效管理的项目0个，涉及预算0万元，项目支出决算0万元。年末本部门单位民生项目和重点支出项目的绩效评价开展情况及结果：无</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本单位无</w:t>
      </w:r>
      <w:r>
        <w:rPr>
          <w:rFonts w:hint="eastAsia" w:ascii="仿宋_GB2312" w:hAnsi="仿宋_GB2312" w:eastAsia="仿宋_GB2312" w:cs="仿宋_GB2312"/>
          <w:sz w:val="32"/>
          <w:szCs w:val="32"/>
        </w:rPr>
        <w:t>部门项目支出情况。</w:t>
      </w:r>
    </w:p>
    <w:p>
      <w:pPr>
        <w:spacing w:line="560" w:lineRule="exact"/>
        <w:ind w:firstLine="640" w:firstLineChars="200"/>
        <w:rPr>
          <w:rFonts w:hint="eastAsia" w:ascii="仿宋_GB2312" w:hAnsi="仿宋_GB2312" w:eastAsia="仿宋_GB2312" w:cs="仿宋_GB2312"/>
          <w:sz w:val="32"/>
          <w:szCs w:val="32"/>
        </w:rPr>
      </w:pPr>
    </w:p>
    <w:p>
      <w:pPr>
        <w:spacing w:line="560" w:lineRule="exact"/>
        <w:ind w:firstLine="640"/>
        <w:jc w:val="center"/>
        <w:rPr>
          <w:rFonts w:hint="eastAsia" w:ascii="黑体" w:hAnsi="黑体" w:eastAsia="黑体" w:cs="黑体"/>
          <w:sz w:val="32"/>
          <w:szCs w:val="32"/>
        </w:rPr>
      </w:pPr>
      <w:r>
        <w:rPr>
          <w:rFonts w:hint="eastAsia" w:ascii="黑体" w:hAnsi="黑体" w:eastAsia="黑体" w:cs="黑体"/>
          <w:sz w:val="32"/>
          <w:szCs w:val="32"/>
        </w:rPr>
        <w:t>第三部分 专业名词解释</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hint="eastAsia" w:ascii="仿宋_GB2312" w:hAnsi="仿宋_GB2312" w:eastAsia="仿宋_GB2312" w:cs="仿宋_GB2312"/>
          <w:sz w:val="32"/>
          <w:szCs w:val="32"/>
          <w:lang w:val="en-GB"/>
        </w:rPr>
        <w:t>。</w:t>
      </w:r>
      <w:r>
        <w:rPr>
          <w:rFonts w:hint="eastAsia" w:ascii="仿宋_GB2312" w:hAnsi="仿宋_GB2312" w:eastAsia="仿宋_GB2312" w:cs="仿宋_GB2312"/>
          <w:sz w:val="32"/>
          <w:szCs w:val="32"/>
        </w:rPr>
        <w:t>201（类）06（款）01（项）：指行政运行。208（类）05（款）05（项）：指机关事业单位基本养老保险缴费支出。221（类）02（款）01（项）：指住房公积金。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27"/>
        <w:jc w:val="center"/>
        <w:rPr>
          <w:rFonts w:hint="eastAsia" w:ascii="仿宋_GB2312" w:hAnsi="仿宋_GB2312" w:eastAsia="仿宋_GB2312" w:cs="仿宋_GB2312"/>
          <w:sz w:val="32"/>
          <w:szCs w:val="32"/>
        </w:rPr>
      </w:pPr>
    </w:p>
    <w:p>
      <w:pPr>
        <w:spacing w:line="560" w:lineRule="exact"/>
        <w:ind w:firstLine="627"/>
        <w:jc w:val="center"/>
        <w:rPr>
          <w:rFonts w:hint="eastAsia" w:ascii="黑体" w:hAnsi="黑体" w:eastAsia="黑体" w:cs="黑体"/>
          <w:sz w:val="32"/>
          <w:szCs w:val="32"/>
        </w:rPr>
      </w:pPr>
      <w:r>
        <w:rPr>
          <w:rFonts w:hint="eastAsia" w:ascii="黑体" w:hAnsi="黑体" w:eastAsia="黑体" w:cs="黑体"/>
          <w:sz w:val="32"/>
          <w:szCs w:val="32"/>
        </w:rPr>
        <w:t>第四部分 部门决算报表（见附表）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bookmarkStart w:id="0" w:name="_GoBack"/>
      <w:bookmarkEnd w:id="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十八、《政府性基金预算财政拨款收入支出决算表》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十九、《政府性基金预算财政拨款支出决算明细表》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二十、《政府性基金预算财政拨款基本支出决算明细表》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二十一、《政府性基金预算财政拨款项目支出决算明细表》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二十二、《资产负债简表》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二十三、《资产情况表》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二十四、《国有资产收益征缴情况表》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二十五、《基本数字表》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二十六、《机构人员情况表》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二十七、《非税收入征缴情况表》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二十八、《部门决算相关信息统计表》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二十九、《政府采购情况表》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三十、《2017年度一般公共预算“三公”经费支出情况表》</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仿宋简体">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15</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F4CC5"/>
    <w:multiLevelType w:val="singleLevel"/>
    <w:tmpl w:val="5BAF4CC5"/>
    <w:lvl w:ilvl="0" w:tentative="0">
      <w:start w:val="3"/>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553F6"/>
    <w:rsid w:val="000612E8"/>
    <w:rsid w:val="000769B7"/>
    <w:rsid w:val="00083C20"/>
    <w:rsid w:val="00087E42"/>
    <w:rsid w:val="000A6172"/>
    <w:rsid w:val="00104962"/>
    <w:rsid w:val="00182690"/>
    <w:rsid w:val="00183D6B"/>
    <w:rsid w:val="00193603"/>
    <w:rsid w:val="001A2B8A"/>
    <w:rsid w:val="001A3799"/>
    <w:rsid w:val="001C17DB"/>
    <w:rsid w:val="001C3A1B"/>
    <w:rsid w:val="001D640C"/>
    <w:rsid w:val="001E7B99"/>
    <w:rsid w:val="0021708D"/>
    <w:rsid w:val="00237228"/>
    <w:rsid w:val="002512E2"/>
    <w:rsid w:val="00251C72"/>
    <w:rsid w:val="00253C08"/>
    <w:rsid w:val="0025542F"/>
    <w:rsid w:val="00274641"/>
    <w:rsid w:val="00286FE6"/>
    <w:rsid w:val="002B4683"/>
    <w:rsid w:val="002B5C0E"/>
    <w:rsid w:val="00307D2B"/>
    <w:rsid w:val="00313761"/>
    <w:rsid w:val="0032577F"/>
    <w:rsid w:val="00370C99"/>
    <w:rsid w:val="00376061"/>
    <w:rsid w:val="003C04D8"/>
    <w:rsid w:val="003D5B79"/>
    <w:rsid w:val="004047FE"/>
    <w:rsid w:val="00422257"/>
    <w:rsid w:val="00495733"/>
    <w:rsid w:val="004A37F8"/>
    <w:rsid w:val="0051736F"/>
    <w:rsid w:val="00535FF9"/>
    <w:rsid w:val="00546544"/>
    <w:rsid w:val="005636B5"/>
    <w:rsid w:val="005A0237"/>
    <w:rsid w:val="005C5424"/>
    <w:rsid w:val="005D313F"/>
    <w:rsid w:val="005E7220"/>
    <w:rsid w:val="0060130A"/>
    <w:rsid w:val="00601D58"/>
    <w:rsid w:val="0060283F"/>
    <w:rsid w:val="006070B4"/>
    <w:rsid w:val="00642BB5"/>
    <w:rsid w:val="006C3046"/>
    <w:rsid w:val="006E3025"/>
    <w:rsid w:val="00700464"/>
    <w:rsid w:val="00772535"/>
    <w:rsid w:val="007A174C"/>
    <w:rsid w:val="007C1B4A"/>
    <w:rsid w:val="00815340"/>
    <w:rsid w:val="008457DC"/>
    <w:rsid w:val="00862EE9"/>
    <w:rsid w:val="00863EC5"/>
    <w:rsid w:val="00884BBB"/>
    <w:rsid w:val="008B1F63"/>
    <w:rsid w:val="008B79EA"/>
    <w:rsid w:val="008C4CBC"/>
    <w:rsid w:val="009726CA"/>
    <w:rsid w:val="009912D9"/>
    <w:rsid w:val="009C573B"/>
    <w:rsid w:val="009D3657"/>
    <w:rsid w:val="009E2334"/>
    <w:rsid w:val="009F088C"/>
    <w:rsid w:val="009F635E"/>
    <w:rsid w:val="00A56000"/>
    <w:rsid w:val="00A66FF8"/>
    <w:rsid w:val="00A8390A"/>
    <w:rsid w:val="00A93C88"/>
    <w:rsid w:val="00B51792"/>
    <w:rsid w:val="00B579FF"/>
    <w:rsid w:val="00B84336"/>
    <w:rsid w:val="00B9397C"/>
    <w:rsid w:val="00BF59AC"/>
    <w:rsid w:val="00BF6C1F"/>
    <w:rsid w:val="00C155C5"/>
    <w:rsid w:val="00C1600C"/>
    <w:rsid w:val="00C27DA4"/>
    <w:rsid w:val="00C67A4F"/>
    <w:rsid w:val="00C703D3"/>
    <w:rsid w:val="00C74180"/>
    <w:rsid w:val="00C81D69"/>
    <w:rsid w:val="00CD07CF"/>
    <w:rsid w:val="00CF2BC0"/>
    <w:rsid w:val="00D1705F"/>
    <w:rsid w:val="00D204CC"/>
    <w:rsid w:val="00D241E5"/>
    <w:rsid w:val="00D405A7"/>
    <w:rsid w:val="00D419CB"/>
    <w:rsid w:val="00D608AD"/>
    <w:rsid w:val="00D70B06"/>
    <w:rsid w:val="00DD5895"/>
    <w:rsid w:val="00E04A05"/>
    <w:rsid w:val="00E21332"/>
    <w:rsid w:val="00E213C6"/>
    <w:rsid w:val="00E828CA"/>
    <w:rsid w:val="00E96BFA"/>
    <w:rsid w:val="00EA0B64"/>
    <w:rsid w:val="00EA1763"/>
    <w:rsid w:val="00EA5A85"/>
    <w:rsid w:val="00EA69C2"/>
    <w:rsid w:val="00EC1AC5"/>
    <w:rsid w:val="00EC417F"/>
    <w:rsid w:val="00EC5FD0"/>
    <w:rsid w:val="00F07709"/>
    <w:rsid w:val="00F657E6"/>
    <w:rsid w:val="00F70747"/>
    <w:rsid w:val="00FC4640"/>
    <w:rsid w:val="00FD0AB0"/>
    <w:rsid w:val="00FD5A13"/>
    <w:rsid w:val="00FD739F"/>
    <w:rsid w:val="01CC3B56"/>
    <w:rsid w:val="01DF6E8B"/>
    <w:rsid w:val="043F19A8"/>
    <w:rsid w:val="049C1064"/>
    <w:rsid w:val="06002920"/>
    <w:rsid w:val="06FD72CA"/>
    <w:rsid w:val="0721500A"/>
    <w:rsid w:val="088834C2"/>
    <w:rsid w:val="0A251D2D"/>
    <w:rsid w:val="0D242D65"/>
    <w:rsid w:val="0D7F2016"/>
    <w:rsid w:val="0E1746E2"/>
    <w:rsid w:val="0FF60780"/>
    <w:rsid w:val="12CA243A"/>
    <w:rsid w:val="183D5EA3"/>
    <w:rsid w:val="19484C64"/>
    <w:rsid w:val="19E571C8"/>
    <w:rsid w:val="1ACD395F"/>
    <w:rsid w:val="1B75678C"/>
    <w:rsid w:val="1F406889"/>
    <w:rsid w:val="1F863C37"/>
    <w:rsid w:val="207E5565"/>
    <w:rsid w:val="21D4384D"/>
    <w:rsid w:val="238251DC"/>
    <w:rsid w:val="23A87C2A"/>
    <w:rsid w:val="24B3064F"/>
    <w:rsid w:val="24E361D6"/>
    <w:rsid w:val="2675261E"/>
    <w:rsid w:val="26A17A82"/>
    <w:rsid w:val="279B3E11"/>
    <w:rsid w:val="28C66AF0"/>
    <w:rsid w:val="29870221"/>
    <w:rsid w:val="2B1E6FAC"/>
    <w:rsid w:val="2B777BF6"/>
    <w:rsid w:val="2BAA6369"/>
    <w:rsid w:val="2C1D5277"/>
    <w:rsid w:val="2DA05C94"/>
    <w:rsid w:val="2E43076C"/>
    <w:rsid w:val="2F4F090B"/>
    <w:rsid w:val="2F7B14C3"/>
    <w:rsid w:val="2FA80539"/>
    <w:rsid w:val="307F4B6E"/>
    <w:rsid w:val="30987065"/>
    <w:rsid w:val="316C6F17"/>
    <w:rsid w:val="325E07EC"/>
    <w:rsid w:val="3527638D"/>
    <w:rsid w:val="36177BE2"/>
    <w:rsid w:val="37504E9A"/>
    <w:rsid w:val="39EA68EF"/>
    <w:rsid w:val="39F234C2"/>
    <w:rsid w:val="3A982063"/>
    <w:rsid w:val="3C907DAC"/>
    <w:rsid w:val="3CE7703E"/>
    <w:rsid w:val="3ECC0C62"/>
    <w:rsid w:val="3FCC57BF"/>
    <w:rsid w:val="43862355"/>
    <w:rsid w:val="465029E2"/>
    <w:rsid w:val="474C1C25"/>
    <w:rsid w:val="475B0280"/>
    <w:rsid w:val="49181EBA"/>
    <w:rsid w:val="49FD1EDB"/>
    <w:rsid w:val="4C3406AA"/>
    <w:rsid w:val="4D3F0574"/>
    <w:rsid w:val="4D96362E"/>
    <w:rsid w:val="4DE45221"/>
    <w:rsid w:val="4E381043"/>
    <w:rsid w:val="4FF20E2B"/>
    <w:rsid w:val="510A1AFF"/>
    <w:rsid w:val="5212790C"/>
    <w:rsid w:val="54C67336"/>
    <w:rsid w:val="55DD18B1"/>
    <w:rsid w:val="57AE4E51"/>
    <w:rsid w:val="59971CD7"/>
    <w:rsid w:val="5A871ED8"/>
    <w:rsid w:val="5AAF2B7F"/>
    <w:rsid w:val="5B6D2D6E"/>
    <w:rsid w:val="5CBC53F2"/>
    <w:rsid w:val="5F954E6E"/>
    <w:rsid w:val="606A7DE8"/>
    <w:rsid w:val="61C17B2A"/>
    <w:rsid w:val="623066A1"/>
    <w:rsid w:val="626543A7"/>
    <w:rsid w:val="626F7A11"/>
    <w:rsid w:val="6287475C"/>
    <w:rsid w:val="62E864D0"/>
    <w:rsid w:val="636A3269"/>
    <w:rsid w:val="63C45BC8"/>
    <w:rsid w:val="64D43F0B"/>
    <w:rsid w:val="64EB27CF"/>
    <w:rsid w:val="673F6416"/>
    <w:rsid w:val="68244E39"/>
    <w:rsid w:val="69785A0F"/>
    <w:rsid w:val="69BD66C7"/>
    <w:rsid w:val="69CF3F2C"/>
    <w:rsid w:val="6E676590"/>
    <w:rsid w:val="6FD21378"/>
    <w:rsid w:val="6FDA2ED5"/>
    <w:rsid w:val="706B6E84"/>
    <w:rsid w:val="72245D03"/>
    <w:rsid w:val="727A043F"/>
    <w:rsid w:val="74B40527"/>
    <w:rsid w:val="76142C74"/>
    <w:rsid w:val="770B32C9"/>
    <w:rsid w:val="778D540C"/>
    <w:rsid w:val="784009C9"/>
    <w:rsid w:val="7A6F2F45"/>
    <w:rsid w:val="7B4C2E32"/>
    <w:rsid w:val="7BAE0F45"/>
    <w:rsid w:val="7E7D6DDD"/>
    <w:rsid w:val="7F7D3D00"/>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uiPriority w:val="99"/>
    <w:rPr>
      <w:rFonts w:cs="Times New Roman"/>
    </w:rPr>
  </w:style>
  <w:style w:type="character" w:customStyle="1" w:styleId="7">
    <w:name w:val="Footer Char"/>
    <w:basedOn w:val="4"/>
    <w:link w:val="2"/>
    <w:qFormat/>
    <w:locked/>
    <w:uiPriority w:val="99"/>
    <w:rPr>
      <w:rFonts w:cs="Times New Roman"/>
      <w:sz w:val="18"/>
      <w:szCs w:val="18"/>
    </w:rPr>
  </w:style>
  <w:style w:type="character" w:customStyle="1" w:styleId="8">
    <w:name w:val="Header Char"/>
    <w:basedOn w:val="4"/>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15</Pages>
  <Words>997</Words>
  <Characters>5687</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2018-05-22T04:33:00Z</dcterms:created>
  <dc:creator>董志强</dc:creator>
  <cp:lastModifiedBy>Administrator</cp:lastModifiedBy>
  <cp:lastPrinted>2018-05-24T04:22:00Z</cp:lastPrinted>
  <dcterms:modified xsi:type="dcterms:W3CDTF">2019-03-21T07:41:51Z</dcterms:modified>
  <dc:title>附件2：</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