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宋体" w:hAnsi="宋体" w:cs="宋体"/>
          <w:sz w:val="44"/>
          <w:szCs w:val="44"/>
        </w:rPr>
      </w:pPr>
    </w:p>
    <w:p>
      <w:pPr>
        <w:spacing w:line="580" w:lineRule="exact"/>
        <w:jc w:val="center"/>
        <w:rPr>
          <w:rFonts w:ascii="华文中宋" w:hAnsi="华文中宋" w:eastAsia="华文中宋"/>
          <w:b/>
          <w:sz w:val="44"/>
          <w:szCs w:val="44"/>
        </w:rPr>
      </w:pPr>
      <w:r>
        <w:rPr>
          <w:rFonts w:hint="eastAsia" w:ascii="宋体" w:hAnsi="宋体" w:cs="宋体"/>
          <w:sz w:val="44"/>
          <w:szCs w:val="44"/>
        </w:rPr>
        <w:t>2017年度中国人民政治协商会议塔什库尔干县委员会部门决算公开说明</w:t>
      </w:r>
    </w:p>
    <w:p>
      <w:pPr>
        <w:spacing w:line="580" w:lineRule="exact"/>
        <w:jc w:val="center"/>
        <w:outlineLvl w:val="1"/>
        <w:rPr>
          <w:rFonts w:ascii="华文中宋" w:hAnsi="华文中宋" w:eastAsia="华文中宋"/>
          <w:b/>
          <w:sz w:val="44"/>
          <w:szCs w:val="44"/>
        </w:rPr>
      </w:pPr>
    </w:p>
    <w:p>
      <w:pPr>
        <w:spacing w:line="560" w:lineRule="exact"/>
        <w:jc w:val="center"/>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塔县政协单位概况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spacing w:line="560" w:lineRule="exact"/>
        <w:ind w:firstLine="640" w:firstLineChars="200"/>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第二部分  部门决算情况说明</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第三部分 专业名词解释</w:t>
      </w:r>
    </w:p>
    <w:p>
      <w:pPr>
        <w:spacing w:line="560" w:lineRule="exact"/>
        <w:ind w:firstLine="640" w:firstLineChars="200"/>
        <w:outlineLvl w:val="1"/>
        <w:rPr>
          <w:rFonts w:ascii="黑体" w:hAnsi="黑体" w:eastAsia="黑体"/>
          <w:sz w:val="32"/>
          <w:szCs w:val="32"/>
        </w:rPr>
      </w:pPr>
      <w:r>
        <w:rPr>
          <w:rFonts w:hint="eastAsia" w:ascii="黑体" w:hAnsi="黑体" w:eastAsia="黑体"/>
          <w:sz w:val="32"/>
          <w:szCs w:val="32"/>
        </w:rPr>
        <w:t>第四部分 部门决算报表</w:t>
      </w:r>
    </w:p>
    <w:p>
      <w:pPr>
        <w:spacing w:line="560" w:lineRule="exact"/>
        <w:ind w:firstLine="640" w:firstLineChars="200"/>
        <w:outlineLvl w:val="1"/>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二、部门收支总体情况（11张）：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三、财政拨款收支情况（9张）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四、单位资产负责情况（1张）：《资产负债简表》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五、部门决算附表（5张）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六、填报说明附表（2张）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七、“三公”经费支出情况(1张)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《2017年度一般公共预算“三公”经费支出情况表》</w:t>
      </w:r>
    </w:p>
    <w:p>
      <w:pPr>
        <w:spacing w:line="560" w:lineRule="exact"/>
        <w:ind w:firstLine="640" w:firstLineChars="200"/>
        <w:rPr>
          <w:rFonts w:ascii="仿宋_GB2312" w:eastAsia="仿宋_GB2312"/>
          <w:sz w:val="32"/>
          <w:szCs w:val="32"/>
        </w:rPr>
      </w:pPr>
    </w:p>
    <w:p>
      <w:pPr>
        <w:spacing w:line="560" w:lineRule="exact"/>
        <w:jc w:val="center"/>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一、部门单位基本情况，包括：部门主要职能和机构设置情况、年末编制情况、实有人数情况等。</w:t>
      </w:r>
    </w:p>
    <w:p>
      <w:pPr>
        <w:pStyle w:val="6"/>
        <w:widowControl/>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（一）主要职能：</w:t>
      </w:r>
    </w:p>
    <w:p>
      <w:pPr>
        <w:pStyle w:val="6"/>
        <w:widowControl/>
        <w:spacing w:line="560" w:lineRule="exact"/>
        <w:ind w:firstLine="592"/>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一是政治协商。主要是对党委政府在社会主义物质文明建设、精神文明建设、民主法制建设、民主政治建设和改革开放中的重要政策及重</w:t>
      </w:r>
      <w:r>
        <w:rPr>
          <w:rFonts w:hint="eastAsia" w:ascii="仿宋_GB2312" w:hAnsi="仿宋_GB2312" w:eastAsia="仿宋_GB2312" w:cs="仿宋_GB2312"/>
          <w:sz w:val="32"/>
          <w:szCs w:val="32"/>
        </w:rPr>
        <w:t>要部署；一府两院工作报告，财政预决算报告，经济与社会发展规划；全县政治生活方面的重要事项；政协有关政策；政协内部的重要事务以及其他重要问题进行协商。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民主监督。主要是对国家法律法规的实施情况，县委、县政府重要政策的贯彻落实情况，国民经济和社会发展计划及财政预算执行情况，政协机关及其工作人员履行职责、遵守法纪、为政清廉等方面的情况，参加政协的单位和个人遵守政协章程和执行决议的情况进行监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三是参政议政。主要是对人民群众关心、党政县政协重视、政协有条件做的课题，组织调查视察，向党政领导机关提出意见建议；通过各种方式充分发挥委员主体作用，为经济和社会又好又快发展献计献策。</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四是贯彻执行县委的政策和措施；对政协有关政策的落实情况开展调查研究，向县委和地区政协反映情况，提出做好政协工作的意见建议。</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五是做好县委和地区政协布置安排的工作及政府委托的工作。</w:t>
      </w:r>
    </w:p>
    <w:p>
      <w:pPr>
        <w:pStyle w:val="6"/>
        <w:widowControl/>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（二）机构设置情况：</w:t>
      </w:r>
    </w:p>
    <w:p>
      <w:pPr>
        <w:pStyle w:val="6"/>
        <w:widowControl/>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塔什库尔干县政协是在地区政协指导和县委领导下履行“政治协商、民主监督、参政议政”职能的重要机构。内设主席办、副主席办、主任办、综合办、财务室、机要室。</w:t>
      </w:r>
    </w:p>
    <w:p>
      <w:pPr>
        <w:pStyle w:val="6"/>
        <w:widowControl/>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（三）年末编制情况、实有人数情况：</w:t>
      </w:r>
    </w:p>
    <w:p>
      <w:pPr>
        <w:pStyle w:val="6"/>
        <w:widowControl/>
        <w:spacing w:line="560" w:lineRule="exact"/>
        <w:ind w:firstLine="640"/>
        <w:rPr>
          <w:rFonts w:ascii="仿宋_GB2312" w:hAnsi="仿宋_GB2312" w:eastAsia="仿宋_GB2312" w:cs="仿宋_GB2312"/>
          <w:color w:val="000000"/>
          <w:spacing w:val="-2"/>
          <w:sz w:val="32"/>
          <w:szCs w:val="32"/>
        </w:rPr>
      </w:pPr>
      <w:r>
        <w:rPr>
          <w:rFonts w:hint="eastAsia" w:ascii="仿宋_GB2312" w:hAnsi="仿宋_GB2312" w:eastAsia="仿宋_GB2312" w:cs="仿宋_GB2312"/>
          <w:sz w:val="32"/>
          <w:szCs w:val="32"/>
        </w:rPr>
        <w:t>编制人数11人，其中行政编制8人，工勤编制3人；县政协总人数35人，其中在职人员11人，比上年增加1人，主要是新调进主任科员1人，在职人员中正处1人，副处3人，正科 2人，副科1人，科员2人，工勤2人；退休24人，比上年减少1人主要是今年死亡1人。遗属补助6人。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二、部门决算单位构成。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从决算单位构成看，塔什库尔干县政协决算包括：塔什库尔干县政协本级决算、所属单位决算等。</w:t>
      </w:r>
    </w:p>
    <w:p>
      <w:pPr>
        <w:spacing w:line="560" w:lineRule="exact"/>
        <w:ind w:firstLine="616" w:firstLineChars="200"/>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塔什库尔干县政协2018年部门决算编制范围的单位名单见下表：</w:t>
      </w:r>
    </w:p>
    <w:tbl>
      <w:tblPr>
        <w:tblStyle w:val="10"/>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6983"/>
        <w:gridCol w:w="1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95" w:type="dxa"/>
            <w:vAlign w:val="center"/>
          </w:tcPr>
          <w:p>
            <w:pPr>
              <w:spacing w:line="560" w:lineRule="exact"/>
              <w:rPr>
                <w:rFonts w:ascii="仿宋_GB2312" w:eastAsia="仿宋_GB2312"/>
                <w:sz w:val="32"/>
                <w:szCs w:val="32"/>
              </w:rPr>
            </w:pPr>
            <w:r>
              <w:rPr>
                <w:rFonts w:hint="eastAsia" w:ascii="仿宋_GB2312" w:eastAsia="仿宋_GB2312"/>
                <w:sz w:val="32"/>
                <w:szCs w:val="32"/>
              </w:rPr>
              <w:t>序号</w:t>
            </w:r>
          </w:p>
        </w:tc>
        <w:tc>
          <w:tcPr>
            <w:tcW w:w="6983" w:type="dxa"/>
            <w:vAlign w:val="center"/>
          </w:tcPr>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单位名称</w:t>
            </w:r>
          </w:p>
        </w:tc>
        <w:tc>
          <w:tcPr>
            <w:tcW w:w="1082" w:type="dxa"/>
            <w:vAlign w:val="center"/>
          </w:tcPr>
          <w:p>
            <w:pPr>
              <w:spacing w:line="560" w:lineRule="exact"/>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995" w:type="dxa"/>
            <w:vAlign w:val="center"/>
          </w:tcPr>
          <w:p>
            <w:pPr>
              <w:spacing w:line="560" w:lineRule="exact"/>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w:t>
            </w:r>
          </w:p>
        </w:tc>
        <w:tc>
          <w:tcPr>
            <w:tcW w:w="6983" w:type="dxa"/>
            <w:vAlign w:val="center"/>
          </w:tcPr>
          <w:p>
            <w:pPr>
              <w:spacing w:line="560" w:lineRule="exact"/>
              <w:rPr>
                <w:rFonts w:ascii="仿宋_GB2312" w:eastAsia="仿宋_GB2312"/>
                <w:sz w:val="32"/>
                <w:szCs w:val="32"/>
              </w:rPr>
            </w:pPr>
            <w:r>
              <w:rPr>
                <w:rFonts w:hint="eastAsia" w:ascii="仿宋_GB2312" w:eastAsia="仿宋_GB2312"/>
                <w:sz w:val="32"/>
                <w:szCs w:val="32"/>
              </w:rPr>
              <w:t>中国人民政治协商会议塔什库尔干县委员会</w:t>
            </w:r>
          </w:p>
        </w:tc>
        <w:tc>
          <w:tcPr>
            <w:tcW w:w="1082" w:type="dxa"/>
            <w:vAlign w:val="center"/>
          </w:tcPr>
          <w:p>
            <w:pPr>
              <w:spacing w:line="560" w:lineRule="exact"/>
              <w:ind w:firstLine="640" w:firstLineChars="200"/>
              <w:rPr>
                <w:rFonts w:ascii="仿宋_GB2312" w:eastAsia="仿宋_GB2312"/>
                <w:sz w:val="32"/>
                <w:szCs w:val="32"/>
              </w:rPr>
            </w:pPr>
          </w:p>
        </w:tc>
      </w:tr>
    </w:tbl>
    <w:p>
      <w:pPr>
        <w:spacing w:line="560" w:lineRule="exact"/>
        <w:rPr>
          <w:rFonts w:ascii="仿宋_GB2312" w:eastAsia="仿宋_GB2312"/>
          <w:sz w:val="32"/>
          <w:szCs w:val="32"/>
        </w:rPr>
      </w:pPr>
    </w:p>
    <w:p>
      <w:pPr>
        <w:spacing w:line="560" w:lineRule="exact"/>
        <w:ind w:firstLine="627"/>
        <w:jc w:val="center"/>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60" w:lineRule="exact"/>
        <w:ind w:firstLine="640" w:firstLineChars="200"/>
        <w:rPr>
          <w:rFonts w:ascii="仿宋_GB2312" w:eastAsia="仿宋_GB2312"/>
          <w:sz w:val="32"/>
          <w:szCs w:val="32"/>
        </w:rPr>
      </w:pPr>
      <w:r>
        <w:rPr>
          <w:rFonts w:ascii="仿宋_GB2312" w:hAnsi="仿宋" w:eastAsia="仿宋_GB2312"/>
          <w:sz w:val="32"/>
          <w:szCs w:val="32"/>
        </w:rPr>
        <w:t>2017</w:t>
      </w:r>
      <w:r>
        <w:rPr>
          <w:rFonts w:hint="eastAsia" w:ascii="仿宋_GB2312" w:hAnsi="仿宋" w:eastAsia="仿宋_GB2312"/>
          <w:sz w:val="32"/>
          <w:szCs w:val="32"/>
        </w:rPr>
        <w:t>年收入308.58万元，</w:t>
      </w:r>
      <w:r>
        <w:rPr>
          <w:rFonts w:hint="eastAsia" w:ascii="仿宋_GB2312" w:eastAsia="仿宋_GB2312"/>
          <w:sz w:val="32"/>
          <w:szCs w:val="32"/>
        </w:rPr>
        <w:t>与上年相比，减少129.40万元，降低29.54%，</w:t>
      </w:r>
      <w:r>
        <w:rPr>
          <w:rFonts w:hint="eastAsia" w:ascii="仿宋_GB2312" w:hAnsi="仿宋" w:eastAsia="仿宋_GB2312"/>
          <w:sz w:val="32"/>
          <w:szCs w:val="32"/>
        </w:rPr>
        <w:t>支出308.58万元，</w:t>
      </w:r>
      <w:r>
        <w:rPr>
          <w:rFonts w:hint="eastAsia" w:ascii="仿宋_GB2312" w:eastAsia="仿宋_GB2312"/>
          <w:sz w:val="32"/>
          <w:szCs w:val="32"/>
        </w:rPr>
        <w:t>与上年相比，减少129.40万元，降低29.54%，结余0万元，与上年相比，增加（减少）0万元，增长（降低）0%。增减变化主要原因是：去年上半年有退休人员工资及调资情况，</w:t>
      </w:r>
      <w:r>
        <w:rPr>
          <w:rFonts w:ascii="仿宋_GB2312" w:eastAsia="仿宋_GB2312"/>
          <w:sz w:val="32"/>
          <w:szCs w:val="32"/>
        </w:rPr>
        <w:t>2017</w:t>
      </w:r>
      <w:r>
        <w:rPr>
          <w:rFonts w:hint="eastAsia" w:ascii="仿宋_GB2312" w:eastAsia="仿宋_GB2312"/>
          <w:sz w:val="32"/>
          <w:szCs w:val="32"/>
        </w:rPr>
        <w:t>年退休人员工资全部转入社保。</w:t>
      </w:r>
    </w:p>
    <w:p>
      <w:pPr>
        <w:spacing w:line="560" w:lineRule="exact"/>
        <w:ind w:firstLine="640" w:firstLineChars="200"/>
        <w:rPr>
          <w:rFonts w:ascii="仿宋_GB2312" w:hAnsi="仿宋" w:eastAsia="仿宋_GB2312"/>
          <w:sz w:val="32"/>
          <w:szCs w:val="32"/>
        </w:rPr>
      </w:pPr>
      <w:r>
        <w:rPr>
          <w:rFonts w:hint="eastAsia" w:ascii="仿宋_GB2312" w:eastAsia="仿宋_GB2312"/>
          <w:sz w:val="32"/>
          <w:szCs w:val="32"/>
        </w:rPr>
        <w:t>与预算相比情况。</w:t>
      </w:r>
      <w:r>
        <w:rPr>
          <w:rFonts w:hint="eastAsia" w:ascii="仿宋_GB2312" w:hAnsi="仿宋" w:eastAsia="仿宋_GB2312"/>
          <w:sz w:val="32"/>
          <w:szCs w:val="32"/>
        </w:rPr>
        <w:t>2017年收入年初预算308.75万元，收入和支出均</w:t>
      </w:r>
      <w:r>
        <w:rPr>
          <w:rFonts w:ascii="仿宋_GB2312" w:hAnsi="仿宋" w:eastAsia="仿宋_GB2312"/>
          <w:sz w:val="32"/>
          <w:szCs w:val="32"/>
        </w:rPr>
        <w:t>308.</w:t>
      </w:r>
      <w:r>
        <w:rPr>
          <w:rFonts w:hint="eastAsia" w:ascii="仿宋_GB2312" w:hAnsi="仿宋" w:eastAsia="仿宋_GB2312"/>
          <w:sz w:val="32"/>
          <w:szCs w:val="32"/>
        </w:rPr>
        <w:t>5</w:t>
      </w:r>
      <w:r>
        <w:rPr>
          <w:rFonts w:ascii="仿宋_GB2312" w:hAnsi="仿宋" w:eastAsia="仿宋_GB2312"/>
          <w:sz w:val="32"/>
          <w:szCs w:val="32"/>
        </w:rPr>
        <w:t>8</w:t>
      </w:r>
      <w:r>
        <w:rPr>
          <w:rFonts w:hint="eastAsia" w:ascii="仿宋_GB2312" w:hAnsi="仿宋" w:eastAsia="仿宋_GB2312"/>
          <w:sz w:val="32"/>
          <w:szCs w:val="32"/>
        </w:rPr>
        <w:t>万元，与预算相比，均减少0.17万元，降低0.06%。减少的主要原因是与预算基本持平。</w:t>
      </w:r>
    </w:p>
    <w:p>
      <w:pPr>
        <w:snapToGrid w:val="0"/>
        <w:spacing w:line="560" w:lineRule="exact"/>
        <w:ind w:firstLine="640" w:firstLineChars="200"/>
        <w:rPr>
          <w:rFonts w:ascii="仿宋_GB2312" w:hAnsi="仿宋"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308.58</w:t>
      </w:r>
      <w:r>
        <w:rPr>
          <w:rFonts w:hint="eastAsia" w:ascii="仿宋_GB2312" w:eastAsia="仿宋_GB2312"/>
          <w:sz w:val="32"/>
          <w:szCs w:val="32"/>
        </w:rPr>
        <w:t>万元，其中：财政拨款收入</w:t>
      </w:r>
      <w:r>
        <w:rPr>
          <w:rFonts w:ascii="仿宋_GB2312" w:eastAsia="仿宋_GB2312"/>
          <w:sz w:val="32"/>
          <w:szCs w:val="32"/>
        </w:rPr>
        <w:t>308.38</w:t>
      </w:r>
      <w:r>
        <w:rPr>
          <w:rFonts w:hint="eastAsia" w:ascii="仿宋_GB2312" w:eastAsia="仿宋_GB2312"/>
          <w:sz w:val="32"/>
          <w:szCs w:val="32"/>
        </w:rPr>
        <w:t>万元，占</w:t>
      </w:r>
      <w:r>
        <w:rPr>
          <w:rFonts w:ascii="仿宋_GB2312" w:eastAsia="仿宋_GB2312"/>
          <w:sz w:val="32"/>
          <w:szCs w:val="32"/>
        </w:rPr>
        <w:t>99.9%</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p>
    <w:p>
      <w:pPr>
        <w:spacing w:line="560" w:lineRule="exact"/>
        <w:rPr>
          <w:rFonts w:ascii="仿宋_GB2312" w:eastAsia="仿宋_GB2312"/>
          <w:sz w:val="32"/>
          <w:szCs w:val="32"/>
        </w:rPr>
      </w:pPr>
      <w:r>
        <w:rPr>
          <w:rFonts w:hint="eastAsia" w:ascii="仿宋_GB2312" w:eastAsia="仿宋_GB2312"/>
          <w:sz w:val="32"/>
          <w:szCs w:val="32"/>
        </w:rPr>
        <w:t>其他收入</w:t>
      </w:r>
      <w:r>
        <w:rPr>
          <w:rFonts w:ascii="仿宋_GB2312" w:eastAsia="仿宋_GB2312"/>
          <w:sz w:val="32"/>
          <w:szCs w:val="32"/>
        </w:rPr>
        <w:t>0.2</w:t>
      </w:r>
      <w:r>
        <w:rPr>
          <w:rFonts w:hint="eastAsia" w:ascii="仿宋_GB2312" w:eastAsia="仿宋_GB2312"/>
          <w:sz w:val="32"/>
          <w:szCs w:val="32"/>
        </w:rPr>
        <w:t>万元，占</w:t>
      </w:r>
      <w:r>
        <w:rPr>
          <w:rFonts w:ascii="仿宋_GB2312" w:eastAsia="仿宋_GB2312"/>
          <w:sz w:val="32"/>
          <w:szCs w:val="32"/>
        </w:rPr>
        <w:t>0.1%</w:t>
      </w:r>
      <w:r>
        <w:rPr>
          <w:rFonts w:hint="eastAsia" w:ascii="仿宋_GB2312" w:eastAsia="仿宋_GB2312"/>
          <w:sz w:val="32"/>
          <w:szCs w:val="32"/>
        </w:rPr>
        <w:t>。增减变化的主要原因是：2016年上半年财政有拨付25名退休人员工资，2017年工资全部转入社保，无此项收入来源。</w:t>
      </w:r>
    </w:p>
    <w:p>
      <w:pPr>
        <w:spacing w:line="560" w:lineRule="exact"/>
        <w:ind w:firstLine="640" w:firstLineChars="200"/>
        <w:rPr>
          <w:rFonts w:ascii="仿宋_GB2312" w:hAnsi="仿宋" w:eastAsia="仿宋_GB2312"/>
          <w:sz w:val="32"/>
          <w:szCs w:val="32"/>
        </w:rPr>
      </w:pPr>
      <w:r>
        <w:rPr>
          <w:rFonts w:hint="eastAsia" w:ascii="仿宋_GB2312" w:eastAsia="仿宋_GB2312"/>
          <w:sz w:val="32"/>
          <w:szCs w:val="32"/>
        </w:rPr>
        <w:t>与预算相比情况。</w:t>
      </w:r>
      <w:r>
        <w:rPr>
          <w:rFonts w:hint="eastAsia" w:ascii="仿宋_GB2312" w:hAnsi="仿宋" w:eastAsia="仿宋_GB2312"/>
          <w:sz w:val="32"/>
          <w:szCs w:val="32"/>
        </w:rPr>
        <w:t>2017年收入年初预算308.75万元，收入和支出均</w:t>
      </w:r>
      <w:r>
        <w:rPr>
          <w:rFonts w:ascii="仿宋_GB2312" w:hAnsi="仿宋" w:eastAsia="仿宋_GB2312"/>
          <w:sz w:val="32"/>
          <w:szCs w:val="32"/>
        </w:rPr>
        <w:t>308.</w:t>
      </w:r>
      <w:r>
        <w:rPr>
          <w:rFonts w:hint="eastAsia" w:ascii="仿宋_GB2312" w:hAnsi="仿宋" w:eastAsia="仿宋_GB2312"/>
          <w:sz w:val="32"/>
          <w:szCs w:val="32"/>
        </w:rPr>
        <w:t>5</w:t>
      </w:r>
      <w:r>
        <w:rPr>
          <w:rFonts w:ascii="仿宋_GB2312" w:hAnsi="仿宋" w:eastAsia="仿宋_GB2312"/>
          <w:sz w:val="32"/>
          <w:szCs w:val="32"/>
        </w:rPr>
        <w:t>8</w:t>
      </w:r>
      <w:r>
        <w:rPr>
          <w:rFonts w:hint="eastAsia" w:ascii="仿宋_GB2312" w:hAnsi="仿宋" w:eastAsia="仿宋_GB2312"/>
          <w:sz w:val="32"/>
          <w:szCs w:val="32"/>
        </w:rPr>
        <w:t>万元，与预算相比，均减少0.17万元，降低0.06%。减少的主要原因是与预算基本持平。</w:t>
      </w:r>
    </w:p>
    <w:p>
      <w:pPr>
        <w:spacing w:line="560" w:lineRule="exact"/>
        <w:ind w:firstLine="640" w:firstLineChars="200"/>
        <w:rPr>
          <w:rFonts w:ascii="仿宋_GB2312" w:hAnsi="仿宋"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308.58</w:t>
      </w:r>
      <w:r>
        <w:rPr>
          <w:rFonts w:hint="eastAsia" w:ascii="仿宋_GB2312" w:eastAsia="仿宋_GB2312"/>
          <w:sz w:val="32"/>
          <w:szCs w:val="32"/>
        </w:rPr>
        <w:t>万元，其中：基本支出</w:t>
      </w:r>
      <w:r>
        <w:rPr>
          <w:rFonts w:ascii="仿宋_GB2312" w:eastAsia="仿宋_GB2312"/>
          <w:sz w:val="32"/>
          <w:szCs w:val="32"/>
        </w:rPr>
        <w:t>276.1</w:t>
      </w:r>
      <w:r>
        <w:rPr>
          <w:rFonts w:hint="eastAsia" w:ascii="仿宋_GB2312" w:eastAsia="仿宋_GB2312"/>
          <w:sz w:val="32"/>
          <w:szCs w:val="32"/>
        </w:rPr>
        <w:t>万元，占</w:t>
      </w:r>
      <w:r>
        <w:rPr>
          <w:rFonts w:ascii="仿宋_GB2312" w:eastAsia="仿宋_GB2312"/>
          <w:sz w:val="32"/>
          <w:szCs w:val="32"/>
        </w:rPr>
        <w:t>89.47%</w:t>
      </w:r>
      <w:r>
        <w:rPr>
          <w:rFonts w:hint="eastAsia" w:ascii="仿宋_GB2312" w:eastAsia="仿宋_GB2312"/>
          <w:sz w:val="32"/>
          <w:szCs w:val="32"/>
        </w:rPr>
        <w:t>；项目支出</w:t>
      </w:r>
      <w:r>
        <w:rPr>
          <w:rFonts w:ascii="仿宋_GB2312" w:eastAsia="仿宋_GB2312"/>
          <w:sz w:val="32"/>
          <w:szCs w:val="32"/>
        </w:rPr>
        <w:t>32.48</w:t>
      </w:r>
      <w:r>
        <w:rPr>
          <w:rFonts w:hint="eastAsia" w:ascii="仿宋_GB2312" w:eastAsia="仿宋_GB2312"/>
          <w:sz w:val="32"/>
          <w:szCs w:val="32"/>
        </w:rPr>
        <w:t>万元，占</w:t>
      </w:r>
      <w:r>
        <w:rPr>
          <w:rFonts w:ascii="仿宋_GB2312" w:eastAsia="仿宋_GB2312"/>
          <w:sz w:val="32"/>
          <w:szCs w:val="32"/>
        </w:rPr>
        <w:t>10.53%</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。增减变化的主要原因是：2016年上半年有25名退休人员工资支出，2017年退休人员工资全部转入社保，无此项支出。</w:t>
      </w:r>
    </w:p>
    <w:p>
      <w:pPr>
        <w:spacing w:line="560" w:lineRule="exact"/>
        <w:ind w:firstLine="640" w:firstLineChars="200"/>
        <w:rPr>
          <w:rFonts w:ascii="仿宋_GB2312" w:hAnsi="仿宋" w:eastAsia="仿宋_GB2312"/>
          <w:sz w:val="32"/>
          <w:szCs w:val="32"/>
        </w:rPr>
      </w:pPr>
      <w:r>
        <w:rPr>
          <w:rFonts w:hint="eastAsia" w:ascii="仿宋_GB2312" w:eastAsia="仿宋_GB2312"/>
          <w:sz w:val="32"/>
          <w:szCs w:val="32"/>
        </w:rPr>
        <w:t>与预算相比情况。本年支出合计</w:t>
      </w:r>
      <w:r>
        <w:rPr>
          <w:rFonts w:ascii="仿宋_GB2312" w:eastAsia="仿宋_GB2312"/>
          <w:sz w:val="32"/>
          <w:szCs w:val="32"/>
        </w:rPr>
        <w:t>308.58</w:t>
      </w:r>
      <w:r>
        <w:rPr>
          <w:rFonts w:hint="eastAsia" w:ascii="仿宋_GB2312" w:eastAsia="仿宋_GB2312"/>
          <w:sz w:val="32"/>
          <w:szCs w:val="32"/>
        </w:rPr>
        <w:t>万元，与预算相比，减少0.17万元，降低0.06%。减少的主要原因是项目减少。</w:t>
      </w:r>
    </w:p>
    <w:p>
      <w:pPr>
        <w:snapToGrid w:val="0"/>
        <w:spacing w:line="560" w:lineRule="exact"/>
        <w:ind w:firstLine="640" w:firstLineChars="200"/>
        <w:rPr>
          <w:rFonts w:ascii="仿宋_GB2312" w:hAnsi="仿宋"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308.</w:t>
      </w:r>
      <w:r>
        <w:rPr>
          <w:rFonts w:hint="eastAsia" w:ascii="仿宋_GB2312" w:eastAsia="仿宋_GB2312"/>
          <w:sz w:val="32"/>
          <w:szCs w:val="32"/>
        </w:rPr>
        <w:t>3</w:t>
      </w:r>
      <w:r>
        <w:rPr>
          <w:rFonts w:ascii="仿宋_GB2312" w:eastAsia="仿宋_GB2312"/>
          <w:sz w:val="32"/>
          <w:szCs w:val="32"/>
        </w:rPr>
        <w:t>8</w:t>
      </w:r>
      <w:r>
        <w:rPr>
          <w:rFonts w:hint="eastAsia" w:ascii="仿宋_GB2312" w:eastAsia="仿宋_GB2312"/>
          <w:sz w:val="32"/>
          <w:szCs w:val="32"/>
        </w:rPr>
        <w:t>万元，与上年相比，减少</w:t>
      </w:r>
      <w:r>
        <w:rPr>
          <w:rFonts w:ascii="仿宋_GB2312" w:eastAsia="仿宋_GB2312"/>
          <w:sz w:val="32"/>
          <w:szCs w:val="32"/>
        </w:rPr>
        <w:t>129.4</w:t>
      </w:r>
      <w:r>
        <w:rPr>
          <w:rFonts w:hint="eastAsia" w:ascii="仿宋_GB2312" w:eastAsia="仿宋_GB2312"/>
          <w:sz w:val="32"/>
          <w:szCs w:val="32"/>
        </w:rPr>
        <w:t>2万元，降低</w:t>
      </w:r>
      <w:r>
        <w:rPr>
          <w:rFonts w:ascii="仿宋_GB2312" w:eastAsia="仿宋_GB2312"/>
          <w:sz w:val="32"/>
          <w:szCs w:val="32"/>
        </w:rPr>
        <w:t>29.5</w:t>
      </w:r>
      <w:r>
        <w:rPr>
          <w:rFonts w:hint="eastAsia" w:ascii="仿宋_GB2312" w:eastAsia="仿宋_GB2312"/>
          <w:sz w:val="32"/>
          <w:szCs w:val="32"/>
        </w:rPr>
        <w:t>6</w:t>
      </w:r>
      <w:r>
        <w:rPr>
          <w:rFonts w:ascii="仿宋_GB2312" w:eastAsia="仿宋_GB2312"/>
          <w:sz w:val="32"/>
          <w:szCs w:val="32"/>
        </w:rPr>
        <w:t>%</w:t>
      </w:r>
      <w:r>
        <w:rPr>
          <w:rFonts w:hint="eastAsia" w:ascii="仿宋_GB2312" w:eastAsia="仿宋_GB2312"/>
          <w:sz w:val="32"/>
          <w:szCs w:val="32"/>
        </w:rPr>
        <w:t>。增减变化的主要原因是：去年上半年财政有拨付退休人员工资及调资增加情况，</w:t>
      </w:r>
      <w:r>
        <w:rPr>
          <w:rFonts w:ascii="仿宋_GB2312" w:eastAsia="仿宋_GB2312"/>
          <w:sz w:val="32"/>
          <w:szCs w:val="32"/>
        </w:rPr>
        <w:t>2017</w:t>
      </w:r>
      <w:r>
        <w:rPr>
          <w:rFonts w:hint="eastAsia" w:ascii="仿宋_GB2312" w:eastAsia="仿宋_GB2312"/>
          <w:sz w:val="32"/>
          <w:szCs w:val="32"/>
        </w:rPr>
        <w:t>年无此收入来源。财政拨款支出</w:t>
      </w:r>
      <w:r>
        <w:rPr>
          <w:rFonts w:ascii="仿宋_GB2312" w:eastAsia="仿宋_GB2312"/>
          <w:sz w:val="32"/>
          <w:szCs w:val="32"/>
        </w:rPr>
        <w:t>308.38</w:t>
      </w:r>
      <w:r>
        <w:rPr>
          <w:rFonts w:hint="eastAsia" w:ascii="仿宋_GB2312" w:eastAsia="仿宋_GB2312"/>
          <w:sz w:val="32"/>
          <w:szCs w:val="32"/>
        </w:rPr>
        <w:t>万，基本支出275.90万元，项目支出</w:t>
      </w:r>
      <w:r>
        <w:rPr>
          <w:rFonts w:ascii="仿宋_GB2312" w:eastAsia="仿宋_GB2312"/>
          <w:sz w:val="32"/>
          <w:szCs w:val="32"/>
        </w:rPr>
        <w:t>32.48</w:t>
      </w:r>
      <w:r>
        <w:rPr>
          <w:rFonts w:hint="eastAsia" w:ascii="仿宋_GB2312" w:eastAsia="仿宋_GB2312"/>
          <w:sz w:val="32"/>
          <w:szCs w:val="32"/>
        </w:rPr>
        <w:t>万元。增减变化的主要原因是去年上半年支付25名退休人员工资，调资支出情况，2017年无此项支出。</w:t>
      </w:r>
      <w:r>
        <w:rPr>
          <w:rFonts w:hint="eastAsia" w:ascii="仿宋_GB2312" w:hAnsi="仿宋" w:eastAsia="仿宋_GB2312"/>
          <w:sz w:val="32"/>
          <w:szCs w:val="32"/>
        </w:rPr>
        <w:t>年末</w:t>
      </w:r>
      <w:r>
        <w:rPr>
          <w:rFonts w:hint="eastAsia" w:ascii="仿宋_GB2312" w:eastAsia="仿宋_GB2312"/>
          <w:sz w:val="32"/>
          <w:szCs w:val="32"/>
        </w:rPr>
        <w:t>财政拨款结转结余为0万元，与上年相比，增加（减少）0万元，增长（降低）0%。增减变化的主要原因是无结转结余。</w:t>
      </w:r>
    </w:p>
    <w:p>
      <w:pPr>
        <w:spacing w:line="560" w:lineRule="exact"/>
        <w:ind w:firstLine="640" w:firstLineChars="200"/>
        <w:rPr>
          <w:rFonts w:ascii="仿宋_GB2312" w:hAnsi="仿宋" w:eastAsia="仿宋_GB2312"/>
          <w:sz w:val="32"/>
          <w:szCs w:val="32"/>
        </w:rPr>
      </w:pPr>
      <w:r>
        <w:rPr>
          <w:rFonts w:hint="eastAsia" w:ascii="仿宋_GB2312" w:eastAsia="仿宋_GB2312"/>
          <w:sz w:val="32"/>
          <w:szCs w:val="32"/>
        </w:rPr>
        <w:t>与预算相比情况。</w:t>
      </w:r>
      <w:r>
        <w:rPr>
          <w:rFonts w:hint="eastAsia" w:ascii="仿宋_GB2312" w:hAnsi="仿宋" w:eastAsia="仿宋_GB2312"/>
          <w:sz w:val="32"/>
          <w:szCs w:val="32"/>
        </w:rPr>
        <w:t>财政拨款收入年初预算308.75万元，支出年初预算</w:t>
      </w:r>
      <w:r>
        <w:rPr>
          <w:rFonts w:ascii="仿宋_GB2312" w:hAnsi="仿宋" w:eastAsia="仿宋_GB2312"/>
          <w:sz w:val="32"/>
          <w:szCs w:val="32"/>
        </w:rPr>
        <w:t>308.</w:t>
      </w:r>
      <w:r>
        <w:rPr>
          <w:rFonts w:hint="eastAsia" w:ascii="仿宋_GB2312" w:hAnsi="仿宋" w:eastAsia="仿宋_GB2312"/>
          <w:sz w:val="32"/>
          <w:szCs w:val="32"/>
        </w:rPr>
        <w:t>75万元，与年未决算收支相比均减少0.38万元，降低0.12%。减少的主要原因是项目减少。</w:t>
      </w:r>
    </w:p>
    <w:p>
      <w:pPr>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rPr>
          <w:rFonts w:ascii="仿宋_GB2312" w:eastAsia="仿宋_GB2312"/>
          <w:sz w:val="32"/>
          <w:szCs w:val="32"/>
        </w:rPr>
      </w:pPr>
      <w:r>
        <w:rPr>
          <w:rFonts w:hint="eastAsia" w:ascii="仿宋_GB2312" w:eastAsia="仿宋_GB2312"/>
          <w:sz w:val="32"/>
          <w:szCs w:val="32"/>
        </w:rPr>
        <w:t xml:space="preserve">    （二）一般公共预算支出决算情况说明</w:t>
      </w:r>
    </w:p>
    <w:p>
      <w:pPr>
        <w:spacing w:line="560" w:lineRule="exact"/>
        <w:ind w:firstLine="640" w:firstLineChars="200"/>
        <w:rPr>
          <w:rFonts w:ascii="仿宋_GB2312" w:hAnsi="仿宋"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年度一般公共预算财政拨款支出308.38万元。与上年相比，减少</w:t>
      </w:r>
      <w:r>
        <w:rPr>
          <w:rFonts w:ascii="仿宋_GB2312" w:eastAsia="仿宋_GB2312"/>
          <w:sz w:val="32"/>
          <w:szCs w:val="32"/>
        </w:rPr>
        <w:t>129.42</w:t>
      </w:r>
      <w:r>
        <w:rPr>
          <w:rFonts w:hint="eastAsia" w:ascii="仿宋_GB2312" w:eastAsia="仿宋_GB2312"/>
          <w:sz w:val="32"/>
          <w:szCs w:val="32"/>
        </w:rPr>
        <w:t>万元，降低</w:t>
      </w:r>
      <w:r>
        <w:rPr>
          <w:rFonts w:ascii="仿宋_GB2312" w:eastAsia="仿宋_GB2312"/>
          <w:sz w:val="32"/>
          <w:szCs w:val="32"/>
        </w:rPr>
        <w:t>29.56%</w:t>
      </w:r>
      <w:r>
        <w:rPr>
          <w:rFonts w:hint="eastAsia" w:ascii="仿宋_GB2312" w:eastAsia="仿宋_GB2312"/>
          <w:sz w:val="32"/>
          <w:szCs w:val="32"/>
        </w:rPr>
        <w:t>。减少的主要原因是：去年上半年支付25名退休人员工资，调资支出情况，2017年无此项支出。其中：按功能分类科目，一般公共服务支出270.56万元，社会保障和就业支出22.90万元，住房保障支出15.13万元。按经济分类科目，其中：工资福利支出190.94万元，商品服务支出60.18万元，对个人和家庭补助支出57.46万元。</w:t>
      </w:r>
    </w:p>
    <w:p>
      <w:pPr>
        <w:spacing w:line="560" w:lineRule="exact"/>
        <w:ind w:firstLine="640" w:firstLineChars="200"/>
        <w:rPr>
          <w:rFonts w:ascii="仿宋_GB2312" w:hAnsi="仿宋" w:eastAsia="仿宋_GB2312"/>
          <w:sz w:val="32"/>
          <w:szCs w:val="32"/>
        </w:rPr>
      </w:pPr>
      <w:r>
        <w:rPr>
          <w:rFonts w:hint="eastAsia" w:ascii="仿宋_GB2312" w:eastAsia="仿宋_GB2312"/>
          <w:sz w:val="32"/>
          <w:szCs w:val="32"/>
        </w:rPr>
        <w:t>与预算相比情况。一般公共服务支出年初预算273万元，年末决算270.36万元，减少2.64万元，降低0.97%。减少的主要原因是年未财政未拨付工会费。</w:t>
      </w:r>
    </w:p>
    <w:p>
      <w:pPr>
        <w:snapToGrid w:val="0"/>
        <w:spacing w:line="560" w:lineRule="exact"/>
        <w:ind w:firstLine="640" w:firstLineChars="200"/>
        <w:rPr>
          <w:rFonts w:ascii="仿宋_GB2312" w:hAnsi="仿宋"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2017年度政府性基金预算财政拨款收入0万元，与上年相比，增加（减少）0万元，增长（降低）0%。增减变化的主要原因是：本单位无政府性基金预算财政拨款收入。政府性基金预算财政拨款支出0万元，与上年相比，增加（减少）0万元，增长（降低）0%。增减变化的主要原因是：本单位无政府性基金预算财政拨款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与预算相比情况：本单位无政府性基金预算收支。</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eastAsia="仿宋_GB2312"/>
          <w:sz w:val="32"/>
          <w:szCs w:val="32"/>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（四）政府性基金预算支出决算情况说明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2017年度政府性基金预算支出0万元。与上年相比，增加（减少）0万元，增长（降低）0%。增减变化的主要原因是：本单位无政府性基金预算支出。其中：按功能分类科目，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万元。按经济分类科目，</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0</w:t>
      </w:r>
      <w:r>
        <w:rPr>
          <w:rFonts w:hint="eastAsia" w:ascii="仿宋_GB2312" w:eastAsia="仿宋_GB2312"/>
          <w:sz w:val="32"/>
          <w:szCs w:val="32"/>
        </w:rPr>
        <w:t>支出</w:t>
      </w:r>
      <w:r>
        <w:rPr>
          <w:rFonts w:ascii="仿宋_GB2312" w:eastAsia="仿宋_GB2312"/>
          <w:sz w:val="32"/>
          <w:szCs w:val="32"/>
        </w:rPr>
        <w:t>0</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与预算相比情况：本单位无政府性基金预算支出。</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年末结转结余0万元。与上年相比，增加（减少）0万元，增长（降低）0%。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其中财政拨款结转结余0万元。与上年相比，增加（减少）0万元，增长（降低）0%。</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rPr>
        <w:t>2017年度与2016年度无</w:t>
      </w:r>
      <w:r>
        <w:rPr>
          <w:rFonts w:hint="eastAsia" w:ascii="仿宋_GB2312" w:eastAsia="仿宋_GB2312"/>
          <w:sz w:val="32"/>
          <w:szCs w:val="32"/>
        </w:rPr>
        <w:t>年未结余为。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2017年度一般公共预算“三公”经费支出决算13万元，比上年增加（减少）0万元，增长（降低）0%，增加（减少）原因是无变化。其中，因公出国（境）费支出0万元，占0%，比上年增加（减少）0万元，增长（降低）0%，增加（减少）原因是无变化；公务用车购置及运行维护费支出13万元，占100%，比上年增加（减少）0万元，增长（降低）0%。增加（减少）原因是无变化；公务接待费支出0万元，占0%，比上年增加（减少）0万元，增长（降低）0%。增加（减少）原因是无变化。具体情况如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因公出国（境）费支出0万元。塔什库尔干县政协全年使用一般公共预算财政拨款安排的出国（境）团组0个，累计0人次。开展内容包括：无支出。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用车购置及运行维护费13万元,其中，公务用车购置0万元，公务用车运行维护费13万元。主要用于车辆加油、车辆保险、维修等运行支出。2017年，单位一般公共财政拨款安排的公务用车购置量0辆，保有量为4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公务接待费0万元。具体是：国内公务接待支出0万元，主要是无支出。塔什库尔干县政协国内公务接待0批次，0人次。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与预算相比情况。无增减变化。</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：本单位无因公出国及公务接待支出。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60" w:lineRule="exact"/>
        <w:ind w:firstLine="640" w:firstLineChars="200"/>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年度中国人民政治协商会议塔什库尔干县委员会机关运行经费支出</w:t>
      </w:r>
      <w:r>
        <w:rPr>
          <w:rFonts w:ascii="仿宋_GB2312" w:eastAsia="仿宋_GB2312"/>
          <w:sz w:val="32"/>
          <w:szCs w:val="32"/>
        </w:rPr>
        <w:t>27.71</w:t>
      </w:r>
      <w:r>
        <w:rPr>
          <w:rFonts w:hint="eastAsia" w:ascii="仿宋_GB2312" w:eastAsia="仿宋_GB2312"/>
          <w:sz w:val="32"/>
          <w:szCs w:val="32"/>
        </w:rPr>
        <w:t>万元，比上年增加</w:t>
      </w:r>
      <w:r>
        <w:rPr>
          <w:rFonts w:ascii="仿宋_GB2312" w:eastAsia="仿宋_GB2312"/>
          <w:sz w:val="32"/>
          <w:szCs w:val="32"/>
        </w:rPr>
        <w:t>7.12</w:t>
      </w:r>
      <w:r>
        <w:rPr>
          <w:rFonts w:hint="eastAsia" w:ascii="仿宋_GB2312" w:eastAsia="仿宋_GB2312"/>
          <w:sz w:val="32"/>
          <w:szCs w:val="32"/>
        </w:rPr>
        <w:t>万元，增长</w:t>
      </w:r>
      <w:r>
        <w:rPr>
          <w:rFonts w:ascii="仿宋_GB2312" w:eastAsia="仿宋_GB2312"/>
          <w:sz w:val="32"/>
          <w:szCs w:val="32"/>
        </w:rPr>
        <w:t>34.6%</w:t>
      </w:r>
      <w:r>
        <w:rPr>
          <w:rFonts w:hint="eastAsia" w:ascii="仿宋_GB2312" w:eastAsia="仿宋_GB2312"/>
          <w:sz w:val="32"/>
          <w:szCs w:val="32"/>
        </w:rPr>
        <w:t>，主要原因是办公费增加。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中国人民政治协商会议塔什库尔干县委员会政府采购计划</w:t>
      </w:r>
      <w:r>
        <w:rPr>
          <w:rFonts w:ascii="仿宋_GB2312" w:eastAsia="仿宋_GB2312"/>
          <w:sz w:val="32"/>
          <w:szCs w:val="32"/>
        </w:rPr>
        <w:t>0.73</w:t>
      </w:r>
      <w:r>
        <w:rPr>
          <w:rFonts w:hint="eastAsia" w:ascii="仿宋_GB2312" w:eastAsia="仿宋_GB2312"/>
          <w:sz w:val="32"/>
          <w:szCs w:val="32"/>
        </w:rPr>
        <w:t>万元，其中：政府采购货物支出</w:t>
      </w:r>
      <w:r>
        <w:rPr>
          <w:rFonts w:ascii="仿宋_GB2312" w:eastAsia="仿宋_GB2312"/>
          <w:sz w:val="32"/>
          <w:szCs w:val="32"/>
        </w:rPr>
        <w:t>0.38</w:t>
      </w:r>
      <w:r>
        <w:rPr>
          <w:rFonts w:hint="eastAsia" w:ascii="仿宋_GB2312" w:eastAsia="仿宋_GB2312"/>
          <w:sz w:val="32"/>
          <w:szCs w:val="32"/>
        </w:rPr>
        <w:t>万元、政府采购工程支出0万元、政府采购服务支出</w:t>
      </w:r>
      <w:r>
        <w:rPr>
          <w:rFonts w:ascii="仿宋_GB2312" w:eastAsia="仿宋_GB2312"/>
          <w:sz w:val="32"/>
          <w:szCs w:val="32"/>
        </w:rPr>
        <w:t>0.35</w:t>
      </w:r>
      <w:r>
        <w:rPr>
          <w:rFonts w:hint="eastAsia" w:ascii="仿宋_GB2312" w:eastAsia="仿宋_GB2312"/>
          <w:sz w:val="32"/>
          <w:szCs w:val="32"/>
        </w:rPr>
        <w:t>万元；实际采购</w:t>
      </w:r>
      <w:r>
        <w:rPr>
          <w:rFonts w:ascii="仿宋_GB2312" w:eastAsia="仿宋_GB2312"/>
          <w:sz w:val="32"/>
          <w:szCs w:val="32"/>
        </w:rPr>
        <w:t>0.73</w:t>
      </w:r>
      <w:r>
        <w:rPr>
          <w:rFonts w:hint="eastAsia" w:ascii="仿宋_GB2312" w:eastAsia="仿宋_GB2312"/>
          <w:sz w:val="32"/>
          <w:szCs w:val="32"/>
        </w:rPr>
        <w:t>万元，其中：政府采购货物支出</w:t>
      </w:r>
      <w:r>
        <w:rPr>
          <w:rFonts w:ascii="仿宋_GB2312" w:eastAsia="仿宋_GB2312"/>
          <w:sz w:val="32"/>
          <w:szCs w:val="32"/>
        </w:rPr>
        <w:t>0.38</w:t>
      </w:r>
      <w:r>
        <w:rPr>
          <w:rFonts w:hint="eastAsia" w:ascii="仿宋_GB2312" w:eastAsia="仿宋_GB2312"/>
          <w:sz w:val="32"/>
          <w:szCs w:val="32"/>
        </w:rPr>
        <w:t>万元、政府采购工程支出0万元、政府采购服务支出</w:t>
      </w:r>
      <w:r>
        <w:rPr>
          <w:rFonts w:ascii="仿宋_GB2312" w:eastAsia="仿宋_GB2312"/>
          <w:sz w:val="32"/>
          <w:szCs w:val="32"/>
        </w:rPr>
        <w:t>0.35</w:t>
      </w:r>
      <w:r>
        <w:rPr>
          <w:rFonts w:hint="eastAsia" w:ascii="仿宋_GB2312" w:eastAsia="仿宋_GB2312"/>
          <w:sz w:val="32"/>
          <w:szCs w:val="32"/>
        </w:rPr>
        <w:t>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七、其他重要情况说明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（一）国有资产占用情况说明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237.29</w:t>
      </w:r>
      <w:r>
        <w:rPr>
          <w:rFonts w:hint="eastAsia" w:ascii="仿宋_GB2312" w:eastAsia="仿宋_GB2312"/>
          <w:sz w:val="32"/>
          <w:szCs w:val="32"/>
        </w:rPr>
        <w:t>万元，其中：流动资产</w:t>
      </w:r>
      <w:r>
        <w:rPr>
          <w:rFonts w:ascii="仿宋_GB2312" w:eastAsia="仿宋_GB2312"/>
          <w:sz w:val="32"/>
          <w:szCs w:val="32"/>
        </w:rPr>
        <w:t>89.49</w:t>
      </w:r>
      <w:r>
        <w:rPr>
          <w:rFonts w:hint="eastAsia" w:ascii="仿宋_GB2312" w:eastAsia="仿宋_GB2312"/>
          <w:sz w:val="32"/>
          <w:szCs w:val="32"/>
        </w:rPr>
        <w:t>万元，固定资产</w:t>
      </w:r>
      <w:r>
        <w:rPr>
          <w:rFonts w:ascii="仿宋_GB2312" w:eastAsia="仿宋_GB2312"/>
          <w:sz w:val="32"/>
          <w:szCs w:val="32"/>
        </w:rPr>
        <w:t>147.8</w:t>
      </w:r>
      <w:r>
        <w:rPr>
          <w:rFonts w:hint="eastAsia" w:ascii="仿宋_GB2312" w:eastAsia="仿宋_GB2312"/>
          <w:sz w:val="32"/>
          <w:szCs w:val="32"/>
        </w:rPr>
        <w:t>万元，其中：房屋</w:t>
      </w:r>
      <w:r>
        <w:rPr>
          <w:rFonts w:ascii="仿宋_GB2312" w:eastAsia="仿宋_GB2312"/>
          <w:sz w:val="32"/>
          <w:szCs w:val="32"/>
        </w:rPr>
        <w:t>363</w:t>
      </w:r>
      <w:r>
        <w:rPr>
          <w:rFonts w:hint="eastAsia" w:ascii="仿宋_GB2312" w:eastAsia="仿宋_GB2312"/>
          <w:sz w:val="32"/>
          <w:szCs w:val="32"/>
        </w:rPr>
        <w:t>（平方米），价值</w:t>
      </w:r>
      <w:r>
        <w:rPr>
          <w:rFonts w:ascii="仿宋_GB2312" w:eastAsia="仿宋_GB2312"/>
          <w:sz w:val="32"/>
          <w:szCs w:val="32"/>
        </w:rPr>
        <w:t>30</w:t>
      </w:r>
      <w:r>
        <w:rPr>
          <w:rFonts w:hint="eastAsia" w:ascii="仿宋_GB2312" w:eastAsia="仿宋_GB2312"/>
          <w:sz w:val="32"/>
          <w:szCs w:val="32"/>
        </w:rPr>
        <w:t>万元，共有车辆</w:t>
      </w:r>
      <w:r>
        <w:rPr>
          <w:rFonts w:ascii="仿宋_GB2312" w:eastAsia="仿宋_GB2312"/>
          <w:sz w:val="32"/>
          <w:szCs w:val="32"/>
        </w:rPr>
        <w:t>4</w:t>
      </w:r>
      <w:r>
        <w:rPr>
          <w:rFonts w:hint="eastAsia" w:ascii="仿宋_GB2312" w:eastAsia="仿宋_GB2312"/>
          <w:sz w:val="32"/>
          <w:szCs w:val="32"/>
        </w:rPr>
        <w:t>辆，价值</w:t>
      </w:r>
      <w:r>
        <w:rPr>
          <w:rFonts w:ascii="仿宋_GB2312" w:eastAsia="仿宋_GB2312"/>
          <w:sz w:val="32"/>
          <w:szCs w:val="32"/>
        </w:rPr>
        <w:t>79.16</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3</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辆、其他用车1辆（其他用车主要是：皮卡车）；单位价值</w:t>
      </w:r>
      <w:r>
        <w:rPr>
          <w:rFonts w:ascii="仿宋_GB2312" w:eastAsia="仿宋_GB2312"/>
          <w:sz w:val="32"/>
          <w:szCs w:val="32"/>
        </w:rPr>
        <w:t>50</w:t>
      </w:r>
      <w:r>
        <w:rPr>
          <w:rFonts w:hint="eastAsia" w:ascii="仿宋_GB2312" w:eastAsia="仿宋_GB2312"/>
          <w:sz w:val="32"/>
          <w:szCs w:val="32"/>
        </w:rPr>
        <w:t>万元以上通用设备0套、单位价值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台（套），其他固定资产价值37.64万元。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（二）国有资产收益征缴情况说明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截至2017年12月31日，中国人民政治协商会议塔什库尔干县委员会</w:t>
      </w:r>
      <w:bookmarkStart w:id="0" w:name="_GoBack"/>
      <w:bookmarkEnd w:id="0"/>
      <w:r>
        <w:rPr>
          <w:rFonts w:hint="eastAsia" w:ascii="仿宋_GB2312" w:eastAsia="仿宋_GB2312"/>
          <w:sz w:val="32"/>
          <w:szCs w:val="32"/>
        </w:rPr>
        <w:t>资产有偿使用收入合计0万元，资产处置收入合计0万元。其中：已缴国库0万元，已缴财政专户0万元，应缴未缴0万元，单位留用0万元。</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：本单位无此项收益。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（三）部门项目支出情况和项目绩效评价情况说明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2017</w:t>
      </w:r>
      <w:r>
        <w:rPr>
          <w:rFonts w:hint="eastAsia" w:ascii="仿宋_GB2312" w:hAnsi="宋体" w:eastAsia="仿宋_GB2312" w:cs="宋体"/>
          <w:sz w:val="32"/>
          <w:szCs w:val="32"/>
        </w:rPr>
        <w:t>年度，本部门单位实行绩效管理的项目2个，涉及预算</w:t>
      </w:r>
      <w:r>
        <w:rPr>
          <w:rFonts w:hint="eastAsia" w:ascii="仿宋_GB2312" w:eastAsia="仿宋_GB2312"/>
          <w:sz w:val="32"/>
          <w:szCs w:val="32"/>
        </w:rPr>
        <w:t>43.48万元</w:t>
      </w:r>
      <w:r>
        <w:rPr>
          <w:rFonts w:hint="eastAsia" w:ascii="仿宋_GB2312" w:hAnsi="宋体" w:eastAsia="仿宋_GB2312" w:cs="宋体"/>
          <w:sz w:val="32"/>
          <w:szCs w:val="32"/>
        </w:rPr>
        <w:t>，项目支出决算</w:t>
      </w:r>
      <w:r>
        <w:rPr>
          <w:rFonts w:hint="eastAsia" w:ascii="仿宋_GB2312" w:eastAsia="仿宋_GB2312"/>
          <w:sz w:val="32"/>
          <w:szCs w:val="32"/>
        </w:rPr>
        <w:t>32.48万元</w:t>
      </w:r>
      <w:r>
        <w:rPr>
          <w:rFonts w:hint="eastAsia" w:ascii="仿宋_GB2312" w:hAnsi="宋体" w:eastAsia="仿宋_GB2312" w:cs="宋体"/>
          <w:sz w:val="32"/>
          <w:szCs w:val="32"/>
        </w:rPr>
        <w:t>。年末</w:t>
      </w:r>
      <w:r>
        <w:rPr>
          <w:rFonts w:hint="eastAsia" w:ascii="仿宋_GB2312" w:eastAsia="仿宋_GB2312"/>
          <w:sz w:val="32"/>
          <w:szCs w:val="32"/>
        </w:rPr>
        <w:t>本单位民生项目和重点支出项目的绩效评价开展情况：</w:t>
      </w:r>
    </w:p>
    <w:p>
      <w:pPr>
        <w:numPr>
          <w:ilvl w:val="0"/>
          <w:numId w:val="1"/>
        </w:numPr>
        <w:spacing w:line="560" w:lineRule="exact"/>
        <w:rPr>
          <w:rFonts w:ascii="仿宋_GB2312" w:eastAsia="仿宋_GB2312"/>
          <w:sz w:val="32"/>
          <w:szCs w:val="32"/>
        </w:rPr>
      </w:pPr>
      <w:r>
        <w:rPr>
          <w:rFonts w:hint="eastAsia" w:ascii="仿宋_GB2312" w:eastAsia="仿宋_GB2312"/>
          <w:sz w:val="32"/>
          <w:szCs w:val="32"/>
        </w:rPr>
        <w:t>第十四届政协委员会二次会议经费7.48万元</w:t>
      </w:r>
    </w:p>
    <w:p>
      <w:pPr>
        <w:spacing w:line="560" w:lineRule="exact"/>
        <w:ind w:left="640"/>
        <w:rPr>
          <w:rFonts w:ascii="仿宋_GB2312" w:eastAsia="仿宋_GB2312"/>
          <w:sz w:val="32"/>
          <w:szCs w:val="32"/>
        </w:rPr>
      </w:pPr>
      <w:r>
        <w:rPr>
          <w:rFonts w:hint="eastAsia" w:ascii="仿宋_GB2312" w:eastAsia="仿宋_GB2312"/>
          <w:sz w:val="32"/>
          <w:szCs w:val="32"/>
        </w:rPr>
        <w:t>年初预算会议经费7.48万元，年末决算7.48万元，会议</w:t>
      </w:r>
    </w:p>
    <w:p>
      <w:pPr>
        <w:spacing w:line="560" w:lineRule="exact"/>
        <w:rPr>
          <w:rFonts w:ascii="仿宋_GB2312" w:eastAsia="仿宋_GB2312"/>
          <w:sz w:val="32"/>
          <w:szCs w:val="32"/>
        </w:rPr>
      </w:pPr>
      <w:r>
        <w:rPr>
          <w:rFonts w:hint="eastAsia" w:ascii="仿宋_GB2312" w:eastAsia="仿宋_GB2312"/>
          <w:sz w:val="32"/>
          <w:szCs w:val="32"/>
        </w:rPr>
        <w:t>经费主要解决了十四届政协委员会二次会议期间101位交通费、误工费、餐费、住宿费等，为会议的正常开展提供了保障。</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2.基层政协补助经费25万元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基层政协补助经费主要是自治区补助5万元，地区补助20万元，主要是解决县政协经费不足的问题，县政协主要用于全国和自治区政协委员开会差费等；基层委员视察调研、培训、慰问、办公等基本支出，在一定程度上解决了基层政协经费困难的问题</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hAnsi="Calibri" w:eastAsia="仿宋_GB2312"/>
          <w:sz w:val="32"/>
          <w:szCs w:val="32"/>
          <w:lang w:val="en-GB"/>
        </w:rPr>
      </w:pPr>
    </w:p>
    <w:p>
      <w:pPr>
        <w:spacing w:line="560" w:lineRule="exact"/>
        <w:ind w:firstLine="640"/>
        <w:jc w:val="center"/>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上级补助收入：指事业单位从主管县政协和上级单位取得的非财政补助收入。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val="0"/>
        <w:spacing w:line="56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eastAsia" w:ascii="仿宋_GB2312" w:eastAsia="仿宋_GB2312"/>
          <w:sz w:val="32"/>
          <w:szCs w:val="32"/>
        </w:rPr>
        <w:t>201（类）02（款）01（项）：指政协事务行政运行，反映行政单位（包括实行公务员管理的事业单位）的基本支出。201（类）02（款）04（项）：指政协会议，反映各级政协召开政治协商会议等专门会议的支出。201（类）02（款）99（项）：指其他政协事务支出，反映上述项目以外的其他政协事务支出。208（类）05（款）05（项），指机关事业单位基本养老保险缴费支出，反映机关事业单位实施养老保险制度由单位缴纳的基本养老保险费支出。221（类）02（款）01（项）：指住房公积金，反映行政事业单位按人力资源和社会保障部、财政部规定的基本工资和津贴补贴以及规定比例为职工缴纳的住房公积金。</w:t>
      </w:r>
    </w:p>
    <w:p>
      <w:pPr>
        <w:spacing w:line="56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spacing w:line="560" w:lineRule="exact"/>
        <w:ind w:firstLine="640" w:firstLineChars="200"/>
        <w:rPr>
          <w:rFonts w:ascii="仿宋_GB2312" w:hAnsi="Calibri" w:eastAsia="仿宋_GB2312"/>
          <w:sz w:val="32"/>
          <w:szCs w:val="32"/>
          <w:lang w:val="en-GB"/>
        </w:rPr>
      </w:pPr>
    </w:p>
    <w:p>
      <w:pPr>
        <w:spacing w:line="560" w:lineRule="exact"/>
        <w:ind w:firstLine="627"/>
        <w:jc w:val="center"/>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县政协决算报表（见附表）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一、报表封面</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三、《收入决算表》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六、《项目收入支出决算表》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七、《行政事业类项目收入支出决算表》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八、《基本建设类项目收入支出决算表》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九、《支出决算明细表》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十一、《项目支出决算明细表》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十二、《财政专户管理资金收入支出决算表》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十三、《财政拨款收入支出决算总表》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十四、《一般公共预算财政拨款收入支出决算表》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十五、《一般公共预算财政拨款支出决算明细表》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十六、《一般公共预算财政拨款基本支出决算明细表》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十七、《一般公共预算财政拨款项目支出决算明细表》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十八、《政府性基金预算财政拨款收入支出决算表》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十九、《政府性基金预算财政拨款支出决算明细表》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二十、《政府性基金预算财政拨款基本支出决算明细表》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二十二、《资产负债简表》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二十三、《资产情况表》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二十四、《国有资产收益征缴情况表》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二十五、《基本数字表》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二十六、《机构人员情况表》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二十七、《非税收入征缴情况表》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二十八、《部门决算相关信息统计表》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二十九、《政府采购情况表》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sectPr>
      <w:footerReference r:id="rId3" w:type="default"/>
      <w:footerReference r:id="rId4"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827" w:wrap="around" w:vAnchor="text" w:hAnchor="margin" w:xAlign="outside" w:y="1"/>
      <w:rPr>
        <w:rStyle w:val="8"/>
      </w:rPr>
    </w:pPr>
    <w:r>
      <w:rPr>
        <w:rStyle w:val="8"/>
      </w:rPr>
      <w:t>—</w:t>
    </w:r>
    <w:r>
      <w:rPr>
        <w:rStyle w:val="8"/>
        <w:sz w:val="28"/>
        <w:szCs w:val="28"/>
      </w:rPr>
      <w:fldChar w:fldCharType="begin"/>
    </w:r>
    <w:r>
      <w:rPr>
        <w:rStyle w:val="8"/>
        <w:sz w:val="28"/>
        <w:szCs w:val="28"/>
      </w:rPr>
      <w:instrText xml:space="preserve">PAGE  </w:instrText>
    </w:r>
    <w:r>
      <w:rPr>
        <w:rStyle w:val="8"/>
        <w:sz w:val="28"/>
        <w:szCs w:val="28"/>
      </w:rPr>
      <w:fldChar w:fldCharType="separate"/>
    </w:r>
    <w:r>
      <w:rPr>
        <w:rStyle w:val="8"/>
        <w:sz w:val="28"/>
        <w:szCs w:val="28"/>
      </w:rPr>
      <w:t>8</w:t>
    </w:r>
    <w:r>
      <w:rPr>
        <w:rStyle w:val="8"/>
        <w:sz w:val="28"/>
        <w:szCs w:val="28"/>
      </w:rPr>
      <w:fldChar w:fldCharType="end"/>
    </w:r>
    <w:r>
      <w:rPr>
        <w:rStyle w:val="8"/>
      </w:rPr>
      <w:t>—</w:t>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447EF8"/>
    <w:multiLevelType w:val="multilevel"/>
    <w:tmpl w:val="24447EF8"/>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33860"/>
    <w:rsid w:val="00066170"/>
    <w:rsid w:val="000A6816"/>
    <w:rsid w:val="000E71F5"/>
    <w:rsid w:val="00190D01"/>
    <w:rsid w:val="0019617D"/>
    <w:rsid w:val="00231F96"/>
    <w:rsid w:val="002D4B40"/>
    <w:rsid w:val="002D75A5"/>
    <w:rsid w:val="002F1AB4"/>
    <w:rsid w:val="003120A0"/>
    <w:rsid w:val="003267F3"/>
    <w:rsid w:val="00341CCE"/>
    <w:rsid w:val="0037221B"/>
    <w:rsid w:val="003816F6"/>
    <w:rsid w:val="003858F2"/>
    <w:rsid w:val="003D1342"/>
    <w:rsid w:val="00432116"/>
    <w:rsid w:val="00455D02"/>
    <w:rsid w:val="00473B08"/>
    <w:rsid w:val="004C0402"/>
    <w:rsid w:val="004E2F19"/>
    <w:rsid w:val="00507058"/>
    <w:rsid w:val="005511AE"/>
    <w:rsid w:val="005653E2"/>
    <w:rsid w:val="005A0237"/>
    <w:rsid w:val="00631E18"/>
    <w:rsid w:val="00642BB5"/>
    <w:rsid w:val="0067213A"/>
    <w:rsid w:val="006C4BD2"/>
    <w:rsid w:val="006C7C00"/>
    <w:rsid w:val="00804EA1"/>
    <w:rsid w:val="008115FA"/>
    <w:rsid w:val="00817D12"/>
    <w:rsid w:val="00841ED7"/>
    <w:rsid w:val="008A26CF"/>
    <w:rsid w:val="008E7CDA"/>
    <w:rsid w:val="009E361A"/>
    <w:rsid w:val="009F635E"/>
    <w:rsid w:val="00A3364B"/>
    <w:rsid w:val="00A53369"/>
    <w:rsid w:val="00A61F31"/>
    <w:rsid w:val="00A6535A"/>
    <w:rsid w:val="00A80D36"/>
    <w:rsid w:val="00A83329"/>
    <w:rsid w:val="00AD6F7F"/>
    <w:rsid w:val="00AD7517"/>
    <w:rsid w:val="00B331CD"/>
    <w:rsid w:val="00B54DAF"/>
    <w:rsid w:val="00BF14A9"/>
    <w:rsid w:val="00BF23BD"/>
    <w:rsid w:val="00C157D4"/>
    <w:rsid w:val="00C25814"/>
    <w:rsid w:val="00C26330"/>
    <w:rsid w:val="00C70937"/>
    <w:rsid w:val="00CF73AD"/>
    <w:rsid w:val="00D206CD"/>
    <w:rsid w:val="00DD6921"/>
    <w:rsid w:val="00E1722E"/>
    <w:rsid w:val="00E21257"/>
    <w:rsid w:val="00E60DC2"/>
    <w:rsid w:val="00EC34AE"/>
    <w:rsid w:val="00ED2C90"/>
    <w:rsid w:val="00EE5E94"/>
    <w:rsid w:val="00F070B3"/>
    <w:rsid w:val="00F1667A"/>
    <w:rsid w:val="00FC77ED"/>
    <w:rsid w:val="01EA1DFA"/>
    <w:rsid w:val="04A72476"/>
    <w:rsid w:val="04F6740D"/>
    <w:rsid w:val="050F6C1B"/>
    <w:rsid w:val="06884C1A"/>
    <w:rsid w:val="070A31C9"/>
    <w:rsid w:val="07CB3F39"/>
    <w:rsid w:val="08733AC4"/>
    <w:rsid w:val="087612F8"/>
    <w:rsid w:val="08E6324F"/>
    <w:rsid w:val="0A816396"/>
    <w:rsid w:val="0AF47811"/>
    <w:rsid w:val="0B9463BB"/>
    <w:rsid w:val="0BD81B01"/>
    <w:rsid w:val="0C357823"/>
    <w:rsid w:val="0C540C7D"/>
    <w:rsid w:val="0C616761"/>
    <w:rsid w:val="0C9F4122"/>
    <w:rsid w:val="0CD60FDE"/>
    <w:rsid w:val="0CFA23CB"/>
    <w:rsid w:val="0F7B66C0"/>
    <w:rsid w:val="0FB028FD"/>
    <w:rsid w:val="113D1F41"/>
    <w:rsid w:val="122A501C"/>
    <w:rsid w:val="123A7730"/>
    <w:rsid w:val="1578776D"/>
    <w:rsid w:val="16401026"/>
    <w:rsid w:val="16A2554E"/>
    <w:rsid w:val="16EA3BAC"/>
    <w:rsid w:val="17596FF3"/>
    <w:rsid w:val="18094F80"/>
    <w:rsid w:val="187574E1"/>
    <w:rsid w:val="19246F24"/>
    <w:rsid w:val="194027F4"/>
    <w:rsid w:val="1BB60CC4"/>
    <w:rsid w:val="1BF96FC6"/>
    <w:rsid w:val="1C064BAA"/>
    <w:rsid w:val="1CAA6D7B"/>
    <w:rsid w:val="1D5C2895"/>
    <w:rsid w:val="1E331C33"/>
    <w:rsid w:val="1F5B48B1"/>
    <w:rsid w:val="1F75788A"/>
    <w:rsid w:val="1F8817D5"/>
    <w:rsid w:val="21A6207B"/>
    <w:rsid w:val="22022B83"/>
    <w:rsid w:val="222B5BAA"/>
    <w:rsid w:val="22F20105"/>
    <w:rsid w:val="23AE6CF6"/>
    <w:rsid w:val="23DF60A9"/>
    <w:rsid w:val="23FA7336"/>
    <w:rsid w:val="248E225C"/>
    <w:rsid w:val="25646E02"/>
    <w:rsid w:val="257C0C66"/>
    <w:rsid w:val="25A15292"/>
    <w:rsid w:val="25BD364B"/>
    <w:rsid w:val="26900C13"/>
    <w:rsid w:val="27057019"/>
    <w:rsid w:val="28532E40"/>
    <w:rsid w:val="2A42218D"/>
    <w:rsid w:val="2B1E53FD"/>
    <w:rsid w:val="2B2069D5"/>
    <w:rsid w:val="2B7B4245"/>
    <w:rsid w:val="2C082FF3"/>
    <w:rsid w:val="2C8440F1"/>
    <w:rsid w:val="2C937BCC"/>
    <w:rsid w:val="2DCF562F"/>
    <w:rsid w:val="2E065A3C"/>
    <w:rsid w:val="2E5969D2"/>
    <w:rsid w:val="2E8134D2"/>
    <w:rsid w:val="2F441B56"/>
    <w:rsid w:val="2FB71D66"/>
    <w:rsid w:val="30C52864"/>
    <w:rsid w:val="316954F3"/>
    <w:rsid w:val="31C3603E"/>
    <w:rsid w:val="32356A21"/>
    <w:rsid w:val="32681B63"/>
    <w:rsid w:val="32746C97"/>
    <w:rsid w:val="333A26B0"/>
    <w:rsid w:val="33451703"/>
    <w:rsid w:val="335B2A1D"/>
    <w:rsid w:val="33843363"/>
    <w:rsid w:val="33DE539E"/>
    <w:rsid w:val="34DF7258"/>
    <w:rsid w:val="35932AFF"/>
    <w:rsid w:val="35EE1B33"/>
    <w:rsid w:val="36CD2373"/>
    <w:rsid w:val="37D46538"/>
    <w:rsid w:val="38A574CE"/>
    <w:rsid w:val="393A76F5"/>
    <w:rsid w:val="3A596656"/>
    <w:rsid w:val="3A9F565B"/>
    <w:rsid w:val="3AA8648C"/>
    <w:rsid w:val="3AE239BE"/>
    <w:rsid w:val="3AE81381"/>
    <w:rsid w:val="3B2272A2"/>
    <w:rsid w:val="3B93174D"/>
    <w:rsid w:val="3BEC0BD8"/>
    <w:rsid w:val="3C9334CF"/>
    <w:rsid w:val="406C5ABD"/>
    <w:rsid w:val="41080AA4"/>
    <w:rsid w:val="415B19A2"/>
    <w:rsid w:val="41C91EE9"/>
    <w:rsid w:val="436F1C50"/>
    <w:rsid w:val="44B77BB2"/>
    <w:rsid w:val="45F44FDE"/>
    <w:rsid w:val="461224ED"/>
    <w:rsid w:val="463D2EE5"/>
    <w:rsid w:val="47F2666D"/>
    <w:rsid w:val="48595EA8"/>
    <w:rsid w:val="48C11E0B"/>
    <w:rsid w:val="48F75D07"/>
    <w:rsid w:val="494C09EE"/>
    <w:rsid w:val="4AAD6423"/>
    <w:rsid w:val="4AD44BB8"/>
    <w:rsid w:val="4B572AA1"/>
    <w:rsid w:val="4B5941E3"/>
    <w:rsid w:val="4D0F7D4B"/>
    <w:rsid w:val="4D621914"/>
    <w:rsid w:val="4DC61D55"/>
    <w:rsid w:val="4DF5373D"/>
    <w:rsid w:val="4E2231A1"/>
    <w:rsid w:val="4E273AF9"/>
    <w:rsid w:val="4E536B76"/>
    <w:rsid w:val="4F413435"/>
    <w:rsid w:val="501D31D2"/>
    <w:rsid w:val="50346B42"/>
    <w:rsid w:val="50813B78"/>
    <w:rsid w:val="50E00EB8"/>
    <w:rsid w:val="517C72FA"/>
    <w:rsid w:val="518936E0"/>
    <w:rsid w:val="5260110F"/>
    <w:rsid w:val="529D6209"/>
    <w:rsid w:val="531732B8"/>
    <w:rsid w:val="53855E09"/>
    <w:rsid w:val="53B30410"/>
    <w:rsid w:val="5491418A"/>
    <w:rsid w:val="54AD7576"/>
    <w:rsid w:val="54DF7D2C"/>
    <w:rsid w:val="55E61789"/>
    <w:rsid w:val="565D7AB3"/>
    <w:rsid w:val="577B3F5A"/>
    <w:rsid w:val="58005EBC"/>
    <w:rsid w:val="58791875"/>
    <w:rsid w:val="58EB3F6B"/>
    <w:rsid w:val="5960794D"/>
    <w:rsid w:val="596A393F"/>
    <w:rsid w:val="59C2512E"/>
    <w:rsid w:val="5A6B5193"/>
    <w:rsid w:val="5BE77DC2"/>
    <w:rsid w:val="5C223A16"/>
    <w:rsid w:val="5C9724C9"/>
    <w:rsid w:val="5D1451D1"/>
    <w:rsid w:val="5DA22F72"/>
    <w:rsid w:val="5E5855E7"/>
    <w:rsid w:val="5E6F30AC"/>
    <w:rsid w:val="5EFD5AEB"/>
    <w:rsid w:val="5FBA225D"/>
    <w:rsid w:val="60285399"/>
    <w:rsid w:val="603F6FB2"/>
    <w:rsid w:val="60AC0615"/>
    <w:rsid w:val="60E824E5"/>
    <w:rsid w:val="60FA68DE"/>
    <w:rsid w:val="613127EF"/>
    <w:rsid w:val="62234357"/>
    <w:rsid w:val="6390634A"/>
    <w:rsid w:val="63AE6DDB"/>
    <w:rsid w:val="6591486F"/>
    <w:rsid w:val="65F45069"/>
    <w:rsid w:val="6607308D"/>
    <w:rsid w:val="662429EA"/>
    <w:rsid w:val="665072DF"/>
    <w:rsid w:val="68B37E29"/>
    <w:rsid w:val="6B78734B"/>
    <w:rsid w:val="6BFE3CE8"/>
    <w:rsid w:val="6DAC2424"/>
    <w:rsid w:val="6EB96F58"/>
    <w:rsid w:val="6F7562C3"/>
    <w:rsid w:val="6FFA628F"/>
    <w:rsid w:val="702004DC"/>
    <w:rsid w:val="70320A92"/>
    <w:rsid w:val="70787FC3"/>
    <w:rsid w:val="70EC74E3"/>
    <w:rsid w:val="72924DB4"/>
    <w:rsid w:val="72AE4FCC"/>
    <w:rsid w:val="72E95F81"/>
    <w:rsid w:val="749D77D9"/>
    <w:rsid w:val="764855EC"/>
    <w:rsid w:val="76F80672"/>
    <w:rsid w:val="7759607B"/>
    <w:rsid w:val="77876CB7"/>
    <w:rsid w:val="784867FC"/>
    <w:rsid w:val="78642EEE"/>
    <w:rsid w:val="78F31263"/>
    <w:rsid w:val="797833EF"/>
    <w:rsid w:val="7A333A75"/>
    <w:rsid w:val="7ABB7FEF"/>
    <w:rsid w:val="7B5E4A74"/>
    <w:rsid w:val="7B684E97"/>
    <w:rsid w:val="7DCD1DB9"/>
    <w:rsid w:val="7DFF7E57"/>
    <w:rsid w:val="7E2C254A"/>
    <w:rsid w:val="7E705EFF"/>
    <w:rsid w:val="7F407E10"/>
    <w:rsid w:val="7F466170"/>
    <w:rsid w:val="7FA56A4E"/>
    <w:rsid w:val="7FB83F15"/>
  </w:rsids>
  <m:mathPr>
    <m:lMargin m:val="0"/>
    <m:mathFont m:val="Cambria Math"/>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4"/>
      <w:lang w:val="en-US" w:eastAsia="zh-CN" w:bidi="ar-SA"/>
    </w:rPr>
  </w:style>
  <w:style w:type="character" w:default="1" w:styleId="7">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unhideWhenUsed/>
    <w:uiPriority w:val="99"/>
    <w:pPr>
      <w:jc w:val="left"/>
    </w:pPr>
  </w:style>
  <w:style w:type="paragraph" w:styleId="3">
    <w:name w:val="Balloon Text"/>
    <w:basedOn w:val="1"/>
    <w:link w:val="14"/>
    <w:unhideWhenUsed/>
    <w:uiPriority w:val="99"/>
    <w:rPr>
      <w:sz w:val="18"/>
      <w:szCs w:val="18"/>
    </w:rPr>
  </w:style>
  <w:style w:type="paragraph" w:styleId="4">
    <w:name w:val="footer"/>
    <w:basedOn w:val="1"/>
    <w:link w:val="11"/>
    <w:qFormat/>
    <w:uiPriority w:val="99"/>
    <w:pPr>
      <w:tabs>
        <w:tab w:val="center" w:pos="4153"/>
        <w:tab w:val="right" w:pos="8306"/>
      </w:tabs>
      <w:snapToGrid w:val="0"/>
      <w:jc w:val="left"/>
    </w:pPr>
    <w:rPr>
      <w:rFonts w:ascii="Calibri" w:hAnsi="Calibri"/>
      <w:kern w:val="2"/>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6">
    <w:name w:val="Normal (Web)"/>
    <w:basedOn w:val="1"/>
    <w:qFormat/>
    <w:uiPriority w:val="99"/>
    <w:rPr>
      <w:kern w:val="2"/>
      <w:sz w:val="24"/>
    </w:rPr>
  </w:style>
  <w:style w:type="character" w:styleId="8">
    <w:name w:val="page number"/>
    <w:qFormat/>
    <w:uiPriority w:val="99"/>
    <w:rPr>
      <w:rFonts w:cs="Times New Roman"/>
    </w:rPr>
  </w:style>
  <w:style w:type="character" w:styleId="9">
    <w:name w:val="annotation reference"/>
    <w:unhideWhenUsed/>
    <w:uiPriority w:val="99"/>
    <w:rPr>
      <w:sz w:val="21"/>
      <w:szCs w:val="21"/>
    </w:rPr>
  </w:style>
  <w:style w:type="character" w:customStyle="1" w:styleId="11">
    <w:name w:val="页脚 Char"/>
    <w:link w:val="4"/>
    <w:qFormat/>
    <w:locked/>
    <w:uiPriority w:val="99"/>
    <w:rPr>
      <w:rFonts w:cs="Times New Roman"/>
      <w:sz w:val="18"/>
      <w:szCs w:val="18"/>
    </w:rPr>
  </w:style>
  <w:style w:type="character" w:customStyle="1" w:styleId="12">
    <w:name w:val="页眉 Char"/>
    <w:link w:val="5"/>
    <w:qFormat/>
    <w:locked/>
    <w:uiPriority w:val="99"/>
    <w:rPr>
      <w:rFonts w:cs="Times New Roman"/>
      <w:sz w:val="18"/>
      <w:szCs w:val="18"/>
    </w:rPr>
  </w:style>
  <w:style w:type="paragraph" w:customStyle="1" w:styleId="13">
    <w:name w:val="List Paragraph1"/>
    <w:basedOn w:val="1"/>
    <w:qFormat/>
    <w:uiPriority w:val="99"/>
    <w:pPr>
      <w:ind w:firstLine="420" w:firstLineChars="200"/>
    </w:pPr>
  </w:style>
  <w:style w:type="character" w:customStyle="1" w:styleId="14">
    <w:name w:val="批注框文本 Char"/>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1065</Words>
  <Characters>6072</Characters>
  <Lines>50</Lines>
  <Paragraphs>14</Paragraphs>
  <TotalTime>0</TotalTime>
  <ScaleCrop>false</ScaleCrop>
  <LinksUpToDate>false</LinksUpToDate>
  <CharactersWithSpaces>7123</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2019-03-21T09:20:35Z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