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5F9FF" w14:textId="77777777" w:rsidR="001D59F7" w:rsidRDefault="001D59F7">
      <w:pPr>
        <w:spacing w:line="570" w:lineRule="exact"/>
        <w:jc w:val="center"/>
        <w:rPr>
          <w:rFonts w:ascii="华文中宋" w:eastAsia="华文中宋" w:hAnsi="华文中宋" w:cs="宋体"/>
          <w:b/>
          <w:kern w:val="0"/>
          <w:sz w:val="52"/>
          <w:szCs w:val="52"/>
        </w:rPr>
      </w:pPr>
    </w:p>
    <w:p w14:paraId="46549FB3" w14:textId="77777777" w:rsidR="001D59F7" w:rsidRDefault="001D59F7">
      <w:pPr>
        <w:spacing w:line="570" w:lineRule="exact"/>
        <w:jc w:val="center"/>
        <w:rPr>
          <w:rFonts w:ascii="华文中宋" w:eastAsia="华文中宋" w:hAnsi="华文中宋" w:cs="宋体"/>
          <w:b/>
          <w:kern w:val="0"/>
          <w:sz w:val="52"/>
          <w:szCs w:val="52"/>
        </w:rPr>
      </w:pPr>
    </w:p>
    <w:p w14:paraId="377F7DCE" w14:textId="77777777" w:rsidR="001D59F7" w:rsidRDefault="001D59F7">
      <w:pPr>
        <w:spacing w:line="570" w:lineRule="exact"/>
        <w:jc w:val="center"/>
        <w:rPr>
          <w:rFonts w:ascii="华文中宋" w:eastAsia="华文中宋" w:hAnsi="华文中宋" w:cs="宋体"/>
          <w:b/>
          <w:kern w:val="0"/>
          <w:sz w:val="52"/>
          <w:szCs w:val="52"/>
        </w:rPr>
      </w:pPr>
    </w:p>
    <w:p w14:paraId="310A1144" w14:textId="77777777" w:rsidR="001D59F7" w:rsidRDefault="001D59F7">
      <w:pPr>
        <w:spacing w:line="570" w:lineRule="exact"/>
        <w:jc w:val="center"/>
        <w:rPr>
          <w:rFonts w:ascii="华文中宋" w:eastAsia="华文中宋" w:hAnsi="华文中宋" w:cs="宋体"/>
          <w:b/>
          <w:kern w:val="0"/>
          <w:sz w:val="52"/>
          <w:szCs w:val="52"/>
        </w:rPr>
      </w:pPr>
    </w:p>
    <w:p w14:paraId="6A4537D7" w14:textId="77777777" w:rsidR="001D59F7" w:rsidRDefault="001D59F7">
      <w:pPr>
        <w:spacing w:line="570" w:lineRule="exact"/>
        <w:rPr>
          <w:rFonts w:ascii="华文中宋" w:eastAsia="华文中宋" w:hAnsi="华文中宋" w:cs="宋体"/>
          <w:b/>
          <w:kern w:val="0"/>
          <w:sz w:val="52"/>
          <w:szCs w:val="52"/>
        </w:rPr>
      </w:pPr>
    </w:p>
    <w:p w14:paraId="7C7C20A6" w14:textId="77777777" w:rsidR="001D59F7" w:rsidRDefault="001D59F7">
      <w:pPr>
        <w:spacing w:line="570" w:lineRule="exact"/>
        <w:jc w:val="center"/>
        <w:rPr>
          <w:rFonts w:ascii="华文中宋" w:eastAsia="华文中宋" w:hAnsi="华文中宋" w:cs="宋体"/>
          <w:b/>
          <w:kern w:val="0"/>
          <w:sz w:val="52"/>
          <w:szCs w:val="52"/>
        </w:rPr>
      </w:pPr>
    </w:p>
    <w:p w14:paraId="40FD6F93" w14:textId="20C65D18" w:rsidR="001D59F7" w:rsidRDefault="00000000">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w:t>
      </w:r>
      <w:r w:rsidR="00D74CBE">
        <w:rPr>
          <w:rFonts w:ascii="方正小标宋_GBK" w:eastAsia="方正小标宋_GBK" w:hAnsi="华文中宋" w:cs="宋体" w:hint="eastAsia"/>
          <w:b/>
          <w:kern w:val="0"/>
          <w:sz w:val="44"/>
          <w:szCs w:val="44"/>
        </w:rPr>
        <w:t>部门单位项目支出绩效评价报告</w:t>
      </w:r>
    </w:p>
    <w:p w14:paraId="55AE2A33" w14:textId="77777777" w:rsidR="001D59F7" w:rsidRDefault="001D59F7">
      <w:pPr>
        <w:spacing w:line="570" w:lineRule="exact"/>
        <w:jc w:val="center"/>
        <w:rPr>
          <w:rFonts w:ascii="华文中宋" w:eastAsia="华文中宋" w:hAnsi="华文中宋" w:cs="宋体"/>
          <w:b/>
          <w:kern w:val="0"/>
          <w:sz w:val="52"/>
          <w:szCs w:val="52"/>
        </w:rPr>
      </w:pPr>
    </w:p>
    <w:p w14:paraId="1595D187" w14:textId="77777777" w:rsidR="001D59F7" w:rsidRDefault="00000000">
      <w:pPr>
        <w:spacing w:line="57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仿宋_GB2312" w:eastAsia="仿宋_GB2312" w:hAnsi="楷体" w:hint="eastAsia"/>
          <w:spacing w:val="-4"/>
          <w:sz w:val="32"/>
          <w:szCs w:val="32"/>
        </w:rPr>
        <w:t>2022</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F93EA35" w14:textId="77777777" w:rsidR="001D59F7" w:rsidRDefault="001D59F7">
      <w:pPr>
        <w:spacing w:line="570" w:lineRule="exact"/>
        <w:jc w:val="center"/>
        <w:rPr>
          <w:rFonts w:eastAsia="仿宋_GB2312" w:hAnsi="宋体" w:cs="宋体"/>
          <w:kern w:val="0"/>
          <w:sz w:val="30"/>
          <w:szCs w:val="30"/>
        </w:rPr>
      </w:pPr>
    </w:p>
    <w:p w14:paraId="588CB5A4" w14:textId="77777777" w:rsidR="001D59F7" w:rsidRDefault="001D59F7">
      <w:pPr>
        <w:spacing w:line="570" w:lineRule="exact"/>
        <w:jc w:val="center"/>
        <w:rPr>
          <w:rFonts w:eastAsia="仿宋_GB2312" w:hAnsi="宋体" w:cs="宋体"/>
          <w:kern w:val="0"/>
          <w:sz w:val="30"/>
          <w:szCs w:val="30"/>
        </w:rPr>
      </w:pPr>
    </w:p>
    <w:p w14:paraId="29212BDF" w14:textId="77777777" w:rsidR="001D59F7" w:rsidRDefault="001D59F7">
      <w:pPr>
        <w:spacing w:line="570" w:lineRule="exact"/>
        <w:jc w:val="center"/>
        <w:rPr>
          <w:rFonts w:eastAsia="仿宋_GB2312" w:hAnsi="宋体" w:cs="宋体"/>
          <w:kern w:val="0"/>
          <w:sz w:val="30"/>
          <w:szCs w:val="30"/>
        </w:rPr>
      </w:pPr>
    </w:p>
    <w:p w14:paraId="789CD4F0" w14:textId="77777777" w:rsidR="001D59F7" w:rsidRDefault="001D59F7">
      <w:pPr>
        <w:spacing w:line="570" w:lineRule="exact"/>
        <w:jc w:val="center"/>
        <w:rPr>
          <w:rFonts w:eastAsia="仿宋_GB2312" w:hAnsi="宋体" w:cs="宋体"/>
          <w:kern w:val="0"/>
          <w:sz w:val="30"/>
          <w:szCs w:val="30"/>
        </w:rPr>
      </w:pPr>
    </w:p>
    <w:p w14:paraId="33A1ED9B" w14:textId="77777777" w:rsidR="001D59F7" w:rsidRDefault="001D59F7">
      <w:pPr>
        <w:spacing w:line="570" w:lineRule="exact"/>
        <w:jc w:val="center"/>
        <w:rPr>
          <w:rFonts w:eastAsia="仿宋_GB2312" w:hAnsi="宋体" w:cs="宋体"/>
          <w:kern w:val="0"/>
          <w:sz w:val="30"/>
          <w:szCs w:val="30"/>
        </w:rPr>
      </w:pPr>
    </w:p>
    <w:p w14:paraId="662514DE" w14:textId="77777777" w:rsidR="001D59F7" w:rsidRDefault="001D59F7">
      <w:pPr>
        <w:spacing w:line="570" w:lineRule="exact"/>
        <w:jc w:val="center"/>
        <w:rPr>
          <w:rFonts w:eastAsia="仿宋_GB2312" w:hAnsi="宋体" w:cs="宋体"/>
          <w:kern w:val="0"/>
          <w:sz w:val="30"/>
          <w:szCs w:val="30"/>
        </w:rPr>
      </w:pPr>
    </w:p>
    <w:p w14:paraId="379E8661" w14:textId="77777777" w:rsidR="001D59F7" w:rsidRDefault="00000000">
      <w:pPr>
        <w:spacing w:line="70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项目名称：</w:t>
      </w:r>
      <w:r>
        <w:rPr>
          <w:rStyle w:val="ad"/>
          <w:rFonts w:ascii="仿宋" w:eastAsia="仿宋" w:hAnsi="仿宋" w:cs="仿宋" w:hint="eastAsia"/>
          <w:b w:val="0"/>
          <w:bCs w:val="0"/>
          <w:spacing w:val="-4"/>
          <w:sz w:val="32"/>
          <w:szCs w:val="32"/>
        </w:rPr>
        <w:t>2022年三干会会议经费项目</w:t>
      </w:r>
    </w:p>
    <w:p w14:paraId="57960922" w14:textId="77777777" w:rsidR="001D59F7" w:rsidRDefault="00000000">
      <w:pPr>
        <w:spacing w:line="57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实施单位（公章）：</w:t>
      </w:r>
      <w:r>
        <w:rPr>
          <w:rStyle w:val="ad"/>
          <w:rFonts w:ascii="仿宋" w:eastAsia="仿宋" w:hAnsi="仿宋" w:cs="仿宋" w:hint="eastAsia"/>
          <w:b w:val="0"/>
          <w:bCs w:val="0"/>
          <w:spacing w:val="-4"/>
          <w:sz w:val="32"/>
          <w:szCs w:val="32"/>
        </w:rPr>
        <w:t>中共塔什库尔干塔吉克自治县委员会办公室</w:t>
      </w:r>
    </w:p>
    <w:p w14:paraId="31E94BA6" w14:textId="77777777" w:rsidR="001D59F7" w:rsidRDefault="00000000">
      <w:pPr>
        <w:spacing w:line="54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主管部门（公章）：</w:t>
      </w:r>
      <w:r>
        <w:rPr>
          <w:rStyle w:val="ad"/>
          <w:rFonts w:ascii="仿宋" w:eastAsia="仿宋" w:hAnsi="仿宋" w:cs="仿宋" w:hint="eastAsia"/>
          <w:b w:val="0"/>
          <w:bCs w:val="0"/>
          <w:spacing w:val="-4"/>
          <w:sz w:val="32"/>
          <w:szCs w:val="32"/>
        </w:rPr>
        <w:t>中共塔什库尔干塔吉克自治县委员会办公室</w:t>
      </w:r>
    </w:p>
    <w:p w14:paraId="5E07E12A" w14:textId="77777777" w:rsidR="001D59F7" w:rsidRDefault="00000000">
      <w:pPr>
        <w:spacing w:line="57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项目负责人（签章）：</w:t>
      </w:r>
      <w:r>
        <w:rPr>
          <w:rStyle w:val="ad"/>
          <w:rFonts w:ascii="仿宋" w:eastAsia="仿宋" w:hAnsi="仿宋" w:cs="仿宋" w:hint="eastAsia"/>
          <w:b w:val="0"/>
          <w:bCs w:val="0"/>
          <w:spacing w:val="-4"/>
          <w:sz w:val="32"/>
          <w:szCs w:val="32"/>
        </w:rPr>
        <w:t>余涓</w:t>
      </w:r>
    </w:p>
    <w:p w14:paraId="6F55FB7F" w14:textId="77777777" w:rsidR="001D59F7" w:rsidRDefault="00000000">
      <w:pPr>
        <w:spacing w:line="540" w:lineRule="exact"/>
        <w:ind w:firstLineChars="100" w:firstLine="360"/>
        <w:rPr>
          <w:rStyle w:val="ad"/>
          <w:rFonts w:ascii="仿宋" w:eastAsia="仿宋" w:hAnsi="仿宋" w:cs="仿宋"/>
          <w:b w:val="0"/>
          <w:bCs w:val="0"/>
          <w:spacing w:val="-4"/>
          <w:sz w:val="32"/>
          <w:szCs w:val="32"/>
        </w:rPr>
      </w:pPr>
      <w:r>
        <w:rPr>
          <w:rFonts w:ascii="仿宋" w:eastAsia="仿宋" w:hAnsi="仿宋" w:cs="仿宋" w:hint="eastAsia"/>
          <w:kern w:val="0"/>
          <w:sz w:val="36"/>
          <w:szCs w:val="36"/>
        </w:rPr>
        <w:t>填报时间：</w:t>
      </w:r>
      <w:r>
        <w:rPr>
          <w:rStyle w:val="ad"/>
          <w:rFonts w:ascii="仿宋" w:eastAsia="仿宋" w:hAnsi="仿宋" w:cs="仿宋" w:hint="eastAsia"/>
          <w:b w:val="0"/>
          <w:bCs w:val="0"/>
          <w:spacing w:val="-4"/>
          <w:sz w:val="32"/>
          <w:szCs w:val="32"/>
        </w:rPr>
        <w:t>2023年03月08日</w:t>
      </w:r>
    </w:p>
    <w:p w14:paraId="509E1EE9" w14:textId="77777777" w:rsidR="001D59F7" w:rsidRDefault="00000000">
      <w:pPr>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br w:type="page"/>
      </w:r>
    </w:p>
    <w:p w14:paraId="5D14C083"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一、基本情况</w:t>
      </w:r>
    </w:p>
    <w:p w14:paraId="002A42B3" w14:textId="77777777" w:rsidR="001D59F7" w:rsidRDefault="00000000">
      <w:pPr>
        <w:spacing w:line="570" w:lineRule="exact"/>
        <w:ind w:firstLineChars="200" w:firstLine="627"/>
        <w:rPr>
          <w:rStyle w:val="ad"/>
          <w:rFonts w:ascii="方正楷体_GBK" w:eastAsia="方正楷体_GBK" w:hAnsi="方正楷体_GBK" w:cs="方正楷体_GBK"/>
          <w:bCs w:val="0"/>
          <w:spacing w:val="-4"/>
          <w:sz w:val="32"/>
          <w:szCs w:val="32"/>
        </w:rPr>
      </w:pPr>
      <w:r>
        <w:rPr>
          <w:rStyle w:val="ad"/>
          <w:rFonts w:ascii="楷体" w:eastAsia="楷体" w:hAnsi="楷体" w:cs="楷体" w:hint="eastAsia"/>
          <w:bCs w:val="0"/>
          <w:spacing w:val="-4"/>
          <w:sz w:val="32"/>
          <w:szCs w:val="32"/>
        </w:rPr>
        <w:t>（一）项目概况。包括项目背景、主要内容及实施情况、资金投入和使用情况等。</w:t>
      </w:r>
    </w:p>
    <w:p w14:paraId="704D901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（一）项目概况</w:t>
        <w:br/>
        <w:t>1. 项目背景</w:t>
        <w:br/>
        <w:t>本项目遵循财政部《项目支出绩效评价管理办法》（财预〔2020〕10号）和自治区财政厅《自治区财政支出绩效评价管理暂行办法》（新财预〔2018〕189号）等相关政策文件与规定，旨在三干会会议经费项目实施前期、过程及效果，评价财政预算资金使用的效率及效益。通过该项目的实施，贯彻落实中央、自治区、地区经济工作会议精神，按照各级党代会的部署要求，总结过去一年的工作，全面安排新的一年经济社会发展的任务措施，动员全县上下，进一步统一思想，坚定信心，全力以赴加快推进各项经济建设工作。</w:t>
        <w:br/>
        <w:t>2. 主要内容及实施情况</w:t>
        <w:br/>
        <w:t>本项目建设主要服务于县委扩大会议的召开，为参会人员制作参会证书，购买打印机油墨、打印纸、文具、文件袋等相关资料，保障参会人员的食宿条件，为县委扩大会的召开提供物质保障，期望通过该项目的实施切实有效地保障县委扩大会议的顺利召开，进一步统一思想、坚定信心、明确方向、鼓舞斗志，确保全县各级领导干部心往一处想、劲往一处使，扎实推动党的二十大决策部署在塔什库尔干县落地生根、开花结果。截止2022年12月31日，该项资金已支付17.73万元，项目已全部实施，保障了我乡2022年度扩大会议的顺利召开。</w:t>
        <w:br/>
        <w:t>3.项目实施主体</w:t>
        <w:br/>
        <w:t>中共塔什库尔干塔吉克自治县委员会办公室属于正科级单位，机关内设综合办公室、县委机要保密办公室、档案办公室、财务办公室。</w:t>
        <w:br/>
        <w:t>现有编制37名，其中:行政编制15人，工勤编制9人，事业编13人。年末实有总人数25人，退休17人。遗属补助10人。</w:t>
        <w:br/>
        <w:t>4. 资金投入和使用情况</w:t>
        <w:br/>
        <w:t>根据县级财力安排安排下达资金17.73万元，为一般公共预算资金，最终确定项目资金总数为17.73万元。</w:t>
        <w:br/>
        <w:t>截至2022年12月31日，实际支出17.73万元，预算执行率100%。</w:t>
      </w:r>
    </w:p>
    <w:p w14:paraId="6A9D8BA2"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（二）项目绩效目标。包括总体目标和阶段性目标。</w:t>
      </w:r>
    </w:p>
    <w:p w14:paraId="3902C6CE"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（二）项目绩效目标</w:t>
        <w:br/>
        <w:t>项目绩效目标包括项目绩效总目标和阶段性目标。</w:t>
        <w:br/>
        <w:t>1.项目绩效总目标</w:t>
        <w:br/>
        <w:t>为贯彻落实中央、自治区、地区各项会议精神，按照各级党代会的部署要求，总结过去一年的工作，全面安排新的一年经济社会发展的任务措施。该项目2022年共投入资金17.73万元，保障三干会会议的会期达到3天，三干会全体会议次数达到2次，保障参会人员达到300余人，期望通过该项目的实施切实有效地动员全县上下，进一步统一思想，坚定信心，全力以赴加快推进各项建设工作。</w:t>
        <w:br/>
        <w:t>2.阶段性目标</w:t>
        <w:br/>
        <w:t>为贯彻落实中央、自治区、地区各项会议精神，按照各级党代会的部署要求，总结过去一年的工作，全面安排新的一年经济社会发展的任务措施。该项目2022年共投入资金17.73万元，保障三干会会议的会期达到3天，三干会全体会议次数达到2次，保障参会人员达到300余人，期望通过该项目的实施切实有效地动员全县上下，进一步统一思想，坚定信心，全力以赴加快推进各项建设工作。</w:t>
      </w:r>
    </w:p>
    <w:p w14:paraId="3A919777"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二、绩效评价工作开展情况</w:t>
      </w:r>
    </w:p>
    <w:p w14:paraId="7E6C86C5"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（一）绩效评价目的、对象和范围。</w:t>
      </w:r>
    </w:p>
    <w:p w14:paraId="247B2BE7"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（一）绩效评价目的、对象和范围</w:t>
        <w:b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14:paraId="24500BF8"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（二）绩效评价原则、评价指标体系（附表说明）、评价方法、评价标准等。</w:t>
      </w:r>
    </w:p>
    <w:p w14:paraId="2DE7F4C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（二）绩效评价原则、评价指标体系、评价方法评价标准</w:t>
        <w:b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体系详见附件1。</w:t>
        <w:br/>
        <w:t>3. 绩效评价方法</w:t>
        <w:br/>
        <w:t>本次绩效评价方法的选用坚持简便有效的原则采用综合分析法。</w:t>
        <w:br/>
        <w:t>4. 绩效评价标准</w:t>
        <w:br/>
        <w:t>绩效评价标准通常包括计划标准、行业标准、历史标准等，用于对绩效指标完成情况进行比较、分析、评价。本次评价主要采用了计划标准、历史标准标准。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14:paraId="36A614F1"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（三）绩效评价工作过程。</w:t>
      </w:r>
    </w:p>
    <w:p w14:paraId="1C7E2031"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（三）绩效评价工作过程</w:t>
        <w:br/>
        <w:t>本次评价成立了评价工作组，成员如下：</w:t>
        <w:br/>
        <w:t>本次评价设计了评价方案、评价指标体系，通过资料分析、调研、访谈满意度调查等方式形成评价结论，在与项目单位沟通后确定评价意见，并出具评价报告。</w:t>
        <w:br/>
        <w:t>第一阶段：前期准备。认真学习相关要求与规定，成立绩效评价工作组，作为绩效评价工作具体实施机构。成员构成如下：</w:t>
        <w:br/>
        <w:t>王小刚任评价组组长，绩效评价工作职责为负责全盘工作。</w:t>
        <w:br/>
        <w:t>蒲晓军任评价组副组长，绩效评价工作职责为为对项目实施情况进行实地调查。</w:t>
        <w:br/>
        <w:t>李海艳、唐怀瑚任评价组成员，绩效评价工作职责为负责资料审核等工作。</w:t>
        <w:br/>
        <w:t>第二阶段：组织实施。经评价组通过实地调研、查阅资料等方式，采用综合分析法对项目的决策、管理、绩效进行的综合评价分析。</w:t>
        <w:br/>
        <w:t>第三阶段：分析评价。首先按照指标体系进行定量、定性分析。其次开展量化打分、综合评价工作，形成初步评价结论。最后归纳整体项目情况与存在问题，撰写部门绩效评价报告。</w:t>
      </w:r>
    </w:p>
    <w:p w14:paraId="2DA5CB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三、综合评价情况及评价结论</w:t>
      </w:r>
    </w:p>
    <w:p w14:paraId="4C8DDC1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（一）综合评价情况</w:t>
        <w:br/>
        <w:t>经评价组通过实地调研、综合分析法、问卷调查法等方式，主要采用综合分析法对项目的决策、实施、产出、效益进行综合评价分析，最终评分98分。</w:t>
        <w:br/>
        <w:t>三干会会议经费项目得分情况表</w:t>
        <w:br/>
        <w:t>一级指标	权重	得分率	实际得分</w:t>
        <w:br/>
        <w:t>项目决策	20	90%	18</w:t>
        <w:br/>
        <w:t>项目过程	20	100%	20</w:t>
        <w:br/>
        <w:t>项目产出	40	100%	40</w:t>
        <w:br/>
        <w:t>项目效益	20	100%	20</w:t>
        <w:br/>
        <w:t>合计	100	100%	100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本年度已完成三干会会议经费支出，主要用于参会人员食宿费以及购买会议用品等支出。此项目确保了本次会议顺利召开。该项目最终评分100分，绩效评级为“优”。</w:t>
      </w:r>
    </w:p>
    <w:p w14:paraId="7940CAF2" w14:textId="77777777" w:rsidR="001D59F7" w:rsidRDefault="00000000">
      <w:pPr>
        <w:spacing w:line="570" w:lineRule="exact"/>
        <w:ind w:firstLineChars="200" w:firstLine="624"/>
        <w:rPr>
          <w:rStyle w:val="ad"/>
          <w:rFonts w:ascii="黑体" w:eastAsia="黑体" w:hAnsi="黑体" w:cs="黑体"/>
          <w:b w:val="0"/>
          <w:sz w:val="32"/>
          <w:szCs w:val="32"/>
        </w:rPr>
      </w:pPr>
      <w:r>
        <w:rPr>
          <w:rStyle w:val="ad"/>
          <w:rFonts w:ascii="黑体" w:eastAsia="黑体" w:hAnsi="黑体" w:cs="黑体" w:hint="eastAsia"/>
          <w:b w:val="0"/>
          <w:spacing w:val="-4"/>
          <w:sz w:val="32"/>
          <w:szCs w:val="32"/>
        </w:rPr>
        <w:t xml:space="preserve">四、绩效评价指标分析 </w:t>
      </w:r>
    </w:p>
    <w:p w14:paraId="45B6A46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（一）项目决策情况。</w:t>
      </w:r>
    </w:p>
    <w:p w14:paraId="0ACD818C"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（一）项目决策情况</w:t>
        <w:br/>
        <w:t>项目决策类指标包括项目立项、绩效目标和资金投入三方面的内容，由6个三级指标构成，权重分为 20 分，实际得分18分，得分率为90%。</w:t>
        <w:br/>
        <w:t>项目决策指标得分情况</w:t>
        <w:br/>
        <w:t>三级指标	权重	得分率	实际得分</w:t>
        <w:br/>
        <w:t>立项依据充分性	3	100%	3</w:t>
        <w:br/>
        <w:t>立项程序规范性	2	100%	2</w:t>
        <w:br/>
        <w:t>绩效目标合理性	3	100%	3</w:t>
        <w:br/>
        <w:t>绩效指标明确性	2	100%	2</w:t>
        <w:br/>
        <w:t>预算编制科学性	5	80%	4</w:t>
        <w:br/>
        <w:t>资金分配合理性	5	80%	4</w:t>
        <w:br/>
        <w:t>合计	20	100%	18</w:t>
        <w:br/>
        <w:t>（1）立项依据充分性：结合中共塔什库尔干塔吉克自治县委员会办公室职责，并组织实施。围绕塔什库尔干塔吉克自治县年度工作重点和工作计划制定经费预算，根据评分标准，该指标不扣分，得3分。</w:t>
        <w:br/>
        <w:t>（2）立项程序规范性：根据决策依据编制工作计划和经费预算，经过与部门县政府分管领导进行沟通、筛选确定经费预算计划，上党委会研究确定最终预算方案，根据评分标准，该指标不扣分，得2分。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 预算编制经过科学论证，内容与项目内容匹配，项目投资额与工作任务相匹配，根据评分标准，该指标不扣分，得5分。</w:t>
        <w:br/>
        <w:t>（6）资金分配合理性：资金分配与实际相适应，根据评分标准，该指标不扣分，得5分。</w:t>
      </w:r>
    </w:p>
    <w:p w14:paraId="08EF9CF2"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（二）项目过程情况。</w:t>
      </w:r>
    </w:p>
    <w:p w14:paraId="6B64B585"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（二）项目过程情况</w:t>
        <w:br/>
        <w:t>项目过程类指标包括资金管理和组织实施两方面的内容，由 5个三级指标构成，权重分为20分，实际得分20 分，得分率为100%。</w:t>
        <w:br/>
        <w:t>项目过程指标得分情况</w:t>
        <w:br/>
        <w:t>三级指标	权重	得分率	实际得分</w:t>
        <w:br/>
        <w:t>资金到位率	5	100%	5</w:t>
        <w:br/>
        <w:t>预算执行率	5	100%	5</w:t>
        <w:br/>
        <w:t>资金使用合规性	5	100%	5</w:t>
        <w:br/>
        <w:t>管理制度健全性	2	100%	2</w:t>
        <w:br/>
        <w:t>制度执行	3	100%	3</w:t>
        <w:br/>
        <w:t>合计	20	100%	20</w:t>
        <w:br/>
        <w:t>（1）资金到位率：财政资金足额拨付到位，根据评分标准，该指标不扣分，得5分。   </w:t>
        <w:br/>
        <w:t>（2）预算执行率：预算编制较为详细，项目资金支出总体能够按照预算执行，根据评分标准，该指标不扣分，得5分。</w:t>
        <w:br/>
        <w:t>（3）资金使用合规性：制定了相关的制度和管理规定对经费使用进行规范管理，财务制度健全、执行严格，根据评分标准，该指标不扣分，得5分。</w:t>
        <w:br/>
        <w:t>（4）管理制度健全性：制定了相关管理办法，对财政专项资金进行严格管理，基本做到了专款专用，根据评分标准，该指标不扣分，得2分。</w:t>
        <w:br/>
        <w:t>（5）制度执行有效性：由部门提出经费预算支出可行性方案，经过与分管县领导沟通后，报党支部会议研究执行，财务对资金的使用合法合规性进行监督，年底对资金使用效果进行自评，根据评分标准，该指标不扣分，得3分。</w:t>
      </w:r>
    </w:p>
    <w:p w14:paraId="1194A5B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（三）项目产出情况。</w:t>
      </w:r>
    </w:p>
    <w:p w14:paraId="0EA5C3EF"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（三）项目产出情况</w:t>
        <w:br/>
        <w:t>项目产出类指标包括产出数量、产出质量、产出时效、产出成本四方面的内容，由4个三级指标构成，权重分为40分，实际得分40分，得分率为100%。</w:t>
        <w:br/>
        <w:t>项目产出指标得分情况</w:t>
        <w:br/>
        <w:t>三级指标	权重	得分率	实际得分</w:t>
        <w:br/>
        <w:t>产出数量	10	100%	10</w:t>
        <w:br/>
        <w:t>产出质量	10	100%	10</w:t>
        <w:br/>
        <w:t>产出时效	10	100%	10</w:t>
        <w:br/>
        <w:t>成本情况	10	100%	10</w:t>
        <w:br/>
        <w:t>合计	40	100%	40</w:t>
        <w:br/>
        <w:t>（1）对于“产出数量”</w:t>
        <w:br/>
        <w:t>三干会会议的会期3天，与预期目标一致，根据评分标准，该指标不扣分，得3分。</w:t>
        <w:br/>
        <w:t>三干会全体会议次数2次，与预期目标一致，根据评分标准，该指标不扣分，得3分。</w:t>
        <w:br/>
        <w:t>参加三干会会议人数300人，与预期目标一致，根据评分标准，该指标不扣分，得4分。</w:t>
        <w:br/>
        <w:t>合计得10分。</w:t>
        <w:br/>
        <w:t>（2）对于“产出质量”：</w:t>
        <w:br/>
        <w:t>会议既定议程完成率100%，与预期目标一致，根据评分标准，该指标不扣分，得10分。</w:t>
        <w:br/>
        <w:t>合计得10分。</w:t>
        <w:br/>
        <w:t>（3）对于“产出时效”：</w:t>
        <w:br/>
        <w:t>项目资金及时发放率100%，与预期目标一致，根据评分标准，该指标不扣分，得10分。</w:t>
        <w:br/>
        <w:t>合计得10分。</w:t>
        <w:br/>
        <w:t>（4）对于“产出成本”：</w:t>
        <w:br/>
        <w:t>参加三干会会议人员住宿费补助标准100元，项目经费都能控制绩效目标范围内，根据评分标准，该指标不扣分，得3分。</w:t>
        <w:br/>
        <w:t>参加三干会会议人员交通及误工补助标准70元，项目经费都能控制绩效目标范围内，根据评分标准，该指标不扣分，得3分。</w:t>
        <w:br/>
        <w:t>参加三干会会议人员餐费标准50元，项目经费都能控制绩效目标范围内，根据评分标准，该指标不扣分，得4分。</w:t>
        <w:br/>
        <w:t>合计得10分。</w:t>
      </w:r>
    </w:p>
    <w:p w14:paraId="085A5DA0"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（四）项目效益情况。</w:t>
      </w:r>
    </w:p>
    <w:p w14:paraId="0DC686A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（四）项目效益情况</w:t>
        <w:br/>
        <w:t>项目效益类指标包括项目效益1个方面的内容，由2个三级指标构成，权重分为20分，实际得分20分，得分率为100%。</w:t>
        <w:br/>
        <w:t>项目绩效指标得分情况</w:t>
        <w:br/>
        <w:t>三级指标	权重	得分率	实际得分</w:t>
        <w:br/>
        <w:t>实施效益	10	100%	10</w:t>
        <w:br/>
        <w:t>			</w:t>
        <w:br/>
        <w:t>满意度	10	100%	10</w:t>
        <w:br/>
        <w:t>合计	20	100%	20</w:t>
        <w:br/>
        <w:t></w:t>
        <w:br/>
        <w:t>1.实施效益指标：</w:t>
        <w:br/>
        <w:t>（1）对于“社会效益指标”：</w:t>
        <w:br/>
        <w:t>通过会议有效保障各项工作的开展，与预期指标一致，根据评分标准，该指标不扣分，得5分。</w:t>
        <w:br/>
        <w:t>（2）对于“可持续影响指标”：</w:t>
        <w:br/>
        <w:t>项目可持续影响年限1年，与预期指标一致，根据评分标准，该指标不扣分，得5分。</w:t>
        <w:br/>
        <w:t>实施效益指标合计得10分。</w:t>
        <w:br/>
        <w:t>（3）对于“经济效益指标”：</w:t>
        <w:br/>
        <w:t>本项目无该指标。</w:t>
        <w:br/>
        <w:t>（4）对于“生态效益指标”：</w:t>
        <w:br/>
        <w:t>本项目无该指标。</w:t>
        <w:br/>
        <w:t>2.满意度指标:</w:t>
        <w:br/>
        <w:t>对于“满意度指标：参加三干会会议人员满意度96%，与预期目标一致，根据评分标准，该指标不扣分,得10分。</w:t>
      </w:r>
    </w:p>
    <w:p w14:paraId="1427E7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五、预算执行进度与绩效指标偏差</w:t>
      </w:r>
    </w:p>
    <w:p w14:paraId="59F9E263" w14:textId="77777777" w:rsidR="001D59F7" w:rsidRDefault="00000000">
      <w:pPr>
        <w:spacing w:line="540" w:lineRule="exact"/>
        <w:ind w:firstLine="567"/>
        <w:rPr>
          <w:rFonts w:ascii="仿宋" w:eastAsia="仿宋" w:hAnsi="仿宋" w:cs="仿宋"/>
          <w:spacing w:val="-4"/>
          <w:sz w:val="32"/>
          <w:szCs w:val="32"/>
        </w:rPr>
      </w:pPr>
      <w:r>
        <w:rPr>
          <w:rStyle w:val="ad"/>
          <w:rFonts w:ascii="仿宋" w:eastAsia="仿宋" w:hAnsi="仿宋" w:cs="仿宋" w:hint="eastAsia"/>
          <w:b w:val="0"/>
          <w:bCs w:val="0"/>
          <w:spacing w:val="-4"/>
          <w:sz w:val="32"/>
          <w:szCs w:val="32"/>
        </w:rPr>
        <w:t>三干会会议经费项目预算17.73万元，到位17.73万元，实际支出17.73万元，预算执行率为100%，项目绩效指标总体完成率为100%，偏差率为0%。</w:t>
      </w:r>
    </w:p>
    <w:p w14:paraId="626EE800"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六、主要经验及做法、存在的问题及原因分析</w:t>
      </w:r>
    </w:p>
    <w:p w14:paraId="53C72163"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（一）主要经验及做法</w:t>
        <w:br/>
        <w:t>一是本项目能够严格按照《项目实施方案》执行，项目执行情况较好。二是加强组织领导，本项目绩效评价工作，有县委办主要领导亲自挂帅，分管县领导具体负责，从项目到资金，均能后很好的执行。三是加强沟通协调，我单位及时向县领导汇报项目建设进度，加强与施工单位的沟通，确保项目按期完工。</w:t>
        <w:br/>
        <w:t>（二）存在问题及原因分析</w:t>
        <w:b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1958C78E"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七、有关建议</w:t>
      </w:r>
    </w:p>
    <w:p w14:paraId="7DEC5E5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</w:t>
        <w:br/>
        <w:t>2.项目评价资料有待进一步完善。项目启动时同步做好档案的归纳与整理，及时整理、收集、汇总，健全档案资料。项目后续管理有待进一步加强和跟踪。</w:t>
        <w:br/>
        <w:t>3.通过绩效管理，发现实施中存在漏洞，以后加强管理，及时掌握与之相关的各类信息，减少成本，使资金效益最大化。</w:t>
        <w:br/>
        <w:t>4．评价工作应从项目实施方案源头抓起，评价工作和意识应贯穿项目整个过程。</w:t>
      </w:r>
    </w:p>
    <w:p w14:paraId="6FEBFB95"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八、其他需要说明的问题</w:t>
      </w:r>
    </w:p>
    <w:p w14:paraId="4B1F6429"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我单位对上述项目支出绩效评价报告内反映内容的真实性、完整性负责，接受上级部门及社会公众监督。</w:t>
      </w:r>
    </w:p>
    <w:p w14:paraId="0E525B6E" w14:textId="77777777" w:rsidR="001D59F7" w:rsidRDefault="001D59F7">
      <w:pPr>
        <w:spacing w:line="540" w:lineRule="exact"/>
        <w:ind w:firstLine="567"/>
        <w:rPr>
          <w:rStyle w:val="ad"/>
          <w:rFonts w:ascii="黑体" w:eastAsia="黑体" w:hAnsi="黑体" w:cs="黑体"/>
          <w:b w:val="0"/>
          <w:bCs w:val="0"/>
          <w:spacing w:val="-4"/>
          <w:sz w:val="32"/>
          <w:szCs w:val="32"/>
        </w:rPr>
      </w:pPr>
    </w:p>
    <w:p w14:paraId="088A38F8" w14:textId="77777777" w:rsidR="001D59F7" w:rsidRDefault="001D59F7">
      <w:pPr>
        <w:spacing w:line="540" w:lineRule="exact"/>
        <w:ind w:firstLine="567"/>
        <w:rPr>
          <w:rStyle w:val="ad"/>
          <w:rFonts w:ascii="黑体" w:eastAsia="黑体" w:hAnsi="黑体" w:cs="黑体"/>
          <w:b w:val="0"/>
          <w:bCs w:val="0"/>
          <w:spacing w:val="-4"/>
          <w:sz w:val="32"/>
          <w:szCs w:val="32"/>
        </w:rPr>
      </w:pPr>
    </w:p>
    <w:sectPr w:rsidR="001D59F7">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B848C" w14:textId="77777777" w:rsidR="00164EEB" w:rsidRDefault="00164EEB">
      <w:r>
        <w:separator/>
      </w:r>
    </w:p>
  </w:endnote>
  <w:endnote w:type="continuationSeparator" w:id="0">
    <w:p w14:paraId="6523E723" w14:textId="77777777" w:rsidR="00164EEB" w:rsidRDefault="00164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楷体_GBK">
    <w:altName w:val="微软雅黑"/>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Content>
      <w:p w14:paraId="703A45A3" w14:textId="77777777" w:rsidR="001D59F7" w:rsidRDefault="00000000">
        <w:pPr>
          <w:pStyle w:val="a5"/>
          <w:jc w:val="center"/>
        </w:pPr>
        <w:r>
          <w:fldChar w:fldCharType="begin"/>
        </w:r>
        <w:r>
          <w:instrText>PAGE   \* MERGEFORMAT</w:instrText>
        </w:r>
        <w:r>
          <w:fldChar w:fldCharType="separate"/>
        </w:r>
        <w:r>
          <w:rPr>
            <w:lang w:val="zh-CN"/>
          </w:rPr>
          <w:t>1</w:t>
        </w:r>
        <w:r>
          <w:fldChar w:fldCharType="end"/>
        </w:r>
      </w:p>
    </w:sdtContent>
  </w:sdt>
  <w:p w14:paraId="068E755B" w14:textId="77777777" w:rsidR="001D59F7" w:rsidRDefault="001D59F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971B1" w14:textId="77777777" w:rsidR="00164EEB" w:rsidRDefault="00164EEB">
      <w:r>
        <w:separator/>
      </w:r>
    </w:p>
  </w:footnote>
  <w:footnote w:type="continuationSeparator" w:id="0">
    <w:p w14:paraId="180509BF" w14:textId="77777777" w:rsidR="00164EEB" w:rsidRDefault="00164E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64EEB"/>
    <w:rsid w:val="00187874"/>
    <w:rsid w:val="001B3A40"/>
    <w:rsid w:val="001D59F7"/>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74CBE"/>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42E4B35"/>
    <w:rsid w:val="17C32CDD"/>
    <w:rsid w:val="2A880B33"/>
    <w:rsid w:val="2AE11386"/>
    <w:rsid w:val="2D4C6AD2"/>
    <w:rsid w:val="2D5A6638"/>
    <w:rsid w:val="340D5924"/>
    <w:rsid w:val="41EC1CB5"/>
    <w:rsid w:val="43B04001"/>
    <w:rsid w:val="4609551D"/>
    <w:rsid w:val="4D2606A1"/>
    <w:rsid w:val="4DD42C22"/>
    <w:rsid w:val="50796DE0"/>
    <w:rsid w:val="5DA521F6"/>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F965E3"/>
  <w15:docId w15:val="{5E203BB2-B778-493E-B8E8-15A84A71F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footer1.xml" Type="http://schemas.openxmlformats.org/officeDocument/2006/relationships/footer"/>
<Relationship Id="rId7" Target="fontTable.xml" Type="http://schemas.openxmlformats.org/officeDocument/2006/relationships/fontTable"/>
<Relationship Id="rId8"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Words>
  <Characters>593</Characters>
  <Application>Microsoft Office Word</Application>
  <DocSecurity>0</DocSecurity>
  <Lines>4</Lines>
  <Paragraphs>1</Paragraphs>
  <ScaleCrop>false</ScaleCrop>
  <Company>Microsoft</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易仁多</cp:lastModifiedBy>
  <cp:lastPrinted>2018-12-31T10:56:00Z</cp:lastPrinted>
  <dcterms:modified xsi:type="dcterms:W3CDTF">2023-03-14T11:09:00Z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2052-11.1.0.11405</vt:lpwstr>
  </property>
  <property fmtid="{D5CDD505-2E9C-101B-9397-08002B2CF9AE}" pid="3" name="ICV">
    <vt:lpwstr>B2EA7016946742F29F6179AB652E0BB8</vt:lpwstr>
  </property>
</Properties>
</file>