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5F9FF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6549FB3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77F7DCE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10A1144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A4537D7" w14:textId="77777777" w:rsidR="001D59F7" w:rsidRDefault="001D59F7">
      <w:pPr>
        <w:spacing w:line="57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C7C20A6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0FD6F93" w14:textId="20C65D18" w:rsidR="001D59F7" w:rsidRDefault="00000000"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</w:t>
      </w:r>
      <w:r w:rsidR="00D74CBE"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>部门单位项目支出绩效评价报告</w:t>
      </w:r>
    </w:p>
    <w:p w14:paraId="55AE2A33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595D187" w14:textId="77777777" w:rsidR="001D59F7" w:rsidRDefault="00000000"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Style w:val="ad"/>
          <w:rFonts w:ascii="仿宋_GB2312" w:eastAsia="仿宋_GB2312" w:hAnsi="楷体" w:hint="eastAsia"/>
          <w:spacing w:val="-4"/>
          <w:sz w:val="32"/>
          <w:szCs w:val="32"/>
        </w:rPr>
        <w:t>2022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2F93EA35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588CB5A4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9212BDF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89CD4F0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33A1ED9B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62514DE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379E8661" w14:textId="77777777" w:rsidR="001D59F7" w:rsidRDefault="00000000">
      <w:pPr>
        <w:spacing w:line="700" w:lineRule="exact"/>
        <w:ind w:firstLineChars="100" w:firstLine="36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项目名称：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国有土地出让金项目</w:t>
      </w:r>
    </w:p>
    <w:p w14:paraId="57960922" w14:textId="77777777" w:rsidR="001D59F7" w:rsidRDefault="00000000">
      <w:pPr>
        <w:spacing w:line="570" w:lineRule="exact"/>
        <w:ind w:firstLineChars="100" w:firstLine="36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实施单位（公章）：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喀什经济开发区塔什库尔干塔吉克自治县产业园</w:t>
      </w:r>
    </w:p>
    <w:p w14:paraId="31E94BA6" w14:textId="77777777" w:rsidR="001D59F7" w:rsidRDefault="00000000">
      <w:pPr>
        <w:spacing w:line="540" w:lineRule="exact"/>
        <w:ind w:firstLineChars="100" w:firstLine="36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主管部门（公章）：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塔什库尔干塔吉克自治县人民政府</w:t>
      </w:r>
    </w:p>
    <w:p w14:paraId="5E07E12A" w14:textId="77777777" w:rsidR="001D59F7" w:rsidRDefault="00000000">
      <w:pPr>
        <w:spacing w:line="570" w:lineRule="exact"/>
        <w:ind w:firstLineChars="100" w:firstLine="36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王勇</w:t>
      </w:r>
    </w:p>
    <w:p w14:paraId="6F55FB7F" w14:textId="77777777" w:rsidR="001D59F7" w:rsidRDefault="00000000">
      <w:pPr>
        <w:spacing w:line="540" w:lineRule="exact"/>
        <w:ind w:firstLineChars="100" w:firstLine="360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填报时间：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2023年03月10日</w:t>
      </w:r>
    </w:p>
    <w:p w14:paraId="509E1EE9" w14:textId="77777777" w:rsidR="001D59F7" w:rsidRDefault="00000000">
      <w:pPr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 w:type="page"/>
      </w:r>
    </w:p>
    <w:p w14:paraId="5D14C083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一、基本情况</w:t>
      </w:r>
    </w:p>
    <w:p w14:paraId="002A42B3" w14:textId="77777777" w:rsidR="001D59F7" w:rsidRDefault="00000000">
      <w:pPr>
        <w:spacing w:line="570" w:lineRule="exact"/>
        <w:ind w:firstLineChars="200" w:firstLine="627"/>
        <w:rPr>
          <w:rStyle w:val="ad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704D9016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（一）项目概况</w:t>
        <w:br/>
        <w:t>1. 项 目 背 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项目实施前期、过程及效果，评价财政预算资金使用的效率及效益。通过项目的实施，稳固提升产业园招商引资基础建设条件，确保土地竞买相关手续有序办理，有利于提高政府部门公信力，可持续带动增收50年以上，受益人员满意度95%以上。</w:t>
        <w:br/>
        <w:t>2. 主 要 内 容 及实施情况</w:t>
        <w:br/>
        <w:t>本项目建设主要服务于当地生产的发展，项目的实施对促进稳固提升产业园招商引资基础建设条件，确保土地竞买相关手续有序办理，有利于提高政府部门公信力。</w:t>
        <w:br/>
        <w:t>3.项目实施主体</w:t>
        <w:br/>
        <w:t>喀什经济开发区塔什库尔干塔吉克自治县产业园为事业单位。</w:t>
        <w:br/>
        <w:t>编制人数6人，其中：行政人员编制0人、工勤0人、参公0人、事业编制6人。实有在职人数2人，其中：行政在职0人、工勤0人、参公0人、事业在职2人。离退休人员0人，其中：行政退休人员0人、事业退休0人。</w:t>
        <w:br/>
        <w:t>4. 资金投入和使用情况</w:t>
        <w:br/>
        <w:t>喀什经济开发区塔什库尔干塔吉克自治县产业园【2020】16号共安排下达资金1860.85万元，为 一般公共预算资金，最终确定项目资金总数为1860.85万元。</w:t>
        <w:br/>
        <w:t>截至2022年12月31日，实际支出1860.85万元，预算执行率100%。</w:t>
      </w:r>
    </w:p>
    <w:p w14:paraId="6A9D8BA2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（二）项目绩效目标。包括总体目标和阶段性目标。</w:t>
      </w:r>
    </w:p>
    <w:p w14:paraId="3902C6CE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该项计划使用1860.85万，通过项目的实施，稳固提升产业园招商引资基础建设条件，确保土地竞买相关手续有序办理，有利于提高政府部门公信力。</w:t>
        <w:br/>
        <w:t>2.阶段性目标</w:t>
        <w:br/>
        <w:t>已完成项目的实施，稳固提升产了业园招商引资基础建设条件，确保了土地竞买相关手续有序办理，提高了政府部门公信力。</w:t>
      </w:r>
    </w:p>
    <w:p w14:paraId="3A919777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二、绩效评价工作开展情况</w:t>
      </w:r>
    </w:p>
    <w:p w14:paraId="7E6C86C5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（一）绩效评价目的、对象和范围。</w:t>
      </w:r>
    </w:p>
    <w:p w14:paraId="247B2BE7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（一）绩效评价目的、对象和范围</w:t>
        <w:br/>
        <w:t>1. 绩 效 评 价 目 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 w14:paraId="24500BF8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DE7F4C6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（二）绩效评价原则、评价指标体系、评价方法评价标准</w:t>
        <w:br/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4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1个二级指标。项目绩效评价体系详见附件1。</w:t>
        <w:br/>
        <w:t>3. 绩效评价方法</w:t>
        <w:br/>
        <w:t>本次绩效评价方法的选用坚持简便有效的原则采用综合分析法。采用定量与定性评价相结合的比较法，公众评判法，总分由各项指标得分汇总形成。</w:t>
        <w:br/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</w:t>
        <w:br/>
        <w:t>公众评判法：评价组采用实地访谈、远程访谈相结合方式，对本项目的实施情况进行充分调研，了解掌握资金分配、资金管理、资金使用、制度建设、制度执行情况。采用问卷调查方式，对受益对象开展满意度调查，进行综合评价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36A614F1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（三）绩效评价工作过程。</w:t>
      </w:r>
    </w:p>
    <w:p w14:paraId="1C7E2031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第一阶段：前期准备。认真学习相关要求与规定，成立绩效评价工作组，作为绩效评价工作具体实施机构。成员构成如下：</w:t>
        <w:br/>
        <w:t>张宗生任评价组组长，绩效评价工作职责为负责全盘工作。</w:t>
        <w:br/>
        <w:t>杨涛任评价组副组长，绩效评价工作职责为为对项目实施情况进行实地调查。</w:t>
        <w:br/>
        <w:t>艾木热姑丽任评价组成员，绩效评价工作职责为负责资料审核等工作。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 w14:paraId="2DA5CBF2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三、综合评价情况及评价结论</w:t>
      </w:r>
    </w:p>
    <w:p w14:paraId="4C8DDC14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国有土地出让金项目得分情况表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国有土地出让金项目已完成项目的实施，稳固提升产了业园招商引资基础建设条件，确保了土地竞买相关手续有序办理，有利于提高了政府部门公信力，该项目最终评分100分，绩效评级为“优”。</w:t>
      </w:r>
    </w:p>
    <w:p w14:paraId="7940CAF2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 w14:paraId="45B6A465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（一）项目决策情况。</w:t>
      </w:r>
    </w:p>
    <w:p w14:paraId="0ACD818C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 20 分，实际得分20分，得分率为100%。</w:t>
        <w:br/>
        <w:t>国有土地出让金项目决策指标得分情况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（1）立项依据充分性：结合喀什经济开发区塔什库尔干塔吉克自治县产业园职责，并组织实施。围绕2022年度工作重点和工作计划制定经费预算，根据评分标准，该指标不扣分，得3分。</w:t>
        <w:br/>
        <w:t>（2）立项程序规范性：根据决策依据编制工作计划和经费预算，经过张宗生分管领导进行沟通、筛选确定经费预算计划，上党委会研究确定最终预算方案，根据评分标准，该指标不扣分，得2分。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 w14:paraId="08EF9CF2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（二）项目过程情况。</w:t>
      </w:r>
    </w:p>
    <w:p w14:paraId="6B64B585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</w:t>
        <w:br/>
        <w:t xml:space="preserve">                                                  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（2）预算执行率：预算编制较为详细，项目资金支出总体能够按照预算执行，根据评分标准，该指标不扣分，得5分。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 w14:paraId="1194A5B5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（三）项目产出情况。</w:t>
      </w:r>
    </w:p>
    <w:p w14:paraId="0EA5C3EF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购买土地面积368113.50平方米，与预期目标一致，根据评分标准，该指标不扣分，得10分。</w:t>
        <w:br/>
        <w:t>合计得10分。</w:t>
        <w:br/>
        <w:t>（2）对于“产出质量”：</w:t>
        <w:br/>
        <w:t>土地级别等于5级，与预期目标一致，根据评分标准，该指标不扣分，得10分。</w:t>
        <w:br/>
        <w:t>合计得10分。</w:t>
        <w:br/>
        <w:t>（3）对于“产出时效”：</w:t>
        <w:br/>
        <w:t>资金支付时间项目完成时间2022年12月，与预期目标指标一致，根据评分标准，该指标不扣分，得5分。</w:t>
        <w:br/>
        <w:t>资金支付及时率100%，与预期目标一致，根据评分标准，该指标不扣分，得5分。</w:t>
        <w:br/>
        <w:t>合计得10分。</w:t>
        <w:br/>
        <w:t>（4）对于“产出成本”：</w:t>
        <w:br/>
        <w:t>本年支付购买土地投入金额1860.85万元，项目经费都能控制绩效目标范围内，根据评分标准，该指标不扣分，得10分。</w:t>
      </w:r>
    </w:p>
    <w:p w14:paraId="085A5DA0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（四）项目效益情况。</w:t>
      </w:r>
    </w:p>
    <w:p w14:paraId="0DC686A4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项目效益类指标包括项目效益1个方面的内容，由2个三级指标构成，权重分为20分，实际得分20分，得分率为97.50%。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提高政府部门公信力，与预期指标一致，根据评分标准，该指标不扣分，得5分。</w:t>
        <w:br/>
        <w:t>（2）对于“可持续影响指标”：</w:t>
        <w:br/>
        <w:t>可持续影响年限50年，与预期指标一致，根据评分标准，该指标不扣分，得5分。</w:t>
        <w:br/>
        <w:t>实施效益指标合计得10分。</w:t>
        <w:br/>
        <w:t>（3）对于“经济效益指标”：</w:t>
        <w:br/>
        <w:t>无</w:t>
        <w:br/>
        <w:t>（4）对于“生态效益指标”：</w:t>
        <w:br/>
        <w:t>无</w:t>
        <w:br/>
        <w:t>2.满意度指标:</w:t>
        <w:br/>
        <w:t>对于“满意度指标：政府机关满意度95%，与预期目标一致，根据评分标准，该指标不扣分,得10分。</w:t>
      </w:r>
    </w:p>
    <w:p w14:paraId="1427E7F2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五、预算执行进度与绩效指标偏差</w:t>
      </w:r>
    </w:p>
    <w:p w14:paraId="59F9E263" w14:textId="77777777" w:rsidR="001D59F7" w:rsidRDefault="00000000"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国有土地出让金项目预算1860.85万元，到位1860.85万元，实际支出1860.85万元，预算执行率为100%，项目绩效指标总体完成率为100%。</w:t>
      </w:r>
    </w:p>
    <w:p w14:paraId="626EE800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六、主要经验及做法、存在的问题及原因分析</w:t>
      </w:r>
    </w:p>
    <w:p w14:paraId="53C72163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绩效评价工作，有县政府主要领导亲自挂帅，分管县领导具体负责，从项目到资金，均能后很好的执行。三是加强沟通协调。</w:t>
        <w:br/>
        <w:t>（二）存在问题及原因分析</w:t>
        <w:br/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 w14:paraId="1958C78E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七、有关建议</w:t>
      </w:r>
    </w:p>
    <w:p w14:paraId="7DEC5E56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2.项目评价资料有待进一步完善。项目启动时同步做好档案的归纳与整理，及时整理、收集、汇总，健全档案资料。项目后续管理有待进一步加强和跟踪。</w:t>
        <w:br/>
        <w:t>3.通过绩效管理，发现实施中存在漏洞，以后加强管理，及时掌握与之相关的各类信息，减少成本，使资金效益最大化。</w:t>
        <w:br/>
        <w:t>4．评价工作应从项目实施方案源头抓起，评价工作和意识应贯穿项目整个过程。</w:t>
      </w:r>
    </w:p>
    <w:p w14:paraId="6FEBFB95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八、其他需要说明的问题</w:t>
      </w:r>
    </w:p>
    <w:p w14:paraId="4B1F6429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 w14:paraId="0E525B6E" w14:textId="77777777" w:rsidR="001D59F7" w:rsidRDefault="001D59F7">
      <w:pPr>
        <w:spacing w:line="540" w:lineRule="exact"/>
        <w:ind w:firstLine="567"/>
        <w:rPr>
          <w:rStyle w:val="ad"/>
          <w:rFonts w:ascii="黑体" w:eastAsia="黑体" w:hAnsi="黑体" w:cs="黑体"/>
          <w:b w:val="0"/>
          <w:bCs w:val="0"/>
          <w:spacing w:val="-4"/>
          <w:sz w:val="32"/>
          <w:szCs w:val="32"/>
        </w:rPr>
      </w:pPr>
    </w:p>
    <w:p w14:paraId="088A38F8" w14:textId="77777777" w:rsidR="001D59F7" w:rsidRDefault="001D59F7">
      <w:pPr>
        <w:spacing w:line="540" w:lineRule="exact"/>
        <w:ind w:firstLine="567"/>
        <w:rPr>
          <w:rStyle w:val="ad"/>
          <w:rFonts w:ascii="黑体" w:eastAsia="黑体" w:hAnsi="黑体" w:cs="黑体"/>
          <w:b w:val="0"/>
          <w:bCs w:val="0"/>
          <w:spacing w:val="-4"/>
          <w:sz w:val="32"/>
          <w:szCs w:val="32"/>
        </w:rPr>
      </w:pPr>
    </w:p>
    <w:sectPr w:rsidR="001D59F7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848C" w14:textId="77777777" w:rsidR="00164EEB" w:rsidRDefault="00164EEB">
      <w:r>
        <w:separator/>
      </w:r>
    </w:p>
  </w:endnote>
  <w:endnote w:type="continuationSeparator" w:id="0">
    <w:p w14:paraId="6523E723" w14:textId="77777777" w:rsidR="00164EEB" w:rsidRDefault="0016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703A45A3" w14:textId="77777777" w:rsidR="001D59F7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68E755B" w14:textId="77777777" w:rsidR="001D59F7" w:rsidRDefault="001D59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71B1" w14:textId="77777777" w:rsidR="00164EEB" w:rsidRDefault="00164EEB">
      <w:r>
        <w:separator/>
      </w:r>
    </w:p>
  </w:footnote>
  <w:footnote w:type="continuationSeparator" w:id="0">
    <w:p w14:paraId="180509BF" w14:textId="77777777" w:rsidR="00164EEB" w:rsidRDefault="00164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64EEB"/>
    <w:rsid w:val="00187874"/>
    <w:rsid w:val="001B3A40"/>
    <w:rsid w:val="001D59F7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74CBE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42E4B35"/>
    <w:rsid w:val="17C32CDD"/>
    <w:rsid w:val="2A880B33"/>
    <w:rsid w:val="2AE11386"/>
    <w:rsid w:val="2D4C6AD2"/>
    <w:rsid w:val="2D5A6638"/>
    <w:rsid w:val="340D5924"/>
    <w:rsid w:val="41EC1CB5"/>
    <w:rsid w:val="43B04001"/>
    <w:rsid w:val="4609551D"/>
    <w:rsid w:val="4D2606A1"/>
    <w:rsid w:val="4DD42C22"/>
    <w:rsid w:val="50796DE0"/>
    <w:rsid w:val="5DA521F6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F965E3"/>
  <w15:docId w15:val="{5E203BB2-B778-493E-B8E8-15A84A71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footer1.xml" Type="http://schemas.openxmlformats.org/officeDocument/2006/relationships/footer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易仁多</cp:lastModifiedBy>
  <cp:lastPrinted>2018-12-31T10:56:00Z</cp:lastPrinted>
  <dcterms:modified xsi:type="dcterms:W3CDTF">2023-03-14T11:09:00Z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B2EA7016946742F29F6179AB652E0BB8</vt:lpwstr>
  </property>
</Properties>
</file>