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5F9FF" w14:textId="77777777" w:rsidR="001D59F7" w:rsidRDefault="001D59F7">
      <w:pPr>
        <w:spacing w:line="570" w:lineRule="exact"/>
        <w:jc w:val="center"/>
        <w:rPr>
          <w:rFonts w:ascii="华文中宋" w:eastAsia="华文中宋" w:hAnsi="华文中宋" w:cs="宋体"/>
          <w:b/>
          <w:kern w:val="0"/>
          <w:sz w:val="52"/>
          <w:szCs w:val="52"/>
        </w:rPr>
      </w:pPr>
    </w:p>
    <w:p w14:paraId="46549FB3" w14:textId="77777777" w:rsidR="001D59F7" w:rsidRDefault="001D59F7">
      <w:pPr>
        <w:spacing w:line="570" w:lineRule="exact"/>
        <w:jc w:val="center"/>
        <w:rPr>
          <w:rFonts w:ascii="华文中宋" w:eastAsia="华文中宋" w:hAnsi="华文中宋" w:cs="宋体"/>
          <w:b/>
          <w:kern w:val="0"/>
          <w:sz w:val="52"/>
          <w:szCs w:val="52"/>
        </w:rPr>
      </w:pPr>
    </w:p>
    <w:p w14:paraId="377F7DCE" w14:textId="77777777" w:rsidR="001D59F7" w:rsidRDefault="001D59F7">
      <w:pPr>
        <w:spacing w:line="570" w:lineRule="exact"/>
        <w:jc w:val="center"/>
        <w:rPr>
          <w:rFonts w:ascii="华文中宋" w:eastAsia="华文中宋" w:hAnsi="华文中宋" w:cs="宋体"/>
          <w:b/>
          <w:kern w:val="0"/>
          <w:sz w:val="52"/>
          <w:szCs w:val="52"/>
        </w:rPr>
      </w:pPr>
    </w:p>
    <w:p w14:paraId="310A1144" w14:textId="77777777" w:rsidR="001D59F7" w:rsidRDefault="001D59F7">
      <w:pPr>
        <w:spacing w:line="570" w:lineRule="exact"/>
        <w:jc w:val="center"/>
        <w:rPr>
          <w:rFonts w:ascii="华文中宋" w:eastAsia="华文中宋" w:hAnsi="华文中宋" w:cs="宋体"/>
          <w:b/>
          <w:kern w:val="0"/>
          <w:sz w:val="52"/>
          <w:szCs w:val="52"/>
        </w:rPr>
      </w:pPr>
    </w:p>
    <w:p w14:paraId="6A4537D7" w14:textId="77777777" w:rsidR="001D59F7" w:rsidRDefault="001D59F7">
      <w:pPr>
        <w:spacing w:line="570" w:lineRule="exact"/>
        <w:rPr>
          <w:rFonts w:ascii="华文中宋" w:eastAsia="华文中宋" w:hAnsi="华文中宋" w:cs="宋体"/>
          <w:b/>
          <w:kern w:val="0"/>
          <w:sz w:val="52"/>
          <w:szCs w:val="52"/>
        </w:rPr>
      </w:pPr>
    </w:p>
    <w:p w14:paraId="7C7C20A6" w14:textId="77777777" w:rsidR="001D59F7" w:rsidRDefault="001D59F7">
      <w:pPr>
        <w:spacing w:line="570" w:lineRule="exact"/>
        <w:jc w:val="center"/>
        <w:rPr>
          <w:rFonts w:ascii="华文中宋" w:eastAsia="华文中宋" w:hAnsi="华文中宋" w:cs="宋体"/>
          <w:b/>
          <w:kern w:val="0"/>
          <w:sz w:val="52"/>
          <w:szCs w:val="52"/>
        </w:rPr>
      </w:pPr>
    </w:p>
    <w:p w14:paraId="40FD6F93" w14:textId="20C65D18" w:rsidR="001D59F7" w:rsidRDefault="00000000">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w:t>
      </w:r>
      <w:r w:rsidR="00D74CBE">
        <w:rPr>
          <w:rFonts w:ascii="方正小标宋_GBK" w:eastAsia="方正小标宋_GBK" w:hAnsi="华文中宋" w:cs="宋体" w:hint="eastAsia"/>
          <w:b/>
          <w:kern w:val="0"/>
          <w:sz w:val="44"/>
          <w:szCs w:val="44"/>
        </w:rPr>
        <w:t>部门单位项目支出绩效评价报告</w:t>
      </w:r>
    </w:p>
    <w:p w14:paraId="55AE2A33" w14:textId="77777777" w:rsidR="001D59F7" w:rsidRDefault="001D59F7">
      <w:pPr>
        <w:spacing w:line="570" w:lineRule="exact"/>
        <w:jc w:val="center"/>
        <w:rPr>
          <w:rFonts w:ascii="华文中宋" w:eastAsia="华文中宋" w:hAnsi="华文中宋" w:cs="宋体"/>
          <w:b/>
          <w:kern w:val="0"/>
          <w:sz w:val="52"/>
          <w:szCs w:val="52"/>
        </w:rPr>
      </w:pPr>
    </w:p>
    <w:p w14:paraId="1595D187" w14:textId="77777777" w:rsidR="001D59F7" w:rsidRDefault="00000000">
      <w:pPr>
        <w:spacing w:line="57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仿宋_GB2312" w:eastAsia="仿宋_GB2312" w:hAnsi="楷体" w:hint="eastAsia"/>
          <w:spacing w:val="-4"/>
          <w:sz w:val="32"/>
          <w:szCs w:val="32"/>
        </w:rPr>
        <w:t>2022</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F93EA35" w14:textId="77777777" w:rsidR="001D59F7" w:rsidRDefault="001D59F7">
      <w:pPr>
        <w:spacing w:line="570" w:lineRule="exact"/>
        <w:jc w:val="center"/>
        <w:rPr>
          <w:rFonts w:eastAsia="仿宋_GB2312" w:hAnsi="宋体" w:cs="宋体"/>
          <w:kern w:val="0"/>
          <w:sz w:val="30"/>
          <w:szCs w:val="30"/>
        </w:rPr>
      </w:pPr>
    </w:p>
    <w:p w14:paraId="588CB5A4" w14:textId="77777777" w:rsidR="001D59F7" w:rsidRDefault="001D59F7">
      <w:pPr>
        <w:spacing w:line="570" w:lineRule="exact"/>
        <w:jc w:val="center"/>
        <w:rPr>
          <w:rFonts w:eastAsia="仿宋_GB2312" w:hAnsi="宋体" w:cs="宋体"/>
          <w:kern w:val="0"/>
          <w:sz w:val="30"/>
          <w:szCs w:val="30"/>
        </w:rPr>
      </w:pPr>
    </w:p>
    <w:p w14:paraId="29212BDF" w14:textId="77777777" w:rsidR="001D59F7" w:rsidRDefault="001D59F7">
      <w:pPr>
        <w:spacing w:line="570" w:lineRule="exact"/>
        <w:jc w:val="center"/>
        <w:rPr>
          <w:rFonts w:eastAsia="仿宋_GB2312" w:hAnsi="宋体" w:cs="宋体"/>
          <w:kern w:val="0"/>
          <w:sz w:val="30"/>
          <w:szCs w:val="30"/>
        </w:rPr>
      </w:pPr>
    </w:p>
    <w:p w14:paraId="789CD4F0" w14:textId="77777777" w:rsidR="001D59F7" w:rsidRDefault="001D59F7">
      <w:pPr>
        <w:spacing w:line="570" w:lineRule="exact"/>
        <w:jc w:val="center"/>
        <w:rPr>
          <w:rFonts w:eastAsia="仿宋_GB2312" w:hAnsi="宋体" w:cs="宋体"/>
          <w:kern w:val="0"/>
          <w:sz w:val="30"/>
          <w:szCs w:val="30"/>
        </w:rPr>
      </w:pPr>
    </w:p>
    <w:p w14:paraId="33A1ED9B" w14:textId="77777777" w:rsidR="001D59F7" w:rsidRDefault="001D59F7">
      <w:pPr>
        <w:spacing w:line="570" w:lineRule="exact"/>
        <w:jc w:val="center"/>
        <w:rPr>
          <w:rFonts w:eastAsia="仿宋_GB2312" w:hAnsi="宋体" w:cs="宋体"/>
          <w:kern w:val="0"/>
          <w:sz w:val="30"/>
          <w:szCs w:val="30"/>
        </w:rPr>
      </w:pPr>
    </w:p>
    <w:p w14:paraId="662514DE" w14:textId="77777777" w:rsidR="001D59F7" w:rsidRDefault="001D59F7">
      <w:pPr>
        <w:spacing w:line="570" w:lineRule="exact"/>
        <w:jc w:val="center"/>
        <w:rPr>
          <w:rFonts w:eastAsia="仿宋_GB2312" w:hAnsi="宋体" w:cs="宋体"/>
          <w:kern w:val="0"/>
          <w:sz w:val="30"/>
          <w:szCs w:val="30"/>
        </w:rPr>
      </w:pPr>
    </w:p>
    <w:p w14:paraId="379E8661" w14:textId="77777777" w:rsidR="001D59F7" w:rsidRDefault="00000000">
      <w:pPr>
        <w:spacing w:line="70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项目名称：</w:t>
      </w:r>
      <w:r>
        <w:rPr>
          <w:rStyle w:val="ad"/>
          <w:rFonts w:ascii="仿宋" w:eastAsia="仿宋" w:hAnsi="仿宋" w:cs="仿宋" w:hint="eastAsia"/>
          <w:b w:val="0"/>
          <w:bCs w:val="0"/>
          <w:spacing w:val="-4"/>
          <w:sz w:val="32"/>
          <w:szCs w:val="32"/>
        </w:rPr>
        <w:t>2022年县自治区基层人大补助经费</w:t>
      </w:r>
    </w:p>
    <w:p w14:paraId="57960922" w14:textId="77777777" w:rsidR="001D59F7" w:rsidRDefault="00000000">
      <w:pPr>
        <w:spacing w:line="57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实施单位（公章）：</w:t>
      </w:r>
      <w:r>
        <w:rPr>
          <w:rStyle w:val="ad"/>
          <w:rFonts w:ascii="仿宋" w:eastAsia="仿宋" w:hAnsi="仿宋" w:cs="仿宋" w:hint="eastAsia"/>
          <w:b w:val="0"/>
          <w:bCs w:val="0"/>
          <w:spacing w:val="-4"/>
          <w:sz w:val="32"/>
          <w:szCs w:val="32"/>
        </w:rPr>
        <w:t>塔什库尔干塔吉克自治县人民代表大会常务委员会办公室（本级）</w:t>
      </w:r>
    </w:p>
    <w:p w14:paraId="31E94BA6" w14:textId="77777777" w:rsidR="001D59F7" w:rsidRDefault="00000000">
      <w:pPr>
        <w:spacing w:line="54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主管部门（公章）：</w:t>
      </w:r>
      <w:r>
        <w:rPr>
          <w:rStyle w:val="ad"/>
          <w:rFonts w:ascii="仿宋" w:eastAsia="仿宋" w:hAnsi="仿宋" w:cs="仿宋" w:hint="eastAsia"/>
          <w:b w:val="0"/>
          <w:bCs w:val="0"/>
          <w:spacing w:val="-4"/>
          <w:sz w:val="32"/>
          <w:szCs w:val="32"/>
        </w:rPr>
        <w:t>塔什库尔干塔吉克自治县人民代表大会常务委员会办公室</w:t>
      </w:r>
    </w:p>
    <w:p w14:paraId="5E07E12A" w14:textId="77777777" w:rsidR="001D59F7" w:rsidRDefault="00000000">
      <w:pPr>
        <w:spacing w:line="57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项目负责人（签章）：</w:t>
      </w:r>
      <w:r>
        <w:rPr>
          <w:rStyle w:val="ad"/>
          <w:rFonts w:ascii="仿宋" w:eastAsia="仿宋" w:hAnsi="仿宋" w:cs="仿宋" w:hint="eastAsia"/>
          <w:b w:val="0"/>
          <w:bCs w:val="0"/>
          <w:spacing w:val="-4"/>
          <w:sz w:val="32"/>
          <w:szCs w:val="32"/>
        </w:rPr>
        <w:t>张三月</w:t>
      </w:r>
    </w:p>
    <w:p w14:paraId="6F55FB7F" w14:textId="77777777" w:rsidR="001D59F7" w:rsidRDefault="00000000">
      <w:pPr>
        <w:spacing w:line="540" w:lineRule="exact"/>
        <w:ind w:firstLineChars="100" w:firstLine="360"/>
        <w:rPr>
          <w:rStyle w:val="ad"/>
          <w:rFonts w:ascii="仿宋" w:eastAsia="仿宋" w:hAnsi="仿宋" w:cs="仿宋"/>
          <w:b w:val="0"/>
          <w:bCs w:val="0"/>
          <w:spacing w:val="-4"/>
          <w:sz w:val="32"/>
          <w:szCs w:val="32"/>
        </w:rPr>
      </w:pPr>
      <w:r>
        <w:rPr>
          <w:rFonts w:ascii="仿宋" w:eastAsia="仿宋" w:hAnsi="仿宋" w:cs="仿宋" w:hint="eastAsia"/>
          <w:kern w:val="0"/>
          <w:sz w:val="36"/>
          <w:szCs w:val="36"/>
        </w:rPr>
        <w:t>填报时间：</w:t>
      </w:r>
      <w:r>
        <w:rPr>
          <w:rStyle w:val="ad"/>
          <w:rFonts w:ascii="仿宋" w:eastAsia="仿宋" w:hAnsi="仿宋" w:cs="仿宋" w:hint="eastAsia"/>
          <w:b w:val="0"/>
          <w:bCs w:val="0"/>
          <w:spacing w:val="-4"/>
          <w:sz w:val="32"/>
          <w:szCs w:val="32"/>
        </w:rPr>
        <w:t>2023年03月09日</w:t>
      </w:r>
    </w:p>
    <w:p w14:paraId="509E1EE9" w14:textId="77777777" w:rsidR="001D59F7" w:rsidRDefault="00000000">
      <w:pPr>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br w:type="page"/>
      </w:r>
    </w:p>
    <w:p w14:paraId="5D14C083"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一、基本情况</w:t>
      </w:r>
    </w:p>
    <w:p w14:paraId="002A42B3" w14:textId="77777777" w:rsidR="001D59F7" w:rsidRDefault="00000000">
      <w:pPr>
        <w:spacing w:line="570" w:lineRule="exact"/>
        <w:ind w:firstLineChars="200" w:firstLine="627"/>
        <w:rPr>
          <w:rStyle w:val="ad"/>
          <w:rFonts w:ascii="方正楷体_GBK" w:eastAsia="方正楷体_GBK" w:hAnsi="方正楷体_GBK" w:cs="方正楷体_GBK"/>
          <w:bCs w:val="0"/>
          <w:spacing w:val="-4"/>
          <w:sz w:val="32"/>
          <w:szCs w:val="32"/>
        </w:rPr>
      </w:pPr>
      <w:r>
        <w:rPr>
          <w:rStyle w:val="ad"/>
          <w:rFonts w:ascii="楷体" w:eastAsia="楷体" w:hAnsi="楷体" w:cs="楷体" w:hint="eastAsia"/>
          <w:bCs w:val="0"/>
          <w:spacing w:val="-4"/>
          <w:sz w:val="32"/>
          <w:szCs w:val="32"/>
        </w:rPr>
        <w:t>（一）项目概况。包括项目背景、主要内容及实施情况、资金投入和使用情况等。</w:t>
      </w:r>
    </w:p>
    <w:p w14:paraId="704D901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旨在评价2022年县自治区基层人大补助经费项目实施前期、过程及效果，评价财政预算资金使用的效率及效益。通过该项目的实施，解决各级人大代表调研视察餐费、交通费、误工费等办公各项费用。</w:t>
        <w:br/>
        <w:t>2. 主要内容及实施情况</w:t>
        <w:br/>
        <w:t>此项目的实施对象为2022年县自治区基层人大补助经费项目，本项目为完成解决各级人大代表调研视察餐费、交通费、误工费等办公各项费用。主要内容包括：贯彻落实中央、自治区、地区人大工作会议精神，结合我县实际，遵循重要性的原则，选定基层人大补助资金11万元，作为2022年财政支出绩效目标评价项目，符合规定要求。本项目实施前，我单位制定《2022年县自治区基层人大补助经费资金实施计划》，积极与县财政局对接，及时上报此专项补助经费使用计划，住宿费按实际市场价格进行预算，交通费根据路途远近据实进行资金测算，项目实施过程中严格按照实施方案进行实施并及时进行绩效监督管理，项目实施后进行及时整改和完善及验收。</w:t>
        <w:br/>
        <w:t>3.项目实施主体</w:t>
        <w:br/>
        <w:t>塔县人大为全额行政单位，纳入2022年部门决算编制范围的有3个办公室：人大办公室、代表人事委员会办公室、农村经济委员会办公室</w:t>
        <w:br/>
        <w:t>编制人数16人，其中：行政人员编制11人、工勤3人、参公0人、事业编制2人。实有在职人数19人，其中：行政在职15人、工勤3人、参公0人、事业在职1人。离退休人员21人，其中：行政退休人员21人、事业退休0人。 </w:t>
        <w:br/>
        <w:t>4. 资金投入和使用情况</w:t>
        <w:br/>
        <w:t>喀地财行【2022】11号共安排下达资金11万元，为上级补助资金，最终确定项目资金总数为11万元。</w:t>
        <w:br/>
        <w:t>截至2022年12月31日，实际支出11万元，预算执行率100%。</w:t>
      </w:r>
    </w:p>
    <w:p w14:paraId="6A9D8BA2"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（二）项目绩效目标。包括总体目标和阶段性目标。</w:t>
      </w:r>
    </w:p>
    <w:p w14:paraId="3902C6CE"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项目绩效目标包括项目绩效总目标和阶段性目标。</w:t>
        <w:br/>
        <w:t>1.项目绩效总目标</w:t>
        <w:br/>
        <w:t>2022年县自治区基层人大补助经费11万元，保障基层人大工作的正常运转，项目资金11万元主要用于：1、保障基层人大工作的正常运转，购买办公用品4批次，购买办公设备3台；2、基层人大代表开展调研视察人数17人，保障基层人大代表公务用车7辆经费；3、召开基层代表工作会议2次，支付代表餐费、交通费及误工费等；4、保障自治区人大代表及其他出差人员差费。改善办公条件，提高公共服务水平，受益人员满意度95%以上。</w:t>
        <w:br/>
        <w:t>2.阶段性目标</w:t>
        <w:br/>
        <w:t>本项目实施前，我单位制定《2022年县自治区基层人大补助资金实施计划》，积极与县财政局对接，及时上报此专项补助经费使用计划，项目实施过程中严格按照实施方案进行实施并及时进行监督管理，项目实施后进行及时验收。</w:t>
      </w:r>
    </w:p>
    <w:p w14:paraId="3A919777"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二、绩效评价工作开展情况</w:t>
      </w:r>
    </w:p>
    <w:p w14:paraId="7E6C86C5"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（一）绩效评价目的、对象和范围。</w:t>
      </w:r>
    </w:p>
    <w:p w14:paraId="247B2BE7"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14:paraId="24500BF8"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（二）绩效评价原则、评价指标体系（附表说明）、评价方法、评价标准等。</w:t>
      </w:r>
    </w:p>
    <w:p w14:paraId="2DE7F4C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</w:t>
        <w:br/>
        <w:t>3. 绩效评价方法</w:t>
        <w:br/>
        <w:t>本次绩效评价方法的选用坚持简便有效的原则采用综合分析法。采用定量与定性评价相结合的比较法，公众评判法，总分由各项指标得分汇总形成。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14:paraId="36A614F1"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（三）绩效评价工作过程。</w:t>
      </w:r>
    </w:p>
    <w:p w14:paraId="1C7E2031"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董玉玺任评价组组长，绩效评价工作职责为负责全盘工作。</w:t>
        <w:br/>
        <w:t>对张三月任评价组副组长，绩效评价工作职责为为对项目实施情况进行实地调查。</w:t>
        <w:br/>
        <w:t>杨彦祯任评价组成员，绩效评价工作职责为负责资料审核等工作。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14:paraId="2DA5CB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三、综合评价情况及评价结论</w:t>
      </w:r>
    </w:p>
    <w:p w14:paraId="4C8DDC1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（一）综合评价情况</w:t>
        <w:br/>
        <w:t>经评价组通过实地调研、综合分析法、问卷调查法等方式，主要采用综合分析法对项目的决策、实施、产出、效益进行综合评价分析，最终评分100分。</w:t>
        <w:br/>
        <w:t>2022年县自治区基层人大补助经费项目得分情况表</w:t>
        <w:br/>
        <w:t>一级指标	权重	得分率	实际得分</w:t>
        <w:br/>
        <w:t>项目决策	20	100%	20</w:t>
        <w:br/>
        <w:t>项目过程	20	100%	20</w:t>
        <w:br/>
        <w:t>项目产出	40	100%	40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2022年县自治区基层人大补助经费项目已完成计划11万元，已完成2022年县自治区基层人大补助经费支出，用于开展代表视察、专题调研、办复提案、课题研究、反映社情民意等相关工作，为保障基层人大工作的正常运转，购买办公用品4批次，购买办公设备3台；基层人大代表开展调研视察人数10人，保障基层人大代表公务用车7辆经费；召开基层代表工作会议2次，支付代表餐费、交通费及误工费等。推动了人大机关工作正常运转产生良好的社会效益。该项目最终评分100分，绩效评级为“优”。</w:t>
      </w:r>
    </w:p>
    <w:p w14:paraId="7940CAF2" w14:textId="77777777" w:rsidR="001D59F7" w:rsidRDefault="00000000">
      <w:pPr>
        <w:spacing w:line="570" w:lineRule="exact"/>
        <w:ind w:firstLineChars="200" w:firstLine="624"/>
        <w:rPr>
          <w:rStyle w:val="ad"/>
          <w:rFonts w:ascii="黑体" w:eastAsia="黑体" w:hAnsi="黑体" w:cs="黑体"/>
          <w:b w:val="0"/>
          <w:sz w:val="32"/>
          <w:szCs w:val="32"/>
        </w:rPr>
      </w:pPr>
      <w:r>
        <w:rPr>
          <w:rStyle w:val="ad"/>
          <w:rFonts w:ascii="黑体" w:eastAsia="黑体" w:hAnsi="黑体" w:cs="黑体" w:hint="eastAsia"/>
          <w:b w:val="0"/>
          <w:spacing w:val="-4"/>
          <w:sz w:val="32"/>
          <w:szCs w:val="32"/>
        </w:rPr>
        <w:t xml:space="preserve">四、绩效评价指标分析 </w:t>
      </w:r>
    </w:p>
    <w:p w14:paraId="45B6A46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（一）项目决策情况。</w:t>
      </w:r>
    </w:p>
    <w:p w14:paraId="0ACD818C"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（一）项目决策情况</w:t>
        <w:br/>
        <w:t>项目决策类指标包括项目立项、绩效目标和资金投入三方面的内容，由6个三级指标构成，权重分为 20 分，实际得分20分，得分率为100%。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（1）立项依据充分性：结合人大职责，并组织实施。围绕塔什库尔干县年度工作重点和工作计划制定经费预算，根据评分标准，该指标不扣分，得3分。</w:t>
        <w:br/>
        <w:t>（2）立项程序规范性：根据决策依据编制工作计划和经费预算，经过与董玉玺分管领导进行沟通、筛选确定经费预算计划，上党委会研究确定最终预算方案，根据评分标准，该指标不扣分，得2分。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预算编制经过科学论证，内容与项目内容匹配，项目投资额与工作任务相匹配，根据评分标准，该指标不扣分，得5分。</w:t>
        <w:br/>
        <w:t>（6）资金分配合理性：资金分配与实际相适应，根据评分标准，该指标不扣分，得5分。</w:t>
      </w:r>
    </w:p>
    <w:p w14:paraId="08EF9CF2"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（二）项目过程情况。</w:t>
      </w:r>
    </w:p>
    <w:p w14:paraId="6B64B585"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（二）项目过程情况</w:t>
        <w:br/>
        <w:t>项目过程类指标包括资金管理和组织实施两方面的内容，由 5个三级指标构成，权重分为20分，实际得分20 分，得分率为100%。</w:t>
        <w:br/>
        <w:t>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（1）资金到位率：财政资金足额拨付到位，牵头单位能够及时足额按照合同约定将专项资金拨付给联合体单位，根据评分标准，该指标不扣分，得5分。   </w:t>
        <w:br/>
        <w:t>（2）预算执行率：预算编制较为详细，项目资金支出总体能够按照预算执行，根据评分标准，该指标不扣分，得5分。</w:t>
        <w:br/>
        <w:t>（3）资金使用合规性：制定了相关的制度和管理规定对经费使用进行规范管理，财务制度健全、执行严格，根据评分标准，该指标不扣分，得5分。</w:t>
        <w:br/>
        <w:t>（4）管理制度健全性：制定了党校相关管理办法，对财政专项资金进行严格管理，基本做到了专款专用，根据评分标准，该指标不扣分，得2分。</w:t>
        <w:b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14:paraId="1194A5B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（三）项目产出情况。</w:t>
      </w:r>
    </w:p>
    <w:p w14:paraId="0EA5C3EF"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（三）项目产出情况</w:t>
        <w:br/>
        <w:t>项目产出类指标包括产出数量、产出质量、产出时效、产出成本四方面的内容，由4个三级指标构成，权重分为40分，实际得分40分，得分率为100%。</w:t>
        <w:br/>
        <w:t>项目产出指标得分情况</w:t>
        <w:br/>
        <w:t>三级指标	权重	得分率	实际得分</w:t>
        <w:br/>
        <w:t>产出数量	10	100%	10</w:t>
        <w:br/>
        <w:t>产出质量	10	100%	10</w:t>
        <w:br/>
        <w:t>产出时效	10	100%	10</w:t>
        <w:br/>
        <w:t>成本情况	10	100%	10</w:t>
        <w:br/>
        <w:t>合计	40	100%	40</w:t>
        <w:br/>
        <w:t>（1）对于“产出数量”</w:t>
        <w:br/>
        <w:t>公务用车数量7辆，与预期目标一致，根据评分标准，该指标不扣分，得2分。</w:t>
        <w:br/>
        <w:t>购置办公用品4批次，与预期目标一致，根据评分标准，该指标不扣分，得2分。</w:t>
        <w:br/>
        <w:t>办公设备购置台数3台，与预期目标一致，根据评分标准，该指标不扣分，得2分。</w:t>
        <w:br/>
        <w:t>会议次数2次，与预期目标一致，根据评分标准，该指标不扣分，得2分。</w:t>
        <w:br/>
        <w:t>差旅出勤人数10人，与预期目标一致，根据评分标准，该指标不扣分，得2分。</w:t>
        <w:br/>
        <w:t>合计得10分。</w:t>
        <w:br/>
        <w:t>（2）对于“产出质量”：</w:t>
        <w:br/>
        <w:t>购置办公用品合格率100%，与预期目标一致，根据评分标准，该指标不扣分，得4分。</w:t>
        <w:br/>
        <w:t>差旅费报账及时率100%，与预期目标一致，根据评分标准，该指标不扣分，得3分。</w:t>
        <w:br/>
        <w:t>补助资金使用率100%，与预期目标一致，根据评分标准，该指标不扣分，得3分。</w:t>
        <w:br/>
        <w:t>合计得10分。</w:t>
        <w:br/>
        <w:t>（3）对于“产出时效”：</w:t>
        <w:br/>
        <w:t>补助资金拨付及时率100%，与预期目标一致，根据评分标准，该指标不扣分，得5分。</w:t>
        <w:br/>
        <w:t>项目完成时间2022年12月，与预期目标一致，根据评分标准，该指标不扣分，得5分。</w:t>
        <w:br/>
        <w:t>合计得10分。</w:t>
        <w:br/>
        <w:t>（4）对于“产出成本”：</w:t>
        <w:br/>
        <w:t>办公用品购置经费3.1万元，项目资金都能控制绩效目标范围内，根据评分标准，该指标不扣分，得2分。</w:t>
        <w:br/>
        <w:t>办公设备购置经费2.5万元，项目资金都能控制绩效目标范围内，根据评分标准，该指标不扣分，得2分。</w:t>
        <w:br/>
        <w:t>车辆保障成本2万元，项目资金都能控制绩效目标范围内，根据评分标准，该指标不扣分，得2分。</w:t>
        <w:br/>
        <w:t>会议经费1万元，项目资金都能控制绩效目标范围内，根据评分标准，该指标不扣分，得2分。</w:t>
        <w:br/>
        <w:t>差旅费经费2.4万元，项目资金都能控制绩效目标范围内，根据评分标准，该指标不扣分，得2分。</w:t>
        <w:br/>
        <w:t>合计得分10分</w:t>
      </w:r>
    </w:p>
    <w:p w14:paraId="085A5DA0"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（四）项目效益情况。</w:t>
      </w:r>
    </w:p>
    <w:p w14:paraId="0DC686A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项目效益类指标包括项目效益1个方面的内容，由2个三级指标构成，权重分为20分，实际得分20分，得分率为100%。</w:t>
        <w:br/>
        <w:t>项目绩效指标得分情况</w:t>
        <w:br/>
        <w:t>三级指标	权重	得分率	实际得分</w:t>
        <w:br/>
        <w:t>实施效益	10	100%	10</w:t>
        <w:br/>
        <w:t>			</w:t>
        <w:br/>
        <w:t>满意度	10	100%	10</w:t>
        <w:br/>
        <w:t>合计	20	100%	20</w:t>
        <w:br/>
        <w:t>1.实施效益指标：</w:t>
        <w:br/>
        <w:t>（1）对于“社会效益指标”：</w:t>
        <w:br/>
        <w:t>保障人大机关工作正常运转，与预期指标一致，根据评分标准，该指标不扣分，得5分。</w:t>
        <w:br/>
        <w:t>（2）对于“可持续影响指标”：</w:t>
        <w:br/>
        <w:t>持续提升公共服务水平保障年限1年，与预期指标一致，根据评分标准，该指标不扣分，得5分。</w:t>
        <w:br/>
        <w:t>实施效益指标合计得10分。</w:t>
        <w:br/>
        <w:t>（3）对于“经济效益指标”：</w:t>
        <w:br/>
        <w:t>本项目无该指标。</w:t>
        <w:br/>
        <w:t>（4）对于“生态效益指标”：</w:t>
        <w:br/>
        <w:t>本项目无该指标。</w:t>
        <w:br/>
        <w:t>实施效益指标合计得10分。</w:t>
        <w:br/>
        <w:t>2.满意度指标:</w:t>
        <w:br/>
        <w:t>对于“满意度指标：受益基层人大满意度98%，与预期目标一致，根据评分标准，该指标不扣分,得10分。</w:t>
      </w:r>
    </w:p>
    <w:p w14:paraId="1427E7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五、预算执行进度与绩效指标偏差</w:t>
      </w:r>
    </w:p>
    <w:p w14:paraId="59F9E263" w14:textId="77777777" w:rsidR="001D59F7" w:rsidRDefault="00000000">
      <w:pPr>
        <w:spacing w:line="540" w:lineRule="exact"/>
        <w:ind w:firstLine="567"/>
        <w:rPr>
          <w:rFonts w:ascii="仿宋" w:eastAsia="仿宋" w:hAnsi="仿宋" w:cs="仿宋"/>
          <w:spacing w:val="-4"/>
          <w:sz w:val="32"/>
          <w:szCs w:val="32"/>
        </w:rPr>
      </w:pPr>
      <w:r>
        <w:rPr>
          <w:rStyle w:val="ad"/>
          <w:rFonts w:ascii="仿宋" w:eastAsia="仿宋" w:hAnsi="仿宋" w:cs="仿宋" w:hint="eastAsia"/>
          <w:b w:val="0"/>
          <w:bCs w:val="0"/>
          <w:spacing w:val="-4"/>
          <w:sz w:val="32"/>
          <w:szCs w:val="32"/>
        </w:rPr>
        <w:t>2022年县自治区基层人大补助经费项目预算11万元，到位11万元，实际支出11万元，预算行项执目绩效指标总体完成率为100%，无偏差。</w:t>
      </w:r>
    </w:p>
    <w:p w14:paraId="626EE800"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六、主要经验及做法、存在的问题及原因分析</w:t>
      </w:r>
    </w:p>
    <w:p w14:paraId="53C72163"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（一）主要经验及做法</w:t>
        <w:br/>
        <w:t>一是本项目能够严格按照《项目实施方案》执行，项目执行情况较好。二是加强与上级财政部门的沟通协调，我单位积极主动的与财政部门对接，确保项目按期完成。</w:t>
        <w:br/>
        <w:t>（二）存在问题及原因分析</w:t>
        <w:br/>
        <w:t>1、领导不重视绩效工作，对绩效工作不上心不过问，缺乏支持。</w:t>
        <w:br/>
        <w:t>2、绩效工作人员对项目不了解，缺乏文件的解读。</w:t>
      </w:r>
    </w:p>
    <w:p w14:paraId="1958C78E"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七、有关建议</w:t>
      </w:r>
    </w:p>
    <w:p w14:paraId="7DEC5E5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加强绩效工作培训，提高财务人员工作效率。</w:t>
      </w:r>
    </w:p>
    <w:p w14:paraId="6FEBFB95"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八、其他需要说明的问题</w:t>
      </w:r>
    </w:p>
    <w:p w14:paraId="4B1F6429"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我单位对上述项目支出绩效评价报告内反映内容的真实性、完整性负责，接受上级部门及社会公众监督。</w:t>
      </w:r>
    </w:p>
    <w:p w14:paraId="0E525B6E" w14:textId="77777777" w:rsidR="001D59F7" w:rsidRDefault="001D59F7">
      <w:pPr>
        <w:spacing w:line="540" w:lineRule="exact"/>
        <w:ind w:firstLine="567"/>
        <w:rPr>
          <w:rStyle w:val="ad"/>
          <w:rFonts w:ascii="黑体" w:eastAsia="黑体" w:hAnsi="黑体" w:cs="黑体"/>
          <w:b w:val="0"/>
          <w:bCs w:val="0"/>
          <w:spacing w:val="-4"/>
          <w:sz w:val="32"/>
          <w:szCs w:val="32"/>
        </w:rPr>
      </w:pPr>
    </w:p>
    <w:p w14:paraId="088A38F8" w14:textId="77777777" w:rsidR="001D59F7" w:rsidRDefault="001D59F7">
      <w:pPr>
        <w:spacing w:line="540" w:lineRule="exact"/>
        <w:ind w:firstLine="567"/>
        <w:rPr>
          <w:rStyle w:val="ad"/>
          <w:rFonts w:ascii="黑体" w:eastAsia="黑体" w:hAnsi="黑体" w:cs="黑体"/>
          <w:b w:val="0"/>
          <w:bCs w:val="0"/>
          <w:spacing w:val="-4"/>
          <w:sz w:val="32"/>
          <w:szCs w:val="32"/>
        </w:rPr>
      </w:pPr>
    </w:p>
    <w:sectPr w:rsidR="001D59F7">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B848C" w14:textId="77777777" w:rsidR="00164EEB" w:rsidRDefault="00164EEB">
      <w:r>
        <w:separator/>
      </w:r>
    </w:p>
  </w:endnote>
  <w:endnote w:type="continuationSeparator" w:id="0">
    <w:p w14:paraId="6523E723" w14:textId="77777777" w:rsidR="00164EEB" w:rsidRDefault="0016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微软雅黑"/>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703A45A3" w14:textId="77777777" w:rsidR="001D59F7" w:rsidRDefault="00000000">
        <w:pPr>
          <w:pStyle w:val="a5"/>
          <w:jc w:val="center"/>
        </w:pPr>
        <w:r>
          <w:fldChar w:fldCharType="begin"/>
        </w:r>
        <w:r>
          <w:instrText>PAGE   \* MERGEFORMAT</w:instrText>
        </w:r>
        <w:r>
          <w:fldChar w:fldCharType="separate"/>
        </w:r>
        <w:r>
          <w:rPr>
            <w:lang w:val="zh-CN"/>
          </w:rPr>
          <w:t>1</w:t>
        </w:r>
        <w:r>
          <w:fldChar w:fldCharType="end"/>
        </w:r>
      </w:p>
    </w:sdtContent>
  </w:sdt>
  <w:p w14:paraId="068E755B" w14:textId="77777777" w:rsidR="001D59F7" w:rsidRDefault="001D59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971B1" w14:textId="77777777" w:rsidR="00164EEB" w:rsidRDefault="00164EEB">
      <w:r>
        <w:separator/>
      </w:r>
    </w:p>
  </w:footnote>
  <w:footnote w:type="continuationSeparator" w:id="0">
    <w:p w14:paraId="180509BF" w14:textId="77777777" w:rsidR="00164EEB" w:rsidRDefault="00164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2E4B35"/>
    <w:rsid w:val="17C32CDD"/>
    <w:rsid w:val="2A880B33"/>
    <w:rsid w:val="2AE11386"/>
    <w:rsid w:val="2D4C6AD2"/>
    <w:rsid w:val="2D5A6638"/>
    <w:rsid w:val="340D5924"/>
    <w:rsid w:val="41EC1CB5"/>
    <w:rsid w:val="43B04001"/>
    <w:rsid w:val="4609551D"/>
    <w:rsid w:val="4D2606A1"/>
    <w:rsid w:val="4DD42C22"/>
    <w:rsid w:val="50796DE0"/>
    <w:rsid w:val="5DA521F6"/>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965E3"/>
  <w15:docId w15:val="{5E203BB2-B778-493E-B8E8-15A84A71F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footer1.xml" Type="http://schemas.openxmlformats.org/officeDocument/2006/relationships/footer"/>
<Relationship Id="rId7" Target="fontTable.xml" Type="http://schemas.openxmlformats.org/officeDocument/2006/relationships/fontTable"/>
<Relationship Id="rId8"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Words>
  <Characters>593</Characters>
  <Application>Microsoft Office Word</Application>
  <DocSecurity>0</DocSecurity>
  <Lines>4</Lines>
  <Paragraphs>1</Paragraphs>
  <ScaleCrop>false</ScaleCrop>
  <Company>Microsoft</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易仁多</cp:lastModifiedBy>
  <cp:lastPrinted>2018-12-31T10:56:00Z</cp:lastPrinted>
  <dcterms:modified xsi:type="dcterms:W3CDTF">2023-03-14T11:09:00Z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B2EA7016946742F29F6179AB652E0BB8</vt:lpwstr>
  </property>
</Properties>
</file>