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5F9FF" w14:textId="77777777" w:rsidR="001D59F7" w:rsidRDefault="001D59F7">
      <w:pPr>
        <w:spacing w:line="570" w:lineRule="exact"/>
        <w:jc w:val="center"/>
        <w:rPr>
          <w:rFonts w:ascii="华文中宋" w:eastAsia="华文中宋" w:hAnsi="华文中宋" w:cs="宋体"/>
          <w:b/>
          <w:kern w:val="0"/>
          <w:sz w:val="52"/>
          <w:szCs w:val="52"/>
        </w:rPr>
      </w:pPr>
    </w:p>
    <w:p w14:paraId="46549FB3" w14:textId="77777777" w:rsidR="001D59F7" w:rsidRDefault="001D59F7">
      <w:pPr>
        <w:spacing w:line="570" w:lineRule="exact"/>
        <w:jc w:val="center"/>
        <w:rPr>
          <w:rFonts w:ascii="华文中宋" w:eastAsia="华文中宋" w:hAnsi="华文中宋" w:cs="宋体"/>
          <w:b/>
          <w:kern w:val="0"/>
          <w:sz w:val="52"/>
          <w:szCs w:val="52"/>
        </w:rPr>
      </w:pPr>
    </w:p>
    <w:p w14:paraId="377F7DCE" w14:textId="77777777" w:rsidR="001D59F7" w:rsidRDefault="001D59F7">
      <w:pPr>
        <w:spacing w:line="570" w:lineRule="exact"/>
        <w:jc w:val="center"/>
        <w:rPr>
          <w:rFonts w:ascii="华文中宋" w:eastAsia="华文中宋" w:hAnsi="华文中宋" w:cs="宋体"/>
          <w:b/>
          <w:kern w:val="0"/>
          <w:sz w:val="52"/>
          <w:szCs w:val="52"/>
        </w:rPr>
      </w:pPr>
    </w:p>
    <w:p w14:paraId="310A1144" w14:textId="77777777" w:rsidR="001D59F7" w:rsidRDefault="001D59F7">
      <w:pPr>
        <w:spacing w:line="570" w:lineRule="exact"/>
        <w:jc w:val="center"/>
        <w:rPr>
          <w:rFonts w:ascii="华文中宋" w:eastAsia="华文中宋" w:hAnsi="华文中宋" w:cs="宋体"/>
          <w:b/>
          <w:kern w:val="0"/>
          <w:sz w:val="52"/>
          <w:szCs w:val="52"/>
        </w:rPr>
      </w:pPr>
    </w:p>
    <w:p w14:paraId="6A4537D7" w14:textId="77777777" w:rsidR="001D59F7" w:rsidRDefault="001D59F7">
      <w:pPr>
        <w:spacing w:line="570" w:lineRule="exact"/>
        <w:rPr>
          <w:rFonts w:ascii="华文中宋" w:eastAsia="华文中宋" w:hAnsi="华文中宋" w:cs="宋体"/>
          <w:b/>
          <w:kern w:val="0"/>
          <w:sz w:val="52"/>
          <w:szCs w:val="52"/>
        </w:rPr>
      </w:pPr>
    </w:p>
    <w:p w14:paraId="7C7C20A6" w14:textId="77777777" w:rsidR="001D59F7" w:rsidRDefault="001D59F7">
      <w:pPr>
        <w:spacing w:line="570" w:lineRule="exact"/>
        <w:jc w:val="center"/>
        <w:rPr>
          <w:rFonts w:ascii="华文中宋" w:eastAsia="华文中宋" w:hAnsi="华文中宋" w:cs="宋体"/>
          <w:b/>
          <w:kern w:val="0"/>
          <w:sz w:val="52"/>
          <w:szCs w:val="52"/>
        </w:rPr>
      </w:pPr>
    </w:p>
    <w:p w14:paraId="40FD6F93" w14:textId="20C65D18" w:rsidR="001D59F7" w:rsidRDefault="00000000">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w:t>
      </w:r>
      <w:r w:rsidR="00D74CBE">
        <w:rPr>
          <w:rFonts w:ascii="方正小标宋_GBK" w:eastAsia="方正小标宋_GBK" w:hAnsi="华文中宋" w:cs="宋体" w:hint="eastAsia"/>
          <w:b/>
          <w:kern w:val="0"/>
          <w:sz w:val="44"/>
          <w:szCs w:val="44"/>
        </w:rPr>
        <w:t>部门单位项目支出绩效评价报告</w:t>
      </w:r>
    </w:p>
    <w:p w14:paraId="55AE2A33" w14:textId="77777777" w:rsidR="001D59F7" w:rsidRDefault="001D59F7">
      <w:pPr>
        <w:spacing w:line="570" w:lineRule="exact"/>
        <w:jc w:val="center"/>
        <w:rPr>
          <w:rFonts w:ascii="华文中宋" w:eastAsia="华文中宋" w:hAnsi="华文中宋" w:cs="宋体"/>
          <w:b/>
          <w:kern w:val="0"/>
          <w:sz w:val="52"/>
          <w:szCs w:val="52"/>
        </w:rPr>
      </w:pPr>
    </w:p>
    <w:p w14:paraId="1595D187" w14:textId="77777777" w:rsidR="001D59F7" w:rsidRDefault="00000000">
      <w:pPr>
        <w:spacing w:line="57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ascii="仿宋_GB2312" w:eastAsia="仿宋_GB2312" w:hAnsi="楷体" w:hint="eastAsia"/>
          <w:spacing w:val="-4"/>
          <w:sz w:val="32"/>
          <w:szCs w:val="32"/>
        </w:rPr>
        <w:t>2022</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2F93EA35" w14:textId="77777777" w:rsidR="001D59F7" w:rsidRDefault="001D59F7">
      <w:pPr>
        <w:spacing w:line="570" w:lineRule="exact"/>
        <w:jc w:val="center"/>
        <w:rPr>
          <w:rFonts w:eastAsia="仿宋_GB2312" w:hAnsi="宋体" w:cs="宋体"/>
          <w:kern w:val="0"/>
          <w:sz w:val="30"/>
          <w:szCs w:val="30"/>
        </w:rPr>
      </w:pPr>
    </w:p>
    <w:p w14:paraId="588CB5A4" w14:textId="77777777" w:rsidR="001D59F7" w:rsidRDefault="001D59F7">
      <w:pPr>
        <w:spacing w:line="570" w:lineRule="exact"/>
        <w:jc w:val="center"/>
        <w:rPr>
          <w:rFonts w:eastAsia="仿宋_GB2312" w:hAnsi="宋体" w:cs="宋体"/>
          <w:kern w:val="0"/>
          <w:sz w:val="30"/>
          <w:szCs w:val="30"/>
        </w:rPr>
      </w:pPr>
    </w:p>
    <w:p w14:paraId="29212BDF" w14:textId="77777777" w:rsidR="001D59F7" w:rsidRDefault="001D59F7">
      <w:pPr>
        <w:spacing w:line="570" w:lineRule="exact"/>
        <w:jc w:val="center"/>
        <w:rPr>
          <w:rFonts w:eastAsia="仿宋_GB2312" w:hAnsi="宋体" w:cs="宋体"/>
          <w:kern w:val="0"/>
          <w:sz w:val="30"/>
          <w:szCs w:val="30"/>
        </w:rPr>
      </w:pPr>
    </w:p>
    <w:p w14:paraId="789CD4F0" w14:textId="77777777" w:rsidR="001D59F7" w:rsidRDefault="001D59F7">
      <w:pPr>
        <w:spacing w:line="570" w:lineRule="exact"/>
        <w:jc w:val="center"/>
        <w:rPr>
          <w:rFonts w:eastAsia="仿宋_GB2312" w:hAnsi="宋体" w:cs="宋体"/>
          <w:kern w:val="0"/>
          <w:sz w:val="30"/>
          <w:szCs w:val="30"/>
        </w:rPr>
      </w:pPr>
    </w:p>
    <w:p w14:paraId="33A1ED9B" w14:textId="77777777" w:rsidR="001D59F7" w:rsidRDefault="001D59F7">
      <w:pPr>
        <w:spacing w:line="570" w:lineRule="exact"/>
        <w:jc w:val="center"/>
        <w:rPr>
          <w:rFonts w:eastAsia="仿宋_GB2312" w:hAnsi="宋体" w:cs="宋体"/>
          <w:kern w:val="0"/>
          <w:sz w:val="30"/>
          <w:szCs w:val="30"/>
        </w:rPr>
      </w:pPr>
    </w:p>
    <w:p w14:paraId="662514DE" w14:textId="77777777" w:rsidR="001D59F7" w:rsidRDefault="001D59F7">
      <w:pPr>
        <w:spacing w:line="570" w:lineRule="exact"/>
        <w:jc w:val="center"/>
        <w:rPr>
          <w:rFonts w:eastAsia="仿宋_GB2312" w:hAnsi="宋体" w:cs="宋体"/>
          <w:kern w:val="0"/>
          <w:sz w:val="30"/>
          <w:szCs w:val="30"/>
        </w:rPr>
      </w:pPr>
    </w:p>
    <w:p w14:paraId="379E8661" w14:textId="77777777" w:rsidR="001D59F7" w:rsidRDefault="00000000">
      <w:pPr>
        <w:spacing w:line="700" w:lineRule="exact"/>
        <w:ind w:firstLineChars="100" w:firstLine="360"/>
        <w:jc w:val="left"/>
        <w:rPr>
          <w:rFonts w:ascii="仿宋" w:eastAsia="仿宋" w:hAnsi="仿宋" w:cs="仿宋"/>
          <w:kern w:val="0"/>
          <w:sz w:val="32"/>
          <w:szCs w:val="32"/>
        </w:rPr>
      </w:pPr>
      <w:r>
        <w:rPr>
          <w:rFonts w:ascii="仿宋" w:eastAsia="仿宋" w:hAnsi="仿宋" w:cs="仿宋" w:hint="eastAsia"/>
          <w:kern w:val="0"/>
          <w:sz w:val="36"/>
          <w:szCs w:val="36"/>
        </w:rPr>
        <w:t>项目名称：</w:t>
      </w:r>
      <w:r>
        <w:rPr>
          <w:rStyle w:val="ad"/>
          <w:rFonts w:ascii="仿宋" w:eastAsia="仿宋" w:hAnsi="仿宋" w:cs="仿宋" w:hint="eastAsia"/>
          <w:b w:val="0"/>
          <w:bCs w:val="0"/>
          <w:spacing w:val="-4"/>
          <w:sz w:val="32"/>
          <w:szCs w:val="32"/>
        </w:rPr>
        <w:t>2022年县政协副主席的爱国宗教人士生活补助项目</w:t>
      </w:r>
    </w:p>
    <w:p w14:paraId="57960922" w14:textId="77777777" w:rsidR="001D59F7" w:rsidRDefault="00000000">
      <w:pPr>
        <w:spacing w:line="570" w:lineRule="exact"/>
        <w:ind w:firstLineChars="100" w:firstLine="360"/>
        <w:jc w:val="left"/>
        <w:rPr>
          <w:rFonts w:ascii="仿宋" w:eastAsia="仿宋" w:hAnsi="仿宋" w:cs="仿宋"/>
          <w:kern w:val="0"/>
          <w:sz w:val="32"/>
          <w:szCs w:val="32"/>
        </w:rPr>
      </w:pPr>
      <w:r>
        <w:rPr>
          <w:rFonts w:ascii="仿宋" w:eastAsia="仿宋" w:hAnsi="仿宋" w:cs="仿宋" w:hint="eastAsia"/>
          <w:kern w:val="0"/>
          <w:sz w:val="36"/>
          <w:szCs w:val="36"/>
        </w:rPr>
        <w:t>实施单位（公章）：</w:t>
      </w:r>
      <w:r>
        <w:rPr>
          <w:rStyle w:val="ad"/>
          <w:rFonts w:ascii="仿宋" w:eastAsia="仿宋" w:hAnsi="仿宋" w:cs="仿宋" w:hint="eastAsia"/>
          <w:b w:val="0"/>
          <w:bCs w:val="0"/>
          <w:spacing w:val="-4"/>
          <w:sz w:val="32"/>
          <w:szCs w:val="32"/>
        </w:rPr>
        <w:t>中国人民政治协商会议塔什库尔干塔吉克自治县委员会办公室（本级）</w:t>
      </w:r>
    </w:p>
    <w:p w14:paraId="31E94BA6" w14:textId="77777777" w:rsidR="001D59F7" w:rsidRDefault="00000000">
      <w:pPr>
        <w:spacing w:line="540" w:lineRule="exact"/>
        <w:ind w:firstLineChars="100" w:firstLine="360"/>
        <w:rPr>
          <w:rFonts w:ascii="仿宋" w:eastAsia="仿宋" w:hAnsi="仿宋" w:cs="仿宋"/>
          <w:spacing w:val="-4"/>
          <w:sz w:val="32"/>
          <w:szCs w:val="32"/>
        </w:rPr>
      </w:pPr>
      <w:r>
        <w:rPr>
          <w:rFonts w:ascii="仿宋" w:eastAsia="仿宋" w:hAnsi="仿宋" w:cs="仿宋" w:hint="eastAsia"/>
          <w:kern w:val="0"/>
          <w:sz w:val="36"/>
          <w:szCs w:val="36"/>
        </w:rPr>
        <w:t>主管部门（公章）：</w:t>
      </w:r>
      <w:r>
        <w:rPr>
          <w:rStyle w:val="ad"/>
          <w:rFonts w:ascii="仿宋" w:eastAsia="仿宋" w:hAnsi="仿宋" w:cs="仿宋" w:hint="eastAsia"/>
          <w:b w:val="0"/>
          <w:bCs w:val="0"/>
          <w:spacing w:val="-4"/>
          <w:sz w:val="32"/>
          <w:szCs w:val="32"/>
        </w:rPr>
        <w:t>中国人民政治协商会议塔什库尔干塔吉克自治县委员会</w:t>
      </w:r>
    </w:p>
    <w:p w14:paraId="5E07E12A" w14:textId="77777777" w:rsidR="001D59F7" w:rsidRDefault="00000000">
      <w:pPr>
        <w:spacing w:line="570" w:lineRule="exact"/>
        <w:ind w:firstLineChars="100" w:firstLine="360"/>
        <w:rPr>
          <w:rFonts w:ascii="仿宋" w:eastAsia="仿宋" w:hAnsi="仿宋" w:cs="仿宋"/>
          <w:spacing w:val="-4"/>
          <w:sz w:val="32"/>
          <w:szCs w:val="32"/>
        </w:rPr>
      </w:pPr>
      <w:r>
        <w:rPr>
          <w:rFonts w:ascii="仿宋" w:eastAsia="仿宋" w:hAnsi="仿宋" w:cs="仿宋" w:hint="eastAsia"/>
          <w:kern w:val="0"/>
          <w:sz w:val="36"/>
          <w:szCs w:val="36"/>
        </w:rPr>
        <w:t>项目负责人（签章）：</w:t>
      </w:r>
      <w:r>
        <w:rPr>
          <w:rStyle w:val="ad"/>
          <w:rFonts w:ascii="仿宋" w:eastAsia="仿宋" w:hAnsi="仿宋" w:cs="仿宋" w:hint="eastAsia"/>
          <w:b w:val="0"/>
          <w:bCs w:val="0"/>
          <w:spacing w:val="-4"/>
          <w:sz w:val="32"/>
          <w:szCs w:val="32"/>
        </w:rPr>
        <w:t>夏提姑丽</w:t>
      </w:r>
    </w:p>
    <w:p w14:paraId="6F55FB7F" w14:textId="77777777" w:rsidR="001D59F7" w:rsidRDefault="00000000">
      <w:pPr>
        <w:spacing w:line="540" w:lineRule="exact"/>
        <w:ind w:firstLineChars="100" w:firstLine="360"/>
        <w:rPr>
          <w:rStyle w:val="ad"/>
          <w:rFonts w:ascii="仿宋" w:eastAsia="仿宋" w:hAnsi="仿宋" w:cs="仿宋"/>
          <w:b w:val="0"/>
          <w:bCs w:val="0"/>
          <w:spacing w:val="-4"/>
          <w:sz w:val="32"/>
          <w:szCs w:val="32"/>
        </w:rPr>
      </w:pPr>
      <w:r>
        <w:rPr>
          <w:rFonts w:ascii="仿宋" w:eastAsia="仿宋" w:hAnsi="仿宋" w:cs="仿宋" w:hint="eastAsia"/>
          <w:kern w:val="0"/>
          <w:sz w:val="36"/>
          <w:szCs w:val="36"/>
        </w:rPr>
        <w:t>填报时间：</w:t>
      </w:r>
      <w:r>
        <w:rPr>
          <w:rStyle w:val="ad"/>
          <w:rFonts w:ascii="仿宋" w:eastAsia="仿宋" w:hAnsi="仿宋" w:cs="仿宋" w:hint="eastAsia"/>
          <w:b w:val="0"/>
          <w:bCs w:val="0"/>
          <w:spacing w:val="-4"/>
          <w:sz w:val="32"/>
          <w:szCs w:val="32"/>
        </w:rPr>
        <w:t>2023年03月09日</w:t>
      </w:r>
    </w:p>
    <w:p w14:paraId="509E1EE9" w14:textId="77777777" w:rsidR="001D59F7" w:rsidRDefault="00000000">
      <w:pPr>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br w:type="page"/>
      </w:r>
    </w:p>
    <w:p w14:paraId="5D14C083"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lastRenderedPageBreak/>
        <w:t>一、基本情况</w:t>
      </w:r>
    </w:p>
    <w:p w14:paraId="002A42B3" w14:textId="77777777" w:rsidR="001D59F7" w:rsidRDefault="00000000">
      <w:pPr>
        <w:spacing w:line="570" w:lineRule="exact"/>
        <w:ind w:firstLineChars="200" w:firstLine="627"/>
        <w:rPr>
          <w:rStyle w:val="ad"/>
          <w:rFonts w:ascii="方正楷体_GBK" w:eastAsia="方正楷体_GBK" w:hAnsi="方正楷体_GBK" w:cs="方正楷体_GBK"/>
          <w:bCs w:val="0"/>
          <w:spacing w:val="-4"/>
          <w:sz w:val="32"/>
          <w:szCs w:val="32"/>
        </w:rPr>
      </w:pPr>
      <w:r>
        <w:rPr>
          <w:rStyle w:val="ad"/>
          <w:rFonts w:ascii="楷体" w:eastAsia="楷体" w:hAnsi="楷体" w:cs="楷体" w:hint="eastAsia"/>
          <w:bCs w:val="0"/>
          <w:spacing w:val="-4"/>
          <w:sz w:val="32"/>
          <w:szCs w:val="32"/>
        </w:rPr>
        <w:t>（一）项目概况。包括项目背景、主要内容及实施情况、资金投入和使用情况等。</w:t>
      </w:r>
    </w:p>
    <w:p w14:paraId="704D901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1. 项目背景</w:t>
        <w:br/>
        <w:t>本项目遵循财政部《项目支出绩效评价管理办法》（财预〔2020〕10号）和自治区财政厅《自治区财政支出绩效评价管理暂行办法》（新财预〔2018〕189号）等相关政策文件与规定，该项目计划资金5.32万元，用于2022年县政协副主席的爱国宗教人士生活补助项目，按照新党组通字[2012]74号，喀党组通字[2012]30号文件中规定：担任县市区政协副主席的爱国宗教人士生活费标准参照同级干部职务工资、级别工资和当地同级干部工资核定，由本级财政预算予以保障,不断改善县政协宗教副主席的生活水平，有效提高县宗教人士的爱国热情。</w:t>
        <w:br/>
        <w:t>2. 主要内容及实施情况</w:t>
        <w:br/>
        <w:t>该项目计划资金5.32万元，用于2022年县政协副主席的爱国宗教人士生活补助项目，按照新党组通字[2012]74号，喀党组通字[2012]30号文件中规定：担任县市区政协副主席的爱国宗教人士生活费标准参照同级干部职务工资、级别工资和当地同级干部工资核定，由本级财政预算予以保障,不断改善县政协宗教副主席的生活水平，有效提高县宗教人士的爱国热情。</w:t>
        <w:br/>
        <w:t>3.项目实施主体</w:t>
        <w:br/>
        <w:t>中国人民政治协商会议塔什库尔干塔吉克自治县委员会办公室为行政单位，纳入2022年部门决算编制范围的有四委两室：经科教文经科教文卫委、提案委员会、宣传学习和文史委员委、民族宗教法制委员会、行政办公室、委员联络工作室。</w:t>
        <w:br/>
        <w:t>编制人数18人，其中：行政人员编制15人、工勤3人。实有在职人数12人，其中：行政在职9人、工勤3人。离退休人员22人，其中：行政退休人员22人。</w:t>
        <w:br/>
        <w:t>4. 资金投入和使用情况</w:t>
        <w:br/>
        <w:t>按照新党组通字[2012]74号，喀党组通字[2012]30号文件中规定，安排下达资金5.32万元，为5.32资金，最终确定项目资金总数为5.32万元。</w:t>
        <w:br/>
        <w:t>截至2022年12月31日，实际支出5.32万元，预算执行率100%。</w:t>
      </w:r>
    </w:p>
    <w:p w14:paraId="6A9D8BA2"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（二）项目绩效目标。包括总体目标和阶段性目标。</w:t>
      </w:r>
    </w:p>
    <w:p w14:paraId="3902C6CE"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项目绩效目标包括项目绩效总目标和阶段性目标。</w:t>
        <w:br/>
        <w:t>1.项目绩效总目标</w:t>
        <w:br/>
        <w:t>该项目计划资金5.32万元，用于2022年县政协副主席的爱国宗教人士生活补助项目，按照新党组通字[2012]74号，喀党组通字[2012]30号文件中规定：担任县市区政协副主席的爱国宗教人士生活费标准参照同级干部职务工资、级别工资和当地同级干部工资核定，由本级财政预算予以保障,不断改善县政协宗教副主席的生活水平，有效提高县宗教人士的爱国热情。</w:t>
        <w:br/>
        <w:t>2.阶段性目标</w:t>
        <w:br/>
        <w:t>该项目计划资金5.32万元，用于2022年县政协副主席的爱国宗教人士生活补助项目，按照新党组通字[2012]74号，喀党组通字[2012]30号文件中规定：担任县市区政协副主席的爱国宗教人士生活费标准参照同级干部职务工资、级别工资和当地同级干部工资核定，由本级财政预算予以保障,不断改善县政协宗教副主席的生活水平，有效提高县宗教人士的爱国热情。</w:t>
      </w:r>
    </w:p>
    <w:p w14:paraId="3A919777"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二、绩效评价工作开展情况</w:t>
      </w:r>
    </w:p>
    <w:p w14:paraId="7E6C86C5"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（一）绩效评价目的、对象和范围。</w:t>
      </w:r>
    </w:p>
    <w:p w14:paraId="247B2BE7"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（一）绩效评价目的、对象和范围</w:t>
        <w:br/>
        <w:t>1. 绩效评价目的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</w:t>
        <w:b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也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本次评价范围涵盖项目总体绩效目标、各项绩效指标完成情况以及预算执行情况。覆盖项目预算资金支出的所有内容进行评价。包括项目决策、项目实施和项目成果验收流程等。</w:t>
      </w:r>
    </w:p>
    <w:p w14:paraId="24500BF8"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（二）绩效评价原则、评价指标体系（附表说明）、评价方法、评价标准等。</w:t>
      </w:r>
    </w:p>
    <w:p w14:paraId="2DE7F4C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（二）绩效评价原则、评价指标体系、评价方法评价标准</w:t>
        <w:b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为根据财预﹝2020﹞10号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1个二级指标。项目绩效评价体系详见附件1。</w:t>
        <w:br/>
        <w:t>3. 绩效评价方法</w:t>
        <w:br/>
        <w:t>本次绩效评价方法的选用坚持简便有效的原则采用综合分析法。采用定量与定性评价相结合的比较法，公众评判法，总分由各项指标得分汇总形成。</w:t>
        <w:br/>
        <w:t>比较法：通过整理本项目相关资料和数据，评价数量指标的完成情况；通过分析项目的实施情况与绩效目标实现情况，评价项目实施的效果；通过分析项目资金使用情况及产生的效果，评价预算资金分配的合理性。</w:t>
        <w:br/>
        <w:t>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4. 绩效评价标准</w:t>
        <w:br/>
        <w:t>绩效评价标准通常包括计划标准、行业标准、历史标准等，用于对绩效指标完成情况进行比较、分析、评价。本次评价主要采用了计划标准。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w:t>
      </w:r>
    </w:p>
    <w:p w14:paraId="36A614F1"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（三）绩效评价工作过程。</w:t>
      </w:r>
    </w:p>
    <w:p w14:paraId="1C7E2031"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本次评价成立了评价工作组，成员如下：</w:t>
        <w:br/>
        <w:t>本次评价设计了评价方案、评价指标体系，通过资料分析、调研、访谈满意度调查等方式形成评价结论，在与项目单位沟通后确定评价意见，并出具评价报告。</w:t>
        <w:br/>
        <w:t>第一阶段：前期准备。认真学习相关要求与规定，成立绩效评价工作组，作为绩效评价工作具体实施机构。成员构成如下：</w:t>
        <w:br/>
        <w:t>夏提古丽任评价组组长，绩效评价工作职责为负责全盘工作。</w:t>
        <w:br/>
        <w:t>吐尔洪任评价组副组长，绩效评价工作职责为为对项目实施情况进行实地调查。</w:t>
        <w:br/>
        <w:t>瓦尔斯任评价组成员，绩效评价工作职责为负责资料审核等工作。</w:t>
        <w:br/>
        <w:t>第二阶段：组织实施。经评价组通过实地调研、查阅资料等方式，采用综合分析法对项目的决策、管理、绩效进行的综合评价分析。</w:t>
        <w:br/>
        <w:t>第三阶段：分析评价。首先按照指标体系进行定量、定性分析。其次开展量化打分、综合评价工作，形成初步评价结论。最后归纳整体项目情况与存在问题，撰写部门绩效评价报告。</w:t>
      </w:r>
    </w:p>
    <w:p w14:paraId="2DA5CBF2"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三、综合评价情况及评价结论</w:t>
      </w:r>
    </w:p>
    <w:p w14:paraId="4C8DDC14"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（一）综合评价情况</w:t>
        <w:br/>
        <w:t>经评价组通过实地调研、综合分析法、问卷调查法等方式，主要采用综合分析法对项目的决策、实施、产出、效益进行综合评价分析，最终评分100分。</w:t>
        <w:br/>
        <w:t>政协副主席的爱国宗教人士生活补助项目项目得分情况表</w:t>
        <w:br/>
        <w:t>一级指标	权重	得分率	实际得分</w:t>
        <w:br/>
        <w:t>项目决策	20	100%	20</w:t>
        <w:br/>
        <w:t>项目过程	20	100%	20</w:t>
        <w:br/>
        <w:t>项目产出	40	100%	40</w:t>
        <w:br/>
        <w:t>项目效益	20	100%	20</w:t>
        <w:br/>
        <w:t>合计	100	100%	100</w:t>
        <w:br/>
        <w:t>（二）综合评价结论</w:t>
        <w:b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2022年县政协副主席的爱国宗教人士生活补助项目已完成100%，为政协宗教副主席发放取暖补助和生活补助，提高了县宗教人士的爱国热情,可改善了县政协宗教副主席的生活水平。该项目最终评分100分，绩效评级为“优”。</w:t>
      </w:r>
    </w:p>
    <w:p w14:paraId="7940CAF2" w14:textId="77777777" w:rsidR="001D59F7" w:rsidRDefault="00000000">
      <w:pPr>
        <w:spacing w:line="570" w:lineRule="exact"/>
        <w:ind w:firstLineChars="200" w:firstLine="624"/>
        <w:rPr>
          <w:rStyle w:val="ad"/>
          <w:rFonts w:ascii="黑体" w:eastAsia="黑体" w:hAnsi="黑体" w:cs="黑体"/>
          <w:b w:val="0"/>
          <w:sz w:val="32"/>
          <w:szCs w:val="32"/>
        </w:rPr>
      </w:pPr>
      <w:r>
        <w:rPr>
          <w:rStyle w:val="ad"/>
          <w:rFonts w:ascii="黑体" w:eastAsia="黑体" w:hAnsi="黑体" w:cs="黑体" w:hint="eastAsia"/>
          <w:b w:val="0"/>
          <w:spacing w:val="-4"/>
          <w:sz w:val="32"/>
          <w:szCs w:val="32"/>
        </w:rPr>
        <w:t xml:space="preserve">四、绩效评价指标分析 </w:t>
      </w:r>
    </w:p>
    <w:p w14:paraId="45B6A465"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（一）项目决策情况。</w:t>
      </w:r>
    </w:p>
    <w:p w14:paraId="0ACD818C"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（一）项目决策情况</w:t>
        <w:br/>
        <w:t>项目决策类指标包括项目立项、绩效目标和资金投入三方面的内容，由6个三级指标构成，权重分为 20 分，实际得分20分，得分率为100%。</w:t>
        <w:br/>
        <w:t>项目决策指标得分情况</w:t>
        <w:br/>
        <w:t>三级指标	权重	得分率	实际得分</w:t>
        <w:br/>
        <w:t>立项依据充分性	3	100%	3</w:t>
        <w:br/>
        <w:t>立项程序规范性	2	100%	2</w:t>
        <w:br/>
        <w:t>绩效目标合理性	3	100%	3</w:t>
        <w:br/>
        <w:t>绩效指标明确性	2	100%	2</w:t>
        <w:br/>
        <w:t>预算编制科学性	5	100%	5</w:t>
        <w:br/>
        <w:t>资金分配合理性	5	100%	5</w:t>
        <w:br/>
        <w:t>合计	20	100%	20</w:t>
        <w:br/>
        <w:t>（1）立项依据充分性：结合中国人民政治协商会议塔什库尔干塔吉克自治县委员会办公室职责，并组织实施。围绕塔什库尔干塔吉克自治县年度工作重点和工作计划制定经费预算，根据评分标准，该指标不扣分，得3分。</w:t>
        <w:br/>
        <w:t>（2）立项程序规范性：根据决策依据编制工作计划和经费预算，经过与夏提古丽分管领导进行沟通、筛选确定经费预算计划，上党委会研究确定最终预算方案，根据评分标准，该指标不扣分，得2分。</w:t>
        <w:br/>
        <w:t>（3）绩效目标合理性：制定了实施方案，明确了总体思路及目标、并对任务进行了详细分解，对目标进行了细化，根据评分标准，该指标不扣分，得3分。</w:t>
        <w:br/>
        <w:t>（4）绩效指标明确性：将项目绩效目标细化分解为具体的绩效指标，根据评分标准，该指标不扣分，得2分。</w:t>
        <w:br/>
        <w:t>（5）预算编制科学性：预算编制经过科学论证，内容与项目内容匹配，项目投资额与工作任务相匹配，根据评分标准，该指标不扣分，得5分。</w:t>
        <w:br/>
        <w:t>（6）资金分配合理性：资金分配与实际相适应，根据评分标准，该指标不扣分，得5分。</w:t>
      </w:r>
    </w:p>
    <w:p w14:paraId="08EF9CF2"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（二）项目过程情况。</w:t>
      </w:r>
    </w:p>
    <w:p w14:paraId="6B64B585"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项目过程类指标包括资金管理和组织实施两方面的内容，由 5个三级指标构成，权重分为20分，实际得分20 分，得分率为100%。</w:t>
        <w:br/>
        <w:t>项目过程指标得分情况</w:t>
        <w:br/>
        <w:t>三级指标	权重	得分率	实际得分</w:t>
        <w:br/>
        <w:t>资金到位率	5	100%	5</w:t>
        <w:br/>
        <w:t>预算执行率	5	100%	5</w:t>
        <w:br/>
        <w:t>资金使用合规性	5	100%	5</w:t>
        <w:br/>
        <w:t>管理制度健全性	2	100%	2</w:t>
        <w:br/>
        <w:t>制度执行	3	100%	3</w:t>
        <w:br/>
        <w:t>合计	20	100%	20</w:t>
        <w:br/>
        <w:t>（1）资金到位率：财政资金足额拨付到位，牵头单位能够及时足额按照合同约定将专项资金拨付给联合体单位，根据评分标准，该指标不扣分，得5分。   </w:t>
        <w:br/>
        <w:t>（2）预算执行率：预算编制较为详细，项目资金支出总体能够按照预算执行，根据评分标准，该指标不扣分，得5分。</w:t>
        <w:br/>
        <w:t>（3）资金使用合规性：制定了相关的制度和管理规定对经费使用进行规范管理，财务制度健全、执行严格，根据评分标准，该指标不扣分，得5分。</w:t>
        <w:br/>
        <w:t>（4）管理制度健全性：制定了党校相关管理办法，对财政专项资金进行严格管理，基本做到了专款专用，根据评分标准，该指标不扣分，得2分。</w:t>
        <w:br/>
        <w:t>（5）制度执行有效性：由部门提出经费预算支出可行性方案，经过与县政府分管领导沟通后，报党支部会议研究执行，财务对资金的使用合法合规性进行监督，年底对资金使用效果进行自评，根据评分标准，该指标不扣分，得3分。</w:t>
      </w:r>
    </w:p>
    <w:p w14:paraId="1194A5B5"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（三）项目产出情况。</w:t>
      </w:r>
    </w:p>
    <w:p w14:paraId="0EA5C3EF"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项目产出类指标包括产出数量、产出质量、产出时效、产出成本四方面的内容，由4个三级指标构成，权重分为40分，实际得分40分，得分率为100%。</w:t>
        <w:br/>
        <w:t>项目产出指标得分情况</w:t>
        <w:br/>
        <w:t>三级指标	权重	得分率	实际得分</w:t>
        <w:br/>
        <w:t>产出数量	10	100%	10</w:t>
        <w:br/>
        <w:t>产出质量	10	100%	10</w:t>
        <w:br/>
        <w:t>产出时效	10	100%	10</w:t>
        <w:br/>
        <w:t>成本情况	10	100%	10</w:t>
        <w:br/>
        <w:t>合计	40	100%	40</w:t>
        <w:br/>
        <w:t>（1）对于“产出数量”</w:t>
        <w:br/>
        <w:t>政协副主席的爱国宗教人士取暖费人数1人，与预期目标一致，根据评分标准，该指标不扣分，得5分。</w:t>
        <w:br/>
        <w:t>政协副主席的爱国宗教人士生活费人数1人，与预期目标一致，根据评分标准，该指标不扣分，得5分。</w:t>
        <w:br/>
        <w:t>合计得10分。</w:t>
        <w:br/>
        <w:t>（2）对于“产出质量”：</w:t>
        <w:br/>
        <w:t>资金使用率100%，与预期目标一致，根据评分标准，该指标不扣分，得10分。</w:t>
        <w:br/>
        <w:t>合计得10分。</w:t>
        <w:br/>
        <w:t>（3）对于“产出时效”：</w:t>
        <w:br/>
        <w:t>资金及时发放率100%，与预期目标一致，根据评分标准，该指标不扣分，得5分。</w:t>
        <w:br/>
        <w:t>资金支付完成时间2022年12月，与预期目标一致，根据评分标准，该指标不扣分，得5分。</w:t>
        <w:br/>
        <w:t>合计得10分。</w:t>
        <w:br/>
        <w:t>（4）对于“产出成本”：</w:t>
        <w:br/>
        <w:t>生活费，取暖费补助标准4433.33万元,项目经费都能控制绩效目标范围内，根据评分标准，该指标不扣分，得10分。</w:t>
      </w:r>
    </w:p>
    <w:p w14:paraId="085A5DA0"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（四）项目效益情况。</w:t>
      </w:r>
    </w:p>
    <w:p w14:paraId="0DC686A4"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项目效益类指标包括项目效益1个方面的内容，由2个三级指标构成，权重分为20分，实际得分20分，得分率为100%。</w:t>
        <w:br/>
        <w:t>项目绩效指标得分情况</w:t>
        <w:br/>
        <w:t>三级指标	权重	得分率	实际得分</w:t>
        <w:br/>
        <w:t>实施效益	10	100%	10</w:t>
        <w:br/>
        <w:t>			</w:t>
        <w:br/>
        <w:t>满意度	10	100%	10</w:t>
        <w:br/>
        <w:t>合计	20	100%	20</w:t>
        <w:br/>
        <w:t>1.实施效益指标：</w:t>
        <w:br/>
        <w:t>（1）对于“社会效益指标”：</w:t>
        <w:br/>
        <w:t>有效提高县宗教人士的爱国热情 ，与预期指标一致，根据评分标准，该指标不扣分，得5分。</w:t>
        <w:br/>
        <w:t>实施效益指标合计得10分。</w:t>
        <w:br/>
        <w:t>（2）对于“可持续影响指标”：</w:t>
        <w:br/>
        <w:t>该项目可持续影响年限1年，与预期指标一致，根据评分标准，该指标不扣分，得5分。</w:t>
        <w:br/>
        <w:t>实施效益指标合计得10分。</w:t>
        <w:br/>
        <w:t>（3）对于“经济效益指标”：</w:t>
        <w:br/>
        <w:t>无。</w:t>
        <w:br/>
        <w:t>（4）对于“生态效益指标”：</w:t>
        <w:br/>
        <w:t>无。</w:t>
        <w:br/>
        <w:t>实施效益指标合计得10分。</w:t>
        <w:br/>
        <w:t>2.满意度指标:</w:t>
        <w:br/>
        <w:t>对于“满意度指标：县政协副主席满意度98%，与预期目标一致，根据评分标准，该指标不扣分,得10分。</w:t>
      </w:r>
    </w:p>
    <w:p w14:paraId="1427E7F2"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lastRenderedPageBreak/>
        <w:t>五、预算执行进度与绩效指标偏差</w:t>
      </w:r>
    </w:p>
    <w:p w14:paraId="59F9E263" w14:textId="77777777" w:rsidR="001D59F7" w:rsidRDefault="00000000">
      <w:pPr>
        <w:spacing w:line="540" w:lineRule="exact"/>
        <w:ind w:firstLine="567"/>
        <w:rPr>
          <w:rFonts w:ascii="仿宋" w:eastAsia="仿宋" w:hAnsi="仿宋" w:cs="仿宋"/>
          <w:spacing w:val="-4"/>
          <w:sz w:val="32"/>
          <w:szCs w:val="32"/>
        </w:rPr>
      </w:pPr>
      <w:r>
        <w:rPr>
          <w:rStyle w:val="ad"/>
          <w:rFonts w:ascii="仿宋" w:eastAsia="仿宋" w:hAnsi="仿宋" w:cs="仿宋" w:hint="eastAsia"/>
          <w:b w:val="0"/>
          <w:bCs w:val="0"/>
          <w:spacing w:val="-4"/>
          <w:sz w:val="32"/>
          <w:szCs w:val="32"/>
        </w:rPr>
        <w:t>2022年县政协副主席的爱国宗教人士生活补助项目项目预算5.32万元，到位5.32万元，实际支出5.32万元，预算执行率为100%，项目绩效指标总体完成率为100%，无偏差 。</w:t>
      </w:r>
    </w:p>
    <w:p w14:paraId="626EE800"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六、主要经验及做法、存在的问题及原因分析</w:t>
      </w:r>
    </w:p>
    <w:p w14:paraId="53C72163"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（一）主要经验及做法</w:t>
        <w:br/>
        <w:t>一是本项目能够严格按照《项目实施方案》执行，项目执行情况较好。二是加强组织领导，本项目绩效评价工作，有县政府主要领导亲自挂帅，分管县领导具体负责，从项目到资金，均能后很好的执行。三是加强沟通协调，我单位及时向县领导汇报项目建设进度，加强与施工单位的沟通，确保项目按期完工。</w:t>
        <w:br/>
        <w:t>（二）存在问题及原因分析</w:t>
        <w:br/>
        <w:t>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14:paraId="1958C78E"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七、有关建议</w:t>
      </w:r>
    </w:p>
    <w:p w14:paraId="7DEC5E5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1.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</w:t>
        <w:br/>
        <w:t>2.项目评价资料有待进一步完善。项目启动时同步做好档案的归纳与整理，及时整理、收集、汇总，健全档案资料。项目后续管理有待进一步加强和跟踪。</w:t>
        <w:br/>
        <w:t>3.通过绩效管理，发现实施中存在漏洞，以后加强管理，及时掌握与之相关的各类信息，减少成本，使资金效益最大化。</w:t>
        <w:br/>
        <w:t>4．评价工作应从项目实施方案源头抓起，评价工作和意识应贯穿项目整个过程。</w:t>
      </w:r>
    </w:p>
    <w:p w14:paraId="6FEBFB95"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八、其他需要说明的问题</w:t>
      </w:r>
    </w:p>
    <w:p w14:paraId="4B1F6429"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我单位对上述项目支出绩效评价报告内反映内容的真实性、完整性负责，接受上级部门及社会公众监督。</w:t>
      </w:r>
    </w:p>
    <w:p w14:paraId="0E525B6E" w14:textId="77777777" w:rsidR="001D59F7" w:rsidRDefault="001D59F7">
      <w:pPr>
        <w:spacing w:line="540" w:lineRule="exact"/>
        <w:ind w:firstLine="567"/>
        <w:rPr>
          <w:rStyle w:val="ad"/>
          <w:rFonts w:ascii="黑体" w:eastAsia="黑体" w:hAnsi="黑体" w:cs="黑体"/>
          <w:b w:val="0"/>
          <w:bCs w:val="0"/>
          <w:spacing w:val="-4"/>
          <w:sz w:val="32"/>
          <w:szCs w:val="32"/>
        </w:rPr>
      </w:pPr>
    </w:p>
    <w:p w14:paraId="088A38F8" w14:textId="77777777" w:rsidR="001D59F7" w:rsidRDefault="001D59F7">
      <w:pPr>
        <w:spacing w:line="540" w:lineRule="exact"/>
        <w:ind w:firstLine="567"/>
        <w:rPr>
          <w:rStyle w:val="ad"/>
          <w:rFonts w:ascii="黑体" w:eastAsia="黑体" w:hAnsi="黑体" w:cs="黑体"/>
          <w:b w:val="0"/>
          <w:bCs w:val="0"/>
          <w:spacing w:val="-4"/>
          <w:sz w:val="32"/>
          <w:szCs w:val="32"/>
        </w:rPr>
      </w:pPr>
    </w:p>
    <w:sectPr w:rsidR="001D59F7">
      <w:footerReference w:type="default" r:id="rId6"/>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4B848C" w14:textId="77777777" w:rsidR="00164EEB" w:rsidRDefault="00164EEB">
      <w:r>
        <w:separator/>
      </w:r>
    </w:p>
  </w:endnote>
  <w:endnote w:type="continuationSeparator" w:id="0">
    <w:p w14:paraId="6523E723" w14:textId="77777777" w:rsidR="00164EEB" w:rsidRDefault="00164E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00" w:usb3="00000000" w:csb0="00040000" w:csb1="00000000"/>
  </w:font>
  <w:font w:name="仿宋_GB2312">
    <w:altName w:val="仿宋"/>
    <w:charset w:val="86"/>
    <w:family w:val="modern"/>
    <w:pitch w:val="default"/>
    <w:sig w:usb0="00000000" w:usb1="00000000" w:usb2="00000000" w:usb3="00000000" w:csb0="00040000" w:csb1="00000000"/>
  </w:font>
  <w:font w:name="楷体">
    <w:panose1 w:val="02010609060101010101"/>
    <w:charset w:val="86"/>
    <w:family w:val="modern"/>
    <w:pitch w:val="fixed"/>
    <w:sig w:usb0="800002BF" w:usb1="38CF7CFA" w:usb2="00000016" w:usb3="00000000" w:csb0="00040001" w:csb1="00000000"/>
  </w:font>
  <w:font w:name="方正仿宋_GBK">
    <w:altName w:val="微软雅黑"/>
    <w:charset w:val="86"/>
    <w:family w:val="auto"/>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楷体_GBK">
    <w:altName w:val="微软雅黑"/>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2003363"/>
    </w:sdtPr>
    <w:sdtContent>
      <w:p w14:paraId="703A45A3" w14:textId="77777777" w:rsidR="001D59F7" w:rsidRDefault="00000000">
        <w:pPr>
          <w:pStyle w:val="a5"/>
          <w:jc w:val="center"/>
        </w:pPr>
        <w:r>
          <w:fldChar w:fldCharType="begin"/>
        </w:r>
        <w:r>
          <w:instrText>PAGE   \* MERGEFORMAT</w:instrText>
        </w:r>
        <w:r>
          <w:fldChar w:fldCharType="separate"/>
        </w:r>
        <w:r>
          <w:rPr>
            <w:lang w:val="zh-CN"/>
          </w:rPr>
          <w:t>1</w:t>
        </w:r>
        <w:r>
          <w:fldChar w:fldCharType="end"/>
        </w:r>
      </w:p>
    </w:sdtContent>
  </w:sdt>
  <w:p w14:paraId="068E755B" w14:textId="77777777" w:rsidR="001D59F7" w:rsidRDefault="001D59F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5971B1" w14:textId="77777777" w:rsidR="00164EEB" w:rsidRDefault="00164EEB">
      <w:r>
        <w:separator/>
      </w:r>
    </w:p>
  </w:footnote>
  <w:footnote w:type="continuationSeparator" w:id="0">
    <w:p w14:paraId="180509BF" w14:textId="77777777" w:rsidR="00164EEB" w:rsidRDefault="00164E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64EEB"/>
    <w:rsid w:val="00187874"/>
    <w:rsid w:val="001B3A40"/>
    <w:rsid w:val="001D59F7"/>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74CBE"/>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042E4B35"/>
    <w:rsid w:val="17C32CDD"/>
    <w:rsid w:val="2A880B33"/>
    <w:rsid w:val="2AE11386"/>
    <w:rsid w:val="2D4C6AD2"/>
    <w:rsid w:val="2D5A6638"/>
    <w:rsid w:val="340D5924"/>
    <w:rsid w:val="41EC1CB5"/>
    <w:rsid w:val="43B04001"/>
    <w:rsid w:val="4609551D"/>
    <w:rsid w:val="4D2606A1"/>
    <w:rsid w:val="4DD42C22"/>
    <w:rsid w:val="50796DE0"/>
    <w:rsid w:val="5DA521F6"/>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F965E3"/>
  <w15:docId w15:val="{5E203BB2-B778-493E-B8E8-15A84A71F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qFormat/>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footer1.xml" Type="http://schemas.openxmlformats.org/officeDocument/2006/relationships/footer"/>
<Relationship Id="rId7" Target="fontTable.xml" Type="http://schemas.openxmlformats.org/officeDocument/2006/relationships/fontTable"/>
<Relationship Id="rId8"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103</Words>
  <Characters>593</Characters>
  <Application>Microsoft Office Word</Application>
  <DocSecurity>0</DocSecurity>
  <Lines>4</Lines>
  <Paragraphs>1</Paragraphs>
  <ScaleCrop>false</ScaleCrop>
  <Company>Microsoft</Company>
  <LinksUpToDate>false</LinksUpToDate>
  <CharactersWithSpaces>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易仁多</cp:lastModifiedBy>
  <cp:lastPrinted>2018-12-31T10:56:00Z</cp:lastPrinted>
  <dcterms:modified xsi:type="dcterms:W3CDTF">2023-03-14T11:09:00Z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2052-11.1.0.11405</vt:lpwstr>
  </property>
  <property fmtid="{D5CDD505-2E9C-101B-9397-08002B2CF9AE}" pid="3" name="ICV">
    <vt:lpwstr>B2EA7016946742F29F6179AB652E0BB8</vt:lpwstr>
  </property>
</Properties>
</file>