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5F9FF" w14:textId="77777777" w:rsidR="001D59F7" w:rsidRDefault="001D59F7">
      <w:pPr>
        <w:spacing w:line="570" w:lineRule="exact"/>
        <w:jc w:val="center"/>
        <w:rPr>
          <w:rFonts w:ascii="华文中宋" w:eastAsia="华文中宋" w:hAnsi="华文中宋" w:cs="宋体"/>
          <w:b/>
          <w:kern w:val="0"/>
          <w:sz w:val="52"/>
          <w:szCs w:val="52"/>
        </w:rPr>
      </w:pPr>
    </w:p>
    <w:p w14:paraId="46549FB3" w14:textId="77777777" w:rsidR="001D59F7" w:rsidRDefault="001D59F7">
      <w:pPr>
        <w:spacing w:line="570" w:lineRule="exact"/>
        <w:jc w:val="center"/>
        <w:rPr>
          <w:rFonts w:ascii="华文中宋" w:eastAsia="华文中宋" w:hAnsi="华文中宋" w:cs="宋体"/>
          <w:b/>
          <w:kern w:val="0"/>
          <w:sz w:val="52"/>
          <w:szCs w:val="52"/>
        </w:rPr>
      </w:pPr>
    </w:p>
    <w:p w14:paraId="377F7DCE" w14:textId="77777777" w:rsidR="001D59F7" w:rsidRDefault="001D59F7">
      <w:pPr>
        <w:spacing w:line="570" w:lineRule="exact"/>
        <w:jc w:val="center"/>
        <w:rPr>
          <w:rFonts w:ascii="华文中宋" w:eastAsia="华文中宋" w:hAnsi="华文中宋" w:cs="宋体"/>
          <w:b/>
          <w:kern w:val="0"/>
          <w:sz w:val="52"/>
          <w:szCs w:val="52"/>
        </w:rPr>
      </w:pPr>
    </w:p>
    <w:p w14:paraId="310A1144" w14:textId="77777777" w:rsidR="001D59F7" w:rsidRDefault="001D59F7">
      <w:pPr>
        <w:spacing w:line="570" w:lineRule="exact"/>
        <w:jc w:val="center"/>
        <w:rPr>
          <w:rFonts w:ascii="华文中宋" w:eastAsia="华文中宋" w:hAnsi="华文中宋" w:cs="宋体"/>
          <w:b/>
          <w:kern w:val="0"/>
          <w:sz w:val="52"/>
          <w:szCs w:val="52"/>
        </w:rPr>
      </w:pPr>
    </w:p>
    <w:p w14:paraId="6A4537D7" w14:textId="77777777" w:rsidR="001D59F7" w:rsidRDefault="001D59F7">
      <w:pPr>
        <w:spacing w:line="570" w:lineRule="exact"/>
        <w:rPr>
          <w:rFonts w:ascii="华文中宋" w:eastAsia="华文中宋" w:hAnsi="华文中宋" w:cs="宋体"/>
          <w:b/>
          <w:kern w:val="0"/>
          <w:sz w:val="52"/>
          <w:szCs w:val="52"/>
        </w:rPr>
      </w:pPr>
    </w:p>
    <w:p w14:paraId="7C7C20A6" w14:textId="77777777" w:rsidR="001D59F7" w:rsidRDefault="001D59F7">
      <w:pPr>
        <w:spacing w:line="570" w:lineRule="exact"/>
        <w:jc w:val="center"/>
        <w:rPr>
          <w:rFonts w:ascii="华文中宋" w:eastAsia="华文中宋" w:hAnsi="华文中宋" w:cs="宋体"/>
          <w:b/>
          <w:kern w:val="0"/>
          <w:sz w:val="52"/>
          <w:szCs w:val="52"/>
        </w:rPr>
      </w:pPr>
    </w:p>
    <w:p w14:paraId="40FD6F93" w14:textId="20C65D18" w:rsidR="001D59F7" w:rsidRDefault="00000000">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w:t>
      </w:r>
      <w:r w:rsidR="00D74CBE">
        <w:rPr>
          <w:rFonts w:ascii="方正小标宋_GBK" w:eastAsia="方正小标宋_GBK" w:hAnsi="华文中宋" w:cs="宋体" w:hint="eastAsia"/>
          <w:b/>
          <w:kern w:val="0"/>
          <w:sz w:val="44"/>
          <w:szCs w:val="44"/>
        </w:rPr>
        <w:t>部门单位项目支出绩效评价报告</w:t>
      </w:r>
    </w:p>
    <w:p w14:paraId="55AE2A33" w14:textId="77777777" w:rsidR="001D59F7" w:rsidRDefault="001D59F7">
      <w:pPr>
        <w:spacing w:line="570" w:lineRule="exact"/>
        <w:jc w:val="center"/>
        <w:rPr>
          <w:rFonts w:ascii="华文中宋" w:eastAsia="华文中宋" w:hAnsi="华文中宋" w:cs="宋体"/>
          <w:b/>
          <w:kern w:val="0"/>
          <w:sz w:val="52"/>
          <w:szCs w:val="52"/>
        </w:rPr>
      </w:pPr>
    </w:p>
    <w:p w14:paraId="1595D187" w14:textId="77777777" w:rsidR="001D59F7" w:rsidRDefault="00000000">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仿宋_GB2312" w:eastAsia="仿宋_GB2312" w:hAnsi="楷体" w:hint="eastAsia"/>
          <w:spacing w:val="-4"/>
          <w:sz w:val="32"/>
          <w:szCs w:val="32"/>
        </w:rPr>
        <w:t>2022</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F93EA35" w14:textId="77777777" w:rsidR="001D59F7" w:rsidRDefault="001D59F7">
      <w:pPr>
        <w:spacing w:line="570" w:lineRule="exact"/>
        <w:jc w:val="center"/>
        <w:rPr>
          <w:rFonts w:eastAsia="仿宋_GB2312" w:hAnsi="宋体" w:cs="宋体"/>
          <w:kern w:val="0"/>
          <w:sz w:val="30"/>
          <w:szCs w:val="30"/>
        </w:rPr>
      </w:pPr>
    </w:p>
    <w:p w14:paraId="588CB5A4" w14:textId="77777777" w:rsidR="001D59F7" w:rsidRDefault="001D59F7">
      <w:pPr>
        <w:spacing w:line="570" w:lineRule="exact"/>
        <w:jc w:val="center"/>
        <w:rPr>
          <w:rFonts w:eastAsia="仿宋_GB2312" w:hAnsi="宋体" w:cs="宋体"/>
          <w:kern w:val="0"/>
          <w:sz w:val="30"/>
          <w:szCs w:val="30"/>
        </w:rPr>
      </w:pPr>
    </w:p>
    <w:p w14:paraId="29212BDF" w14:textId="77777777" w:rsidR="001D59F7" w:rsidRDefault="001D59F7">
      <w:pPr>
        <w:spacing w:line="570" w:lineRule="exact"/>
        <w:jc w:val="center"/>
        <w:rPr>
          <w:rFonts w:eastAsia="仿宋_GB2312" w:hAnsi="宋体" w:cs="宋体"/>
          <w:kern w:val="0"/>
          <w:sz w:val="30"/>
          <w:szCs w:val="30"/>
        </w:rPr>
      </w:pPr>
    </w:p>
    <w:p w14:paraId="789CD4F0" w14:textId="77777777" w:rsidR="001D59F7" w:rsidRDefault="001D59F7">
      <w:pPr>
        <w:spacing w:line="570" w:lineRule="exact"/>
        <w:jc w:val="center"/>
        <w:rPr>
          <w:rFonts w:eastAsia="仿宋_GB2312" w:hAnsi="宋体" w:cs="宋体"/>
          <w:kern w:val="0"/>
          <w:sz w:val="30"/>
          <w:szCs w:val="30"/>
        </w:rPr>
      </w:pPr>
    </w:p>
    <w:p w14:paraId="33A1ED9B" w14:textId="77777777" w:rsidR="001D59F7" w:rsidRDefault="001D59F7">
      <w:pPr>
        <w:spacing w:line="570" w:lineRule="exact"/>
        <w:jc w:val="center"/>
        <w:rPr>
          <w:rFonts w:eastAsia="仿宋_GB2312" w:hAnsi="宋体" w:cs="宋体"/>
          <w:kern w:val="0"/>
          <w:sz w:val="30"/>
          <w:szCs w:val="30"/>
        </w:rPr>
      </w:pPr>
    </w:p>
    <w:p w14:paraId="662514DE" w14:textId="77777777" w:rsidR="001D59F7" w:rsidRDefault="001D59F7">
      <w:pPr>
        <w:spacing w:line="570" w:lineRule="exact"/>
        <w:jc w:val="center"/>
        <w:rPr>
          <w:rFonts w:eastAsia="仿宋_GB2312" w:hAnsi="宋体" w:cs="宋体"/>
          <w:kern w:val="0"/>
          <w:sz w:val="30"/>
          <w:szCs w:val="30"/>
        </w:rPr>
      </w:pPr>
    </w:p>
    <w:p w14:paraId="379E8661" w14:textId="77777777" w:rsidR="001D59F7" w:rsidRDefault="00000000">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d"/>
          <w:rFonts w:ascii="仿宋" w:eastAsia="仿宋" w:hAnsi="仿宋" w:cs="仿宋" w:hint="eastAsia"/>
          <w:b w:val="0"/>
          <w:bCs w:val="0"/>
          <w:spacing w:val="-4"/>
          <w:sz w:val="32"/>
          <w:szCs w:val="32"/>
        </w:rPr>
        <w:t>塔什库尔干县司法局中央政法转移支付资金装备业务经费项目</w:t>
      </w:r>
    </w:p>
    <w:p w14:paraId="57960922" w14:textId="77777777" w:rsidR="001D59F7" w:rsidRDefault="00000000">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d"/>
          <w:rFonts w:ascii="仿宋" w:eastAsia="仿宋" w:hAnsi="仿宋" w:cs="仿宋" w:hint="eastAsia"/>
          <w:b w:val="0"/>
          <w:bCs w:val="0"/>
          <w:spacing w:val="-4"/>
          <w:sz w:val="32"/>
          <w:szCs w:val="32"/>
        </w:rPr>
        <w:t>塔什库尔干塔吉克自治县司法局（本级）</w:t>
      </w:r>
    </w:p>
    <w:p w14:paraId="31E94BA6" w14:textId="77777777" w:rsidR="001D59F7" w:rsidRDefault="00000000">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Pr>
          <w:rStyle w:val="ad"/>
          <w:rFonts w:ascii="仿宋" w:eastAsia="仿宋" w:hAnsi="仿宋" w:cs="仿宋" w:hint="eastAsia"/>
          <w:b w:val="0"/>
          <w:bCs w:val="0"/>
          <w:spacing w:val="-4"/>
          <w:sz w:val="32"/>
          <w:szCs w:val="32"/>
        </w:rPr>
        <w:t>塔什库尔干塔吉克自治县人民政府</w:t>
      </w:r>
    </w:p>
    <w:p w14:paraId="5E07E12A" w14:textId="77777777" w:rsidR="001D59F7" w:rsidRDefault="00000000">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d"/>
          <w:rFonts w:ascii="仿宋" w:eastAsia="仿宋" w:hAnsi="仿宋" w:cs="仿宋" w:hint="eastAsia"/>
          <w:b w:val="0"/>
          <w:bCs w:val="0"/>
          <w:spacing w:val="-4"/>
          <w:sz w:val="32"/>
          <w:szCs w:val="32"/>
        </w:rPr>
        <w:t>杨天文</w:t>
      </w:r>
    </w:p>
    <w:p w14:paraId="6F55FB7F" w14:textId="77777777" w:rsidR="001D59F7" w:rsidRDefault="00000000">
      <w:pPr>
        <w:spacing w:line="540" w:lineRule="exact"/>
        <w:ind w:firstLineChars="100" w:firstLine="360"/>
        <w:rPr>
          <w:rStyle w:val="ad"/>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d"/>
          <w:rFonts w:ascii="仿宋" w:eastAsia="仿宋" w:hAnsi="仿宋" w:cs="仿宋" w:hint="eastAsia"/>
          <w:b w:val="0"/>
          <w:bCs w:val="0"/>
          <w:spacing w:val="-4"/>
          <w:sz w:val="32"/>
          <w:szCs w:val="32"/>
        </w:rPr>
        <w:t>2023年03月09日</w:t>
      </w:r>
    </w:p>
    <w:p w14:paraId="509E1EE9" w14:textId="77777777" w:rsidR="001D59F7" w:rsidRDefault="00000000">
      <w:pPr>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br w:type="page"/>
      </w:r>
    </w:p>
    <w:p w14:paraId="5D14C083"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一、基本情况</w:t>
      </w:r>
    </w:p>
    <w:p w14:paraId="002A42B3" w14:textId="77777777" w:rsidR="001D59F7" w:rsidRDefault="00000000">
      <w:pPr>
        <w:spacing w:line="570" w:lineRule="exact"/>
        <w:ind w:firstLineChars="200" w:firstLine="627"/>
        <w:rPr>
          <w:rStyle w:val="ad"/>
          <w:rFonts w:ascii="方正楷体_GBK" w:eastAsia="方正楷体_GBK" w:hAnsi="方正楷体_GBK" w:cs="方正楷体_GBK"/>
          <w:bCs w:val="0"/>
          <w:spacing w:val="-4"/>
          <w:sz w:val="32"/>
          <w:szCs w:val="32"/>
        </w:rPr>
      </w:pPr>
      <w:r>
        <w:rPr>
          <w:rStyle w:val="ad"/>
          <w:rFonts w:ascii="楷体" w:eastAsia="楷体" w:hAnsi="楷体" w:cs="楷体" w:hint="eastAsia"/>
          <w:bCs w:val="0"/>
          <w:spacing w:val="-4"/>
          <w:sz w:val="32"/>
          <w:szCs w:val="32"/>
        </w:rPr>
        <w:t>（一）项目概况。包括项目背景、主要内容及实施情况、资金投入和使用情况等。</w:t>
      </w:r>
    </w:p>
    <w:p w14:paraId="704D901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一、基本情况</w:t>
        <w:br/>
        <w:t>（一）项目概况</w:t>
        <w:br/>
        <w:t>1. 项目背景</w:t>
        <w:br/>
        <w:t>本项目遵循财政部《项目支出绩效评价管理办法》（财预〔2020〕10号）和自治区财政厅《自治区财政支出绩效评价管理暂行办法》（新财预〔2018〕189号）等相关政策文件与规定，旨在确保2022年实现司法行政工作信息化建设。</w:t>
        <w:br/>
        <w:t>2. 主要内容及实施情况</w:t>
        <w:br/>
        <w:t>2022年塔什库尔干县司法局中央政法转移支付资金装备业务经费项目资金29万元，主要用于给局机关及所辖12个乡镇司法所购置办公设备，有效保障司法行政工作有序开展。</w:t>
        <w:br/>
        <w:t>3.项目实施主体</w:t>
        <w:br/>
        <w:t>塔什库尔干县司法局为全额行政单位，纳入2021年部门决算编制范围的有4个办公室：1、办公室、2法制办公室、3、公共法律服务管理办公室、4、社区矫正管理办公室。</w:t>
        <w:br/>
        <w:t>编制人数23人，其中：行政人员编制22人、工勤1人。实有在职人数20人，其中：行政在职19人、工勤1人、参公0人、事业在职0人。离退休人员17人，其中：行政退休人员17人。</w:t>
        <w:br/>
        <w:t>4. 资金投入和使用情况</w:t>
        <w:br/>
        <w:t>塔财行〔2022〕10号及塔财行〔2022〕25号共安排下达资金29万元，为29资金，最终确定项目资金总数为29万元。</w:t>
        <w:br/>
        <w:t>截至2022年12月31日，实际支出29万元，预算执行率100%。</w:t>
      </w:r>
    </w:p>
    <w:p w14:paraId="6A9D8BA2"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（二）项目绩效目标。包括总体目标和阶段性目标。</w:t>
      </w:r>
    </w:p>
    <w:p w14:paraId="3902C6CE"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1.项目绩效总目标</w:t>
        <w:br/>
        <w:t>该项目计划资金29万元，用于购置所辖司法所办公用茶几12个，购置机关办公用电脑3台，购置局机关办公用打印机3台，各乡镇司法所规范化建设装备12套；政府采购设备验收合格率100%，购置所辖司法所办公用茶几总成本0.36万元，购置打印机总成本1.2元，购置办公用电脑成本1.95万元，购置各乡镇司法所规范化建设装备总成本25.49万元，发挥司法行政机关（含基层司法所）职能，促进社会经济发展和社会稳定效果明显，保证司法行政工作正常、高效运行的持续年限5年以上；基层司法所满意度达到95%以上，局机关设备使用者满意度达到95%以上。</w:t>
        <w:br/>
        <w:t>2.阶段性目标</w:t>
        <w:br/>
        <w:t>购置所辖司法所办公用茶几12个，购置机关办公用电脑3台，购置局机关办公用打印机3台，各乡镇司法所规范化建设装备12套。</w:t>
      </w:r>
    </w:p>
    <w:p w14:paraId="3A919777"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二、绩效评价工作开展情况</w:t>
      </w:r>
    </w:p>
    <w:p w14:paraId="7E6C86C5"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（一）绩效评价目的、对象和范围。</w:t>
      </w:r>
    </w:p>
    <w:p w14:paraId="247B2BE7"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14:paraId="24500BF8"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（二）绩效评价原则、评价指标体系（附表说明）、评价方法、评价标准等。</w:t>
      </w:r>
    </w:p>
    <w:p w14:paraId="2DE7F4C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</w:t>
        <w:br/>
        <w:t>3. 绩效评价方法</w:t>
        <w:br/>
        <w:t>本次绩效评价方法的选用坚持简便有效的原则采用综合分析法。采用定量与定性评价相结合的比较法，公众评判法，总分由各项指标得分汇总形成。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14:paraId="36A614F1"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（三）绩效评价工作过程。</w:t>
      </w:r>
    </w:p>
    <w:p w14:paraId="1C7E2031"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杨天文任评价组组长，绩效评价工作职责为负责全盘工作。</w:t>
        <w:br/>
        <w:t>帕尔哈提？尼亚孜 任评价组副组长，绩效评价工作职责为为对项目实施情况进行实地调查。</w:t>
        <w:br/>
        <w:t>高雪威，马向武，祁数亮任评价组成员，绩效评价工作职责为负责资料审核等工作。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14:paraId="2DA5CB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三、综合评价情况及评价结论</w:t>
      </w:r>
    </w:p>
    <w:p w14:paraId="4C8DDC1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经评价组通过实地调研、综合分析法、问卷调查法等方式，主要采用综合分析法对项目的决策、实施、产出、效益进行综合评价分析，最终评分100分。</w:t>
      </w:r>
    </w:p>
    <w:p w14:paraId="7940CAF2" w14:textId="77777777" w:rsidR="001D59F7" w:rsidRDefault="00000000">
      <w:pPr>
        <w:spacing w:line="570" w:lineRule="exact"/>
        <w:ind w:firstLineChars="200" w:firstLine="624"/>
        <w:rPr>
          <w:rStyle w:val="ad"/>
          <w:rFonts w:ascii="黑体" w:eastAsia="黑体" w:hAnsi="黑体" w:cs="黑体"/>
          <w:b w:val="0"/>
          <w:sz w:val="32"/>
          <w:szCs w:val="32"/>
        </w:rPr>
      </w:pPr>
      <w:r>
        <w:rPr>
          <w:rStyle w:val="ad"/>
          <w:rFonts w:ascii="黑体" w:eastAsia="黑体" w:hAnsi="黑体" w:cs="黑体" w:hint="eastAsia"/>
          <w:b w:val="0"/>
          <w:spacing w:val="-4"/>
          <w:sz w:val="32"/>
          <w:szCs w:val="32"/>
        </w:rPr>
        <w:t xml:space="preserve">四、绩效评价指标分析 </w:t>
      </w:r>
    </w:p>
    <w:p w14:paraId="45B6A46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14:paraId="0ACD818C"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项目决策类指标包括项目立项、绩效目标和资金投入三方面的内容，由6个三级指标构成，权重分为 20 分，实际得分20分，得分率为100%。（1）立项依据充分性：结合塔什库尔干塔吉克自治县司法局职责，并组织实施。围绕塔什库尔干塔吉克自治县年度工作重点和工作计划制定经费预算，根据评分标准，该指标不扣分，得3分。</w:t>
        <w:br/>
        <w:t>（2）立项程序规范性：根据决策依据编制工作计划和经费预算，经过与杨天文分管领导进行沟通、筛选确定经费预算计划，上党委会研究确定最终预算方案，根据评分标准，该指标不扣分，得2分。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（6）资金分配合理性：资金分配与实际相适应，根据评分标准，该指标不扣分，得5分。</w:t>
      </w:r>
    </w:p>
    <w:p w14:paraId="08EF9CF2"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14:paraId="6B64B585"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项目过程类指标包括资金管理和组织实施两方面的内容，由 5个三级指标构成，权重分为20分，实际得分20 分，得分率为100%。（1）资金到位率：财政资金足额拨付到位，牵头单位能够及时足额按照合同约定将专项资金拨付给联合体单位，根据评分标准，该指标不扣分，得5分。   </w:t>
        <w:br/>
        <w:t>（2）预算执行率：预算编制较为详细，项目资金支出总体能够按照预算执行，根据评分标准，该指标不扣分，得5分。</w:t>
        <w:br/>
        <w:t>（3）资金使用合规性：制定了相关的制度和管理规定对经费使用进行规范管理，财务制度健全、执行严格，根据评分标准，该指标不扣分，得5分。</w:t>
        <w:br/>
        <w:t>（4）管理制度健全性：制定了党校相关管理办法，对财政专项资金进行严格管理，基本做到了专款专用，根据评分标准，该指标不扣分，得2分。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14:paraId="1194A5B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14:paraId="0EA5C3EF"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项目产出类指标包括产出数量、产出质量、产出时效、产出成本四方面的内容，由4个三级指标构成，权重分为40分，实际得分40分，得分率为100%。（1）对于“产出数量”</w:t>
        <w:br/>
        <w:t>购置所辖司法所办公用茶几12个，与预期目标一致，根据评分标准，该指标不扣分，得2.5分。</w:t>
        <w:br/>
        <w:t>购置局机关办公用电脑3台，与预期目标一致，根据评分标准，该指标不扣分，得2.5分。</w:t>
        <w:br/>
        <w:t>购置局机关办公用打印机3台，与预期目标一致，根据评分标准，该指标不扣分，得2.5分。</w:t>
        <w:br/>
        <w:t>各乡镇司法所规范化建设装备12套，与预期目标一致，根据评分标准，该指标不扣分，得2.5分。</w:t>
        <w:br/>
        <w:t>合计得10分。</w:t>
        <w:br/>
        <w:t>（2）对于“产出质量”：</w:t>
        <w:br/>
        <w:t>政府采购设备验收合格率100%，与预期目标一致，根据评分标准，该指标不扣分，得10分。</w:t>
        <w:br/>
        <w:t>合计得10分。</w:t>
        <w:br/>
        <w:t>（3）对于“产出时效”：</w:t>
        <w:br/>
        <w:t>资金支付及时率100%，与预期目标指标一致，根据评分标准，该指标不扣分，得5分。</w:t>
        <w:br/>
        <w:t>项目完成时间2022年12月，与预期目标一致，根据评分标准，该指标不扣分，得5分。</w:t>
        <w:br/>
        <w:t>合计得10分。</w:t>
        <w:br/>
        <w:t>（4）对于“产出成本”：</w:t>
        <w:br/>
        <w:t>购置所辖司法所办公用茶几总成本0.36万元，项目经费都能控制绩效目标范围内，根据评分标准，该指标不扣分，得2.5分。</w:t>
        <w:br/>
        <w:t>购置打印机总成本1.2万元，项目经费都能控制绩效目标范围内，根据评分标准，该指标不扣分，得2.5分。</w:t>
        <w:br/>
        <w:t>购置办公用电脑成本1.95万元，项目经费都能控制绩效目标范围内，根据评分标准，该指标不扣分，得2.5分。</w:t>
        <w:br/>
        <w:t>购置各乡镇司法所规范化建设装备总成本25.49万元，项目经费都能控制绩效目标范围内，根据评分标准，该指标不扣分，得2.5分。</w:t>
        <w:br/>
        <w:t>合计得10分。</w:t>
      </w:r>
    </w:p>
    <w:p w14:paraId="085A5DA0"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14:paraId="0DC686A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项目效益类指标包括项目效益1个方面的内容，由2个三级指标构成，权重分为20分，实际得分20分，得分率为100%。（1）对于“社会效益指标”：</w:t>
        <w:br/>
        <w:t>有效发挥司法行政机关（含基层司法所）职能，促进社会经济发展和社会稳定，与预期指标一致，根据评分标准，该指标不扣分，得5分。</w:t>
        <w:br/>
        <w:t>（2）对于“可持续影响指标”：</w:t>
        <w:br/>
        <w:t>保证司法行政工作正常、高效运行的持续年限5年，与预期指标一致，根据评分标准，该指标不扣分，得5分。</w:t>
        <w:br/>
        <w:t>实施效益指标合计得10分。</w:t>
        <w:br/>
        <w:t>（3）对于“经济效益指标”：</w:t>
        <w:br/>
        <w:t>无。</w:t>
        <w:br/>
        <w:t>（4）对于“生态效益指标”：</w:t>
        <w:br/>
        <w:t>无。</w:t>
        <w:br/>
        <w:t>实施效益指标合计得10分。</w:t>
        <w:br/>
        <w:t>2.满意度指标:</w:t>
        <w:br/>
        <w:t>对于“满意度指标：基层司法所满意度95%，设备使用者满意度95%与预期目标一致，根据评分标准，该指标不扣分,得10分。</w:t>
      </w:r>
    </w:p>
    <w:p w14:paraId="1427E7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五、预算执行进度与绩效指标偏差</w:t>
      </w:r>
    </w:p>
    <w:p w14:paraId="59F9E263" w14:textId="77777777" w:rsidR="001D59F7" w:rsidRDefault="00000000">
      <w:pPr>
        <w:spacing w:line="540" w:lineRule="exact"/>
        <w:ind w:firstLine="567"/>
        <w:rPr>
          <w:rFonts w:ascii="仿宋" w:eastAsia="仿宋" w:hAnsi="仿宋" w:cs="仿宋"/>
          <w:spacing w:val="-4"/>
          <w:sz w:val="32"/>
          <w:szCs w:val="32"/>
        </w:rPr>
      </w:pPr>
      <w:r>
        <w:rPr>
          <w:rStyle w:val="ad"/>
          <w:rFonts w:ascii="仿宋" w:eastAsia="仿宋" w:hAnsi="仿宋" w:cs="仿宋" w:hint="eastAsia"/>
          <w:b w:val="0"/>
          <w:bCs w:val="0"/>
          <w:spacing w:val="-4"/>
          <w:sz w:val="32"/>
          <w:szCs w:val="32"/>
        </w:rPr>
        <w:t>塔什库尔干县司法局中央政法转移支付资金装备业务经费项目预算29万元，到位29万元，实际支出29万元，预算执行率为100%，项目绩效指标总体完成率为100%，无偏差。</w:t>
      </w:r>
    </w:p>
    <w:p w14:paraId="626EE800"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六、主要经验及做法、存在的问题及原因分析</w:t>
      </w:r>
    </w:p>
    <w:p w14:paraId="53C72163"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p>
    <w:p w14:paraId="1958C78E"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七、有关建议</w:t>
      </w:r>
    </w:p>
    <w:p w14:paraId="7DEC5E5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14:paraId="6FEBFB95"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八、其他需要说明的问题</w:t>
      </w:r>
    </w:p>
    <w:p w14:paraId="4B1F6429"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我单位对上述项目支出绩效评价报告内反映内容的真实性、完整性负责，接受上级部门及社会公众监督。</w:t>
      </w:r>
    </w:p>
    <w:p w14:paraId="0E525B6E" w14:textId="77777777" w:rsidR="001D59F7" w:rsidRDefault="001D59F7">
      <w:pPr>
        <w:spacing w:line="540" w:lineRule="exact"/>
        <w:ind w:firstLine="567"/>
        <w:rPr>
          <w:rStyle w:val="ad"/>
          <w:rFonts w:ascii="黑体" w:eastAsia="黑体" w:hAnsi="黑体" w:cs="黑体"/>
          <w:b w:val="0"/>
          <w:bCs w:val="0"/>
          <w:spacing w:val="-4"/>
          <w:sz w:val="32"/>
          <w:szCs w:val="32"/>
        </w:rPr>
      </w:pPr>
    </w:p>
    <w:p w14:paraId="088A38F8" w14:textId="77777777" w:rsidR="001D59F7" w:rsidRDefault="001D59F7">
      <w:pPr>
        <w:spacing w:line="540" w:lineRule="exact"/>
        <w:ind w:firstLine="567"/>
        <w:rPr>
          <w:rStyle w:val="ad"/>
          <w:rFonts w:ascii="黑体" w:eastAsia="黑体" w:hAnsi="黑体" w:cs="黑体"/>
          <w:b w:val="0"/>
          <w:bCs w:val="0"/>
          <w:spacing w:val="-4"/>
          <w:sz w:val="32"/>
          <w:szCs w:val="32"/>
        </w:rPr>
      </w:pPr>
    </w:p>
    <w:sectPr w:rsidR="001D59F7">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848C" w14:textId="77777777" w:rsidR="00164EEB" w:rsidRDefault="00164EEB">
      <w:r>
        <w:separator/>
      </w:r>
    </w:p>
  </w:endnote>
  <w:endnote w:type="continuationSeparator" w:id="0">
    <w:p w14:paraId="6523E723" w14:textId="77777777" w:rsidR="00164EEB" w:rsidRDefault="0016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703A45A3" w14:textId="77777777" w:rsidR="001D59F7" w:rsidRDefault="00000000">
        <w:pPr>
          <w:pStyle w:val="a5"/>
          <w:jc w:val="center"/>
        </w:pPr>
        <w:r>
          <w:fldChar w:fldCharType="begin"/>
        </w:r>
        <w:r>
          <w:instrText>PAGE   \* MERGEFORMAT</w:instrText>
        </w:r>
        <w:r>
          <w:fldChar w:fldCharType="separate"/>
        </w:r>
        <w:r>
          <w:rPr>
            <w:lang w:val="zh-CN"/>
          </w:rPr>
          <w:t>1</w:t>
        </w:r>
        <w:r>
          <w:fldChar w:fldCharType="end"/>
        </w:r>
      </w:p>
    </w:sdtContent>
  </w:sdt>
  <w:p w14:paraId="068E755B" w14:textId="77777777" w:rsidR="001D59F7" w:rsidRDefault="001D59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971B1" w14:textId="77777777" w:rsidR="00164EEB" w:rsidRDefault="00164EEB">
      <w:r>
        <w:separator/>
      </w:r>
    </w:p>
  </w:footnote>
  <w:footnote w:type="continuationSeparator" w:id="0">
    <w:p w14:paraId="180509BF" w14:textId="77777777" w:rsidR="00164EEB" w:rsidRDefault="00164E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965E3"/>
  <w15:docId w15:val="{5E203BB2-B778-493E-B8E8-15A84A71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oter1.xml" Type="http://schemas.openxmlformats.org/officeDocument/2006/relationships/footer"/>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Words>
  <Characters>593</Characters>
  <Application>Microsoft Office Word</Application>
  <DocSecurity>0</DocSecurity>
  <Lines>4</Lines>
  <Paragraphs>1</Paragraphs>
  <ScaleCrop>false</ScaleCrop>
  <Company>Microsoft</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易仁多</cp:lastModifiedBy>
  <cp:lastPrinted>2018-12-31T10:56:00Z</cp:lastPrinted>
  <dcterms:modified xsi:type="dcterms:W3CDTF">2023-03-14T11:09:00Z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2052-11.1.0.11405</vt:lpwstr>
  </property>
  <property fmtid="{D5CDD505-2E9C-101B-9397-08002B2CF9AE}" pid="3" name="ICV">
    <vt:lpwstr>B2EA7016946742F29F6179AB652E0BB8</vt:lpwstr>
  </property>
</Properties>
</file>