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A74165">
      <w:pPr>
        <w:spacing w:line="570" w:lineRule="exact"/>
        <w:jc w:val="center"/>
        <w:rPr>
          <w:rFonts w:ascii="华文中宋" w:hAnsi="华文中宋" w:eastAsia="华文中宋" w:cs="宋体"/>
          <w:b/>
          <w:kern w:val="0"/>
          <w:sz w:val="52"/>
          <w:szCs w:val="52"/>
        </w:rPr>
      </w:pPr>
    </w:p>
    <w:p w14:paraId="66B3ACAD">
      <w:pPr>
        <w:spacing w:line="570" w:lineRule="exact"/>
        <w:jc w:val="center"/>
        <w:rPr>
          <w:rFonts w:ascii="华文中宋" w:hAnsi="华文中宋" w:eastAsia="华文中宋" w:cs="宋体"/>
          <w:b/>
          <w:kern w:val="0"/>
          <w:sz w:val="52"/>
          <w:szCs w:val="52"/>
        </w:rPr>
      </w:pPr>
    </w:p>
    <w:p w14:paraId="79A45783">
      <w:pPr>
        <w:spacing w:line="570" w:lineRule="exact"/>
        <w:jc w:val="center"/>
        <w:rPr>
          <w:rFonts w:ascii="华文中宋" w:hAnsi="华文中宋" w:eastAsia="华文中宋" w:cs="宋体"/>
          <w:b/>
          <w:kern w:val="0"/>
          <w:sz w:val="52"/>
          <w:szCs w:val="52"/>
        </w:rPr>
      </w:pPr>
    </w:p>
    <w:p w14:paraId="2B716264">
      <w:pPr>
        <w:spacing w:line="570" w:lineRule="exact"/>
        <w:jc w:val="center"/>
        <w:rPr>
          <w:rFonts w:ascii="华文中宋" w:hAnsi="华文中宋" w:eastAsia="华文中宋" w:cs="宋体"/>
          <w:b/>
          <w:kern w:val="0"/>
          <w:sz w:val="52"/>
          <w:szCs w:val="52"/>
        </w:rPr>
      </w:pPr>
      <w:bookmarkStart w:id="0" w:name="_GoBack"/>
      <w:bookmarkEnd w:id="0"/>
    </w:p>
    <w:p w14:paraId="455FB36E">
      <w:pPr>
        <w:spacing w:line="570" w:lineRule="exact"/>
        <w:jc w:val="both"/>
        <w:rPr>
          <w:rFonts w:ascii="华文中宋" w:hAnsi="华文中宋" w:eastAsia="华文中宋" w:cs="宋体"/>
          <w:b/>
          <w:kern w:val="0"/>
          <w:sz w:val="52"/>
          <w:szCs w:val="52"/>
        </w:rPr>
      </w:pPr>
    </w:p>
    <w:p w14:paraId="1E68E693">
      <w:pPr>
        <w:spacing w:line="570" w:lineRule="exact"/>
        <w:jc w:val="center"/>
        <w:rPr>
          <w:rFonts w:ascii="华文中宋" w:hAnsi="华文中宋" w:eastAsia="华文中宋" w:cs="宋体"/>
          <w:b/>
          <w:kern w:val="0"/>
          <w:sz w:val="52"/>
          <w:szCs w:val="52"/>
        </w:rPr>
      </w:pPr>
    </w:p>
    <w:p w14:paraId="44021DE1">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46FA5B97">
      <w:pPr>
        <w:spacing w:line="570" w:lineRule="exact"/>
        <w:jc w:val="center"/>
        <w:rPr>
          <w:rFonts w:ascii="华文中宋" w:hAnsi="华文中宋" w:eastAsia="华文中宋" w:cs="宋体"/>
          <w:b/>
          <w:kern w:val="0"/>
          <w:sz w:val="52"/>
          <w:szCs w:val="52"/>
        </w:rPr>
      </w:pPr>
    </w:p>
    <w:p w14:paraId="3181B94D">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6FA3825B">
      <w:pPr>
        <w:spacing w:line="570" w:lineRule="exact"/>
        <w:jc w:val="center"/>
        <w:rPr>
          <w:rFonts w:hAnsi="宋体" w:eastAsia="仿宋_GB2312" w:cs="宋体"/>
          <w:kern w:val="0"/>
          <w:sz w:val="30"/>
          <w:szCs w:val="30"/>
        </w:rPr>
      </w:pPr>
    </w:p>
    <w:p w14:paraId="7A28C13F">
      <w:pPr>
        <w:spacing w:line="570" w:lineRule="exact"/>
        <w:jc w:val="center"/>
        <w:rPr>
          <w:rFonts w:hAnsi="宋体" w:eastAsia="仿宋_GB2312" w:cs="宋体"/>
          <w:kern w:val="0"/>
          <w:sz w:val="30"/>
          <w:szCs w:val="30"/>
        </w:rPr>
      </w:pPr>
    </w:p>
    <w:p w14:paraId="78C42936">
      <w:pPr>
        <w:spacing w:line="570" w:lineRule="exact"/>
        <w:jc w:val="center"/>
        <w:rPr>
          <w:rFonts w:hAnsi="宋体" w:eastAsia="仿宋_GB2312" w:cs="宋体"/>
          <w:kern w:val="0"/>
          <w:sz w:val="30"/>
          <w:szCs w:val="30"/>
        </w:rPr>
      </w:pPr>
    </w:p>
    <w:p w14:paraId="42F19FD7">
      <w:pPr>
        <w:spacing w:line="570" w:lineRule="exact"/>
        <w:jc w:val="center"/>
        <w:rPr>
          <w:rFonts w:hAnsi="宋体" w:eastAsia="仿宋_GB2312" w:cs="宋体"/>
          <w:kern w:val="0"/>
          <w:sz w:val="30"/>
          <w:szCs w:val="30"/>
        </w:rPr>
      </w:pPr>
    </w:p>
    <w:p w14:paraId="637C3B01">
      <w:pPr>
        <w:spacing w:line="570" w:lineRule="exact"/>
        <w:jc w:val="center"/>
        <w:rPr>
          <w:rFonts w:hAnsi="宋体" w:eastAsia="仿宋_GB2312" w:cs="宋体"/>
          <w:kern w:val="0"/>
          <w:sz w:val="30"/>
          <w:szCs w:val="30"/>
        </w:rPr>
      </w:pPr>
    </w:p>
    <w:p w14:paraId="1417BAB0">
      <w:pPr>
        <w:spacing w:line="570" w:lineRule="exact"/>
        <w:jc w:val="center"/>
        <w:rPr>
          <w:rFonts w:hAnsi="宋体" w:eastAsia="仿宋_GB2312" w:cs="宋体"/>
          <w:kern w:val="0"/>
          <w:sz w:val="30"/>
          <w:szCs w:val="30"/>
        </w:rPr>
      </w:pPr>
    </w:p>
    <w:p w14:paraId="4A14269D">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城乡住户调查工作经费</w:t>
      </w:r>
    </w:p>
    <w:p w14:paraId="022100CC">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塔什库尔干塔吉克自治县统计局</w:t>
      </w:r>
    </w:p>
    <w:p w14:paraId="142B8105">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塔什库尔干塔吉克自治县统计局</w:t>
      </w:r>
    </w:p>
    <w:p w14:paraId="05F058BF">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刘志强</w:t>
      </w:r>
    </w:p>
    <w:p w14:paraId="48DD8608">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2025年02月28日</w:t>
      </w:r>
    </w:p>
    <w:p w14:paraId="781FB9E3">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2C55E9A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7A580E0E">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1D95B16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依据“国家统计局《住户收支与生活状况调查方案》2023年统计年报和2024年定期报表制度”申请立项，符合国家、自治区以及喀什地区等相关扶贫政策、规划和法律法规。本项目依据“国家统计局《住户收支与生活状况调查方案》申请立项，符合国家、自治区以及喀什地区等相关扶贫政策、规划和法律法规，塔什库尔干县统计局制定了2024年城乡居民收支调查项目资金管理办法，按照住户收支与生活状况调查方案进行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今年是新样本调查第二年，对有能力有条件的记</w:t>
      </w:r>
      <w:r>
        <w:rPr>
          <w:rStyle w:val="18"/>
          <w:rFonts w:hint="eastAsia" w:ascii="仿宋" w:hAnsi="仿宋" w:eastAsia="仿宋" w:cs="仿宋"/>
          <w:b w:val="0"/>
          <w:bCs w:val="0"/>
          <w:spacing w:val="-4"/>
          <w:sz w:val="32"/>
          <w:szCs w:val="32"/>
          <w:lang w:eastAsia="zh-CN"/>
        </w:rPr>
        <w:t>账户</w:t>
      </w:r>
      <w:r>
        <w:rPr>
          <w:rStyle w:val="18"/>
          <w:rFonts w:hint="eastAsia" w:ascii="仿宋" w:hAnsi="仿宋" w:eastAsia="仿宋" w:cs="仿宋"/>
          <w:b w:val="0"/>
          <w:bCs w:val="0"/>
          <w:spacing w:val="-4"/>
          <w:sz w:val="32"/>
          <w:szCs w:val="32"/>
        </w:rPr>
        <w:t>“</w:t>
      </w:r>
      <w:r>
        <w:rPr>
          <w:rStyle w:val="18"/>
          <w:rFonts w:hint="eastAsia" w:ascii="仿宋" w:hAnsi="仿宋" w:eastAsia="仿宋" w:cs="仿宋"/>
          <w:b w:val="0"/>
          <w:bCs w:val="0"/>
          <w:spacing w:val="-4"/>
          <w:sz w:val="32"/>
          <w:szCs w:val="32"/>
          <w:lang w:eastAsia="zh-CN"/>
        </w:rPr>
        <w:t>晓之以理</w:t>
      </w:r>
      <w:r>
        <w:rPr>
          <w:rStyle w:val="18"/>
          <w:rFonts w:hint="eastAsia" w:ascii="仿宋" w:hAnsi="仿宋" w:eastAsia="仿宋" w:cs="仿宋"/>
          <w:b w:val="0"/>
          <w:bCs w:val="0"/>
          <w:spacing w:val="-4"/>
          <w:sz w:val="32"/>
          <w:szCs w:val="32"/>
        </w:rPr>
        <w:t>、</w:t>
      </w:r>
      <w:r>
        <w:rPr>
          <w:rStyle w:val="18"/>
          <w:rFonts w:hint="eastAsia" w:ascii="仿宋" w:hAnsi="仿宋" w:eastAsia="仿宋" w:cs="仿宋"/>
          <w:b w:val="0"/>
          <w:bCs w:val="0"/>
          <w:spacing w:val="-4"/>
          <w:sz w:val="32"/>
          <w:szCs w:val="32"/>
          <w:lang w:eastAsia="zh-CN"/>
        </w:rPr>
        <w:t>动之以情</w:t>
      </w:r>
      <w:r>
        <w:rPr>
          <w:rStyle w:val="18"/>
          <w:rFonts w:hint="eastAsia" w:ascii="仿宋" w:hAnsi="仿宋" w:eastAsia="仿宋" w:cs="仿宋"/>
          <w:b w:val="0"/>
          <w:bCs w:val="0"/>
          <w:spacing w:val="-4"/>
          <w:sz w:val="32"/>
          <w:szCs w:val="32"/>
        </w:rPr>
        <w:t>”开始普及电子记账，点对点下载电子记账APP，截至目前已发展电子记账户14户。按照地委“2024年农村居民人均可支配收入”工作要求，县统计局制定了《塔什库尔干县关于进一步加强城乡居民人均可支配收入统计调查工作的方案》，现呈报县委同意并以县人民政府办公室名义印发各有关乡镇执行。塔什库尔干县每年抽样城镇住户50户、农村住户50户居民收入调查，共计100户。记账居民按照每户每月200元的标准给予记账补助，10名辅助调查员按照550元每户每月给予补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塔什库尔干塔吉克自治县统计局是行政单位，纳入2024年部门决算编制范围的有3个办公室：局长办公室，住户办，普查办。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编制人数9人，其中：行政人员编制3人、工勤1人、参公0人、事业编制5人。实有在职人数8人，其中：行政在职3人、工勤0人、参公0人、事业在职5人。离退休人员3人，其中：行政退休人员3人、事业退休0人。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县级配套资金共安排下达资金30.6万元，项目资金为县级配套资金。最终确定项目资金总数为30.6万元。截至2024年12月31日，实际支出30.6万元，预算执行率100%。</w:t>
      </w:r>
    </w:p>
    <w:p w14:paraId="09249A4F">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1C9D939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1.抓好城乡住户调查样本大轮换后的调查培训、入户登记、数据处理、汇总，发布主要数据公报，资料开发利用等工作；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2.做好城乡住户现金和实物收支记账数据抽查核实工作。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2024年自治区确定我县统计部门负责的城乡居民人均可支配收入统计调查户100户，其中：城镇调查户40户、农村调查户60户。城镇居民调查点分布在：塔干镇布拉克尕勒社区、旭东社区、红旗社区、沙棘林社区，各10户；农村居民调查户分布：富民村、库孜滚村、达布达尔村002组、达布达尔村003组、提孜那甫村、瑙阿巴提村，各10户。通过该项目的实施确保农牧民合法享受农业政策和福利待遇，改善调查人员的生活质量，提升农民生活质量和幸福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明确对住户补助的范围和标准。补助范围包括塔县城镇住户、农村住户。补助标准根据补助范围内各项目的筹资责任和支出标准，综合考虑支出成本差异和各单位财力状况后分单位测算并制定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本项目由阿吉拜克·木沙作为项目负责人，负责该项目的全盘组织实施；努尔曼古丽·肉斯坦木主要负责项目具体建设实施，财务负责人热孜宛古丽·麦海提按照项目负责人提供的依据和发票等按项目进度向财政申请支付资金；通过业务与财务工作共同配合衔接，形成了明确责任分工的项目管理制度，并按照项目规定、监督检查制度、预算绩效管理办法、项目验收制度等相关制度办法严格落实各环节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14:paraId="4EDAB28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131F6A2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3C2F2B8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6CB1DDF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695ACFB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城乡住户调查工作经费项目综合评分表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14:paraId="403B2FF1">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3BF7E44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阿吉拜克·木沙任评价组组长，绩效评价工作职责为负责全盘工作。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努尔曼古丽·肉斯坦木任评价组副组长，绩效评价工作职责为对项目实施情况进行实地调查。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热孜宛古丽·麦海提任评价组成员，绩效评价工作职责为负责资料审核等工作。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01C9FBE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65B89A5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通过实施城乡住户调查工作经费项目产生社会效益。项目实施主要通过项目决策、项目过程、项目产出以及项目效益等方面进行评价，其中：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自治区人民政府办公厅&lt;关于进一步加强新疆国家调查工作的通知&gt;》的通知（新调【2023】9号)文件及县级配套资金文件立项，项目实施符合《自治区人民政府办公厅&lt;关于进一步加强新疆国家调查工作的通知&gt;》的通知（新调【2023】9号)文件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塔什库尔干县统计局2024年城乡住户调查工作项目预算安排30.6万元，实际支出30.6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项目产出：项目资金共发放30.6万元，住户调查记账户100户，补助标准为200元/人/月，补助标准执行率100%，资金发放准确率100%，资金使用合规率100%，补贴发放及时性100%。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项目效益：通过实施此项目产生社会效益，有效提高住户调查户的积极性，住户调查各项国家资助按照规定得到落实，公平显著提高，保障住户调查工作正常运转。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城乡住户调查工作经费项目进行客观评价，最终评分结果：评价总分100分，绩效等级为“优”。</w:t>
      </w:r>
    </w:p>
    <w:p w14:paraId="2600453F">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568D81E8">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4FE7D79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立项结合《住户收支与生活状况调查方案》2023年统计年报和2024年定期报表制度，符合行业发展规划和政策要求；本项目立项符合《塔什库尔干县统计局配置内设机构和人员编制规定》中职责范围中的“组织实施国家统计调查制度、采集、审核、汇总、整理和提供全县农业、工业、商贸、建筑业、房地产、服务业、固定资产投资以及人口、劳动工资、能源、科技、文化等统计调查数据”，属于我单位履职所需；根据《财政资金直接支付申请书》，本项目资金性质为“公共财政预算”功能分类为“2010508”经济分类为“30399”属于公共财政支持范围，符合中央、地方事权支出责任划分原则；经检查我单位财政管理一体化信息系统，本项目不存在重复。结合组织实施国家统计调查制度职责，并组织实施该项目。围绕2024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（2）立项程序规范性：根据决策依据编制工作计划和项目预算，经过与财务分管领导进行沟通、筛选确定经费预算计划，上党委会研究确定最终预算方案，根据评分标准，该指标不扣分，得2分。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我单位对本项目制定了实施方案，明确了总体思路及目标、并对任务进行了详细分解，对目标进行了细化。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①项目严格按照《2024年自治区分行业分领域绩效指标体系》、《塔什库尔干县统计局2024年城乡住户调查工作项目实施方案》设置了《项目支出绩效目标表》。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②项目绩效目标中设立了记账户人数、补助标准等核心指标内容，与本项目实际工作内容相关；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③项目预期产出效益和效果是符合正常的业绩水平。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④经查证《项目支出绩效目标表》、《自治区人民政府办公厅&lt;关于进一步加强新疆国家调查工作的通知&gt;》的通知（新调【2023】9号)等相关资料，本项目预算确定金额、预算批复的项目额为30.6万元，故绩效目标金额与预算确定的项目资金或资金量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经检查我单位年初设置的《项目支出绩效目标表》，得出如下结论：本项目已将年度绩效目标进行细化为绩效指标体系，共设置一级指标4个，二级指标6个，三级指标9个，定量指标8个，定性指标1个，指标量化率为88.89%，量化率达70%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调查居民住户数大于等于100户、辅助调查员人数等于10人，三级指标的年度指标值与年度绩效目标中任务数一致，已设置时效指标“资金支付及时率等于100%、项目完成时间2024年12月25日前”。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（5）预算编制科学性：本项目预算编制通过前期调研论证，同类似项目对比分析，发现预算编制科学合理；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用于用于我单位按照计划对塔县城镇住户50户、农村住户50户居民收入调查，共计100户。年初定的计划对记账居民给予记账补助、10名辅助调查员给予补助，支出30.6万元，项目实际内容为总投资30.6万元，主要用于对记账居民给予记账补助和辅助调查员给予补助支出，预算申请与《塔什库尔干县统计局2024年城乡住户调查工作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30.6万元，我单位在预算申请中严格按照项目实施内容及测算标准进行核算，其中：调查对象补助成本24万元，辅助调查员补助成本6.6万元。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①本项目以《自治区人民政府办公厅&lt;关于进一步加强新疆国家调查工作的通知&gt;》的通知（新调【2023】9号)等文件为依据进行资金分配，预算资金分配依据充分。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②根据本项目《塔什库尔干县统计局2024年城乡住户调查工作项目实施方案》资金分配额度合理，与我单位实际情况相适应。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根据评分标准，该指标不扣分，得2分。</w:t>
      </w:r>
    </w:p>
    <w:p w14:paraId="00608BE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1DEC552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30.6万元，其中：财政安排资金30.6万元，实际到位资金30.6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（2）预算执行率：本项目实际支出资金30.6万元，预算执行率=（30.6/30.6）×100%=100%；通过分析可知，该项目预算编制较为详细，项目资金支出总体能够按照预算执行，根据评分标准，该指标不扣分，得3分。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塔什库尔干县统计局资金管理办法》《塔什库尔干县统计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塔什库尔干县审计局资金管理办法》《塔什库尔干县审计局收支业务管理制度》《塔什库尔干县审计局政府采购业务管理制度》《塔什库尔干县审计局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塔什库尔干县统计局资金管理办法》《塔什库尔干县统计局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②经现场查证，项目合同书、验收评审表、财务支付凭证等资料齐全并及时进行了归档。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③该项目不存在调整。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城乡住户调查工作经费项目工作领导小组，由阿吉拜克·木沙组长，负责项目的组织工作；努尔曼古丽 ·肉斯坦木任副组长，负责项目的实施工作；组员包括：热孜宛古丽·麦海提、张万宁，主要负责项目监督管理、验收以及资金核拨等工作。根据评分标准，该指标不扣分，得5分。</w:t>
      </w:r>
    </w:p>
    <w:p w14:paraId="0866E73B">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6D1AAAB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调查居民住户数指标，预期指标值为大于等于100户，实际完成值为100户，指标完成率为100%，与预期目标一致，根据评分标准，该指标不扣分，得5分。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辅助调查员人数指标，预期指标值为等于10人，实际完成值为10人，指标完成率为100%，与预期目标一致，根据评分标准，该指标不扣分，得5分。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调查覆盖率指标，预期指标值为达100%，实际完成值为100%，指标完成率为100%，该指标满分10分，得10分。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资金支付及时率指标，预期指标值为达100%，实际完成值为100%，指标完成率为100%，与预期目标一致，根据评分标准，该指标不扣分，得5分。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项目完成时间指标，预期指标值为2024年12月25日前，实际完成值为2024年12月25日，指标完成率为100%，与预期目标一致，根据评分标准，该指标不扣分，得5分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调查对象补助标准指标，预期指标值为小于等于200元/人，实际完成值为200元/人，指标完成率为100%，该指标满分8分，得8分。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辅助调查员补助标准指标，预期指标值为小于等于550元/人，实际完成值为550元/人，指标完成率为100%，该指标满分7分，得7分。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合计得15分。</w:t>
      </w:r>
    </w:p>
    <w:p w14:paraId="7FB2CD7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7D1C2D3E">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改善补助人群生活状况指标，该指标预期指标值为改善，实际完成值为改善，指标完成率为100%，与预期指标一致，根据评分标准，该指标不扣分，得10分。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本项目不涉及生态效益指标。</w:t>
      </w:r>
    </w:p>
    <w:p w14:paraId="3DC4D33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44D61E5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对于“满意度指标：被调查人员满意度，该指标预期指标值为大于等于95%，实际完成值为100%，指标完成率为105.26%，根据评分标准，该指标不扣分,得10分。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偏差原因分析：项目实施情况较好，被调查人员满意度高于预期，导致出现正偏差，改进措施：基于当前良好表现，重新审视绩效目标，在以后绩效目标设置时设置更具挑战性的目标，以推动业务持续发展。</w:t>
      </w:r>
    </w:p>
    <w:p w14:paraId="4EB4FEA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30275F57">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城乡住户调查工作项目预算30.6万元，到位30.6万元，实际支出30.6万元，预算执行率为100%，项目绩效指标总体完成率为100.6%。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被调查人员满意度，该指标预期指标值为大于等于95%，实际完成值为100%，指标完成率为105.26%，偏差原因分析：项目实施情况较好，被调查人员满意度高于预期，导致出现正偏差，改进措施：基于当前良好表现，重新审视绩效目标，在以后绩效目标设置时设置更具挑战性的目标，以推动业务持续发展。</w:t>
      </w:r>
    </w:p>
    <w:p w14:paraId="216CE037">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135C101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本项目切实落实管理制度、质量管理，在项目开展的过程中做好相关记录，使项目过程明朗化、清晰化，并且主动接受监督，确保项目工作开展的透明度。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1、部门沟通协调不足，监督责任不明确。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2、项目资金监督和管理需进一步完善。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3、项目进度执行效率有待提高。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4、指标设计的合理性有待提高。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5、部分项目测算依据不充分。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6、目标和战略规划缺乏明确性，项目需求未达痛点。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7、指标设计质量不够稳定和有一定的主观性。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8、评价信息不够充分，影响指标设置的合理科学性。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9、评价工作的审核监督不足有待加强，责任划分需进一步明确。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10、评价监管与问责制度还需进一步强化，众多配套机制还需进一步完善。</w:t>
      </w:r>
    </w:p>
    <w:p w14:paraId="73C843F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168BC36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七、有关建议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在项目决策中，严格按照上级单位的要求，拟定项目执行的任务，建章立制，扎实推进相关要求，做好项目进度计划设定，强化实施计划与组织管理，加强外部协调与沟通。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在项目决策中，要加强项目建设管理，严格履行建设程序，确保项目先审批后实施。严格执行国家有关建设资金管理使用、发票管理、税收政策等相关规定，规范财务核算行为，注重资金支付原始凭证的合规性。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根据政策文件要求以及本单位的三定方案职能设立本项目，项目经费专款专用，明确项目的目标和需求，考虑项目的可行性和所面临的各种风险，制定详细的计划和预算。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明确项目组自身定位，制定相关计划，加强过程控制，分阶段组织实施，与所有相关方积极协调配合，建立良好团队及环境氛围。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严把政策关，对项目进行可行性分析，对项目的不同方案进行比较，严格按照上级单位的要求，制定项目实施计划，拟定项目执行的任务，建章立制，制定项目管理和监控计划，扎实推进相关要求，做好项目进度计划设定，强化实施计划与组织管理，加强外部协调与沟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在项目决策中，严格按照上级单位的要求，拟定项目执行的任务计划，建章立制，扎实推进相关要求，做好项目进度计划设定，制定项目评估和反馈计划，强化实施计划与组织管理。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决策中，明确项目的目标和范围，严格按照上级单位的要求，制定项目的预算和资金来源，拟定项目执行的任务，建章立制，扎实推进相关要求，做好项目进度计划设定，强化实施计划与组织管理，考虑到项目的可行性、可操作性和可持续性，加强外部协调与沟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项目决策中，合理设置目标，科学制定计划，严格按照上级单位的要求，拟定项目执行的任务，解决项目核心问题，评估项目方案，科学合理做出决定，建章立制，扎实推进相关要求，做好项目进度计划设定，强化实施计划与组织管理，加强外部协调与沟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决策中，强化预算绩效管理可以进一步明确监督和执行的责任主体,压实预算绩效管理主体责任,力求提高财政资金使用效益。重视项目风险管控，了解项目痛点，根据上级部门要求拟定项目执行的任务，建章立制，扎实推进相关要求，做好项目进度计划设定，强化实施计划与组织管理，加强外部协调与沟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项目决策中，严格按照上级单位的要求，建设完善的管理模式，成立管理协调领导机构，负责解决相关的顶层设计、协调关系，拟定项目执行的任务，建章立制，扎实推进相关要求，健全符合本项目的项目确立机制、价值评估机制、项目合理回报机制、风险管控和分担机制、项目资金追踪机制、融资机制，做好项目进度计划设定，强化计划实施与组织管理，加强内外部协作。</w:t>
      </w:r>
    </w:p>
    <w:p w14:paraId="450899B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4873F109">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E2B901A">
        <w:pPr>
          <w:pStyle w:val="12"/>
          <w:jc w:val="center"/>
        </w:pPr>
        <w:r>
          <w:fldChar w:fldCharType="begin"/>
        </w:r>
        <w:r>
          <w:instrText xml:space="preserve">PAGE   \* MERGEFORMAT</w:instrText>
        </w:r>
        <w:r>
          <w:fldChar w:fldCharType="separate"/>
        </w:r>
        <w:r>
          <w:rPr>
            <w:lang w:val="zh-CN"/>
          </w:rPr>
          <w:t>1</w:t>
        </w:r>
        <w:r>
          <w:fldChar w:fldCharType="end"/>
        </w:r>
      </w:p>
    </w:sdtContent>
  </w:sdt>
  <w:p w14:paraId="53C8EEF6">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4E8A2713"/>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26</Pages>
  <Words>9747</Words>
  <Characters>10177</Characters>
  <Lines>5</Lines>
  <Paragraphs>1</Paragraphs>
  <TotalTime>0</TotalTime>
  <ScaleCrop>false</ScaleCrop>
  <LinksUpToDate>false</LinksUpToDate>
  <CharactersWithSpaces>11490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2025-09-04T08:32:28Z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