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中共塔什库尔干塔吉克自治县委员会社工部2024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AB3A010">
      <w:r>
        <w:br w:type="page"/>
      </w:r>
    </w:p>
    <w:p w14:paraId="5F96B946">
      <w:pPr>
        <w:spacing w:line="640" w:lineRule="exact"/>
        <w:jc w:val="center"/>
        <w:outlineLvl w:val="1"/>
      </w:pPr>
      <w:r>
        <w:rPr>
          <w:rFonts w:ascii="黑体" w:hAnsi="黑体" w:eastAsia="黑体"/>
          <w:sz w:val="32"/>
        </w:rPr>
        <w:t>第一部分 单位概况</w:t>
      </w:r>
    </w:p>
    <w:p w14:paraId="37C1B43C">
      <w:pPr>
        <w:spacing w:line="640" w:lineRule="exact"/>
        <w:ind w:firstLine="640"/>
        <w:jc w:val="both"/>
        <w:outlineLvl w:val="2"/>
      </w:pPr>
      <w:r>
        <w:rPr>
          <w:rFonts w:ascii="黑体" w:hAnsi="黑体" w:eastAsia="黑体"/>
          <w:sz w:val="32"/>
        </w:rPr>
        <w:t>一、主要职能</w:t>
      </w:r>
    </w:p>
    <w:p w14:paraId="0F57DDDE">
      <w:pPr>
        <w:spacing w:line="580" w:lineRule="exact"/>
        <w:ind w:firstLine="640"/>
        <w:jc w:val="both"/>
      </w:pPr>
      <w:r>
        <w:rPr>
          <w:rFonts w:ascii="仿宋_GB2312" w:hAnsi="仿宋_GB2312" w:eastAsia="仿宋_GB2312"/>
          <w:sz w:val="32"/>
        </w:rPr>
        <w:t>社工部通常指社会工作部，其工作职能主要包括以下几个方面。</w:t>
      </w:r>
    </w:p>
    <w:p w14:paraId="6F54F064">
      <w:pPr>
        <w:spacing w:line="580" w:lineRule="exact"/>
        <w:ind w:firstLine="640"/>
        <w:jc w:val="both"/>
      </w:pPr>
      <w:r>
        <w:rPr>
          <w:rFonts w:ascii="仿宋_GB2312" w:hAnsi="仿宋_GB2312" w:eastAsia="仿宋_GB2312"/>
          <w:sz w:val="32"/>
        </w:rPr>
        <w:t>社会政策制定与研究。</w:t>
      </w:r>
    </w:p>
    <w:p w14:paraId="233FFD29">
      <w:pPr>
        <w:spacing w:line="580" w:lineRule="exact"/>
        <w:ind w:firstLine="640"/>
        <w:jc w:val="both"/>
      </w:pPr>
      <w:r>
        <w:rPr>
          <w:rFonts w:ascii="仿宋_GB2312" w:hAnsi="仿宋_GB2312" w:eastAsia="仿宋_GB2312"/>
          <w:sz w:val="32"/>
        </w:rPr>
        <w:t>（1）参与制定、修订与社会福利、社会救助、社区建设等相关的政策法规，为社会发展提供政策支持。</w:t>
      </w:r>
    </w:p>
    <w:p w14:paraId="4C62869F">
      <w:pPr>
        <w:spacing w:line="580" w:lineRule="exact"/>
        <w:ind w:firstLine="640"/>
        <w:jc w:val="both"/>
      </w:pPr>
      <w:r>
        <w:rPr>
          <w:rFonts w:ascii="仿宋_GB2312" w:hAnsi="仿宋_GB2312" w:eastAsia="仿宋_GB2312"/>
          <w:sz w:val="32"/>
        </w:rPr>
        <w:t>（2）开展社会政策研究，分析社会问题，为政府决策提供依据和建议。</w:t>
      </w:r>
    </w:p>
    <w:p w14:paraId="385D87B3">
      <w:pPr>
        <w:spacing w:line="580" w:lineRule="exact"/>
        <w:ind w:firstLine="640"/>
        <w:jc w:val="both"/>
      </w:pPr>
      <w:r>
        <w:rPr>
          <w:rFonts w:ascii="仿宋_GB2312" w:hAnsi="仿宋_GB2312" w:eastAsia="仿宋_GB2312"/>
          <w:sz w:val="32"/>
        </w:rPr>
        <w:t>社会服务管理。</w:t>
      </w:r>
    </w:p>
    <w:p w14:paraId="1525E1B5">
      <w:pPr>
        <w:spacing w:line="580" w:lineRule="exact"/>
        <w:ind w:firstLine="640"/>
        <w:jc w:val="both"/>
      </w:pPr>
      <w:r>
        <w:rPr>
          <w:rFonts w:ascii="仿宋_GB2312" w:hAnsi="仿宋_GB2312" w:eastAsia="仿宋_GB2312"/>
          <w:sz w:val="32"/>
        </w:rPr>
        <w:t>（1）统筹规划社会服务机构的设置和发展，推动社会服务的专业化、规范化建设。</w:t>
      </w:r>
    </w:p>
    <w:p w14:paraId="0DB23930">
      <w:pPr>
        <w:spacing w:line="580" w:lineRule="exact"/>
        <w:ind w:firstLine="640"/>
        <w:jc w:val="both"/>
      </w:pPr>
      <w:r>
        <w:rPr>
          <w:rFonts w:ascii="仿宋_GB2312" w:hAnsi="仿宋_GB2312" w:eastAsia="仿宋_GB2312"/>
          <w:sz w:val="32"/>
        </w:rPr>
        <w:t>（2）对各类社会服务项目进行评估和监督，确保服务质量和效果。</w:t>
      </w:r>
    </w:p>
    <w:p w14:paraId="66544CA6">
      <w:pPr>
        <w:spacing w:line="580" w:lineRule="exact"/>
        <w:ind w:firstLine="640"/>
        <w:jc w:val="both"/>
      </w:pPr>
      <w:r>
        <w:rPr>
          <w:rFonts w:ascii="仿宋_GB2312" w:hAnsi="仿宋_GB2312" w:eastAsia="仿宋_GB2312"/>
          <w:sz w:val="32"/>
        </w:rPr>
        <w:t>社区建设与发展。</w:t>
      </w:r>
    </w:p>
    <w:p w14:paraId="4C572A87">
      <w:pPr>
        <w:spacing w:line="580" w:lineRule="exact"/>
        <w:ind w:firstLine="640"/>
        <w:jc w:val="both"/>
      </w:pPr>
      <w:r>
        <w:rPr>
          <w:rFonts w:ascii="仿宋_GB2312" w:hAnsi="仿宋_GB2312" w:eastAsia="仿宋_GB2312"/>
          <w:sz w:val="32"/>
        </w:rPr>
        <w:t>（1）指导社区规划和建设，促进社区基础设施完善，提升社区居民的生活质量。</w:t>
      </w:r>
    </w:p>
    <w:p w14:paraId="2750B54E">
      <w:pPr>
        <w:spacing w:line="580" w:lineRule="exact"/>
        <w:ind w:firstLine="640"/>
        <w:jc w:val="both"/>
      </w:pPr>
      <w:r>
        <w:rPr>
          <w:rFonts w:ascii="仿宋_GB2312" w:hAnsi="仿宋_GB2312" w:eastAsia="仿宋_GB2312"/>
          <w:sz w:val="32"/>
        </w:rPr>
        <w:t>（2）组织开展社区活动，培育社区组织和志愿者队伍，增强社区凝聚力和居民参与度。</w:t>
      </w:r>
    </w:p>
    <w:p w14:paraId="6FCF1E85">
      <w:pPr>
        <w:spacing w:line="580" w:lineRule="exact"/>
        <w:ind w:firstLine="640"/>
        <w:jc w:val="both"/>
      </w:pPr>
      <w:r>
        <w:rPr>
          <w:rFonts w:ascii="仿宋_GB2312" w:hAnsi="仿宋_GB2312" w:eastAsia="仿宋_GB2312"/>
          <w:sz w:val="32"/>
        </w:rPr>
        <w:t>社会救助与福利。</w:t>
      </w:r>
    </w:p>
    <w:p w14:paraId="274813EE">
      <w:pPr>
        <w:spacing w:line="580" w:lineRule="exact"/>
        <w:ind w:firstLine="640"/>
        <w:jc w:val="both"/>
      </w:pPr>
      <w:r>
        <w:rPr>
          <w:rFonts w:ascii="仿宋_GB2312" w:hAnsi="仿宋_GB2312" w:eastAsia="仿宋_GB2312"/>
          <w:sz w:val="32"/>
        </w:rPr>
        <w:t>（1）负责城乡困难群众的救助工作，包括最低生活保障、特困人员供养、临时救助等。</w:t>
      </w:r>
    </w:p>
    <w:p w14:paraId="2215298E">
      <w:pPr>
        <w:spacing w:line="580" w:lineRule="exact"/>
        <w:ind w:firstLine="640"/>
        <w:jc w:val="both"/>
      </w:pPr>
      <w:r>
        <w:rPr>
          <w:rFonts w:ascii="仿宋_GB2312" w:hAnsi="仿宋_GB2312" w:eastAsia="仿宋_GB2312"/>
          <w:sz w:val="32"/>
        </w:rPr>
        <w:t>（2）推动社会福利事业发展，保障老年人、残疾人、儿童等特殊群体的合法权益。</w:t>
      </w:r>
    </w:p>
    <w:p w14:paraId="1D3140C3">
      <w:pPr>
        <w:spacing w:line="580" w:lineRule="exact"/>
        <w:ind w:firstLine="640"/>
        <w:jc w:val="both"/>
      </w:pPr>
      <w:r>
        <w:rPr>
          <w:rFonts w:ascii="仿宋_GB2312" w:hAnsi="仿宋_GB2312" w:eastAsia="仿宋_GB2312"/>
          <w:sz w:val="32"/>
        </w:rPr>
        <w:t>社会组织管理。</w:t>
      </w:r>
    </w:p>
    <w:p w14:paraId="403F6B16">
      <w:pPr>
        <w:spacing w:line="580" w:lineRule="exact"/>
        <w:ind w:firstLine="640"/>
        <w:jc w:val="both"/>
      </w:pPr>
      <w:r>
        <w:rPr>
          <w:rFonts w:ascii="仿宋_GB2312" w:hAnsi="仿宋_GB2312" w:eastAsia="仿宋_GB2312"/>
          <w:sz w:val="32"/>
        </w:rPr>
        <w:t>（1）对社会组织进行登记、管理和监督，促进社会组织健康有序发展。</w:t>
      </w:r>
    </w:p>
    <w:p w14:paraId="5B8D41A3">
      <w:pPr>
        <w:spacing w:line="580" w:lineRule="exact"/>
        <w:ind w:firstLine="640"/>
        <w:jc w:val="both"/>
      </w:pPr>
      <w:r>
        <w:rPr>
          <w:rFonts w:ascii="仿宋_GB2312" w:hAnsi="仿宋_GB2312" w:eastAsia="仿宋_GB2312"/>
          <w:sz w:val="32"/>
        </w:rPr>
        <w:t>（2）引导社会组织参与社会服务和社会治理，发挥社会组织在经济社会发展中的作用。</w:t>
      </w:r>
    </w:p>
    <w:p w14:paraId="2D0EE301">
      <w:pPr>
        <w:spacing w:line="580" w:lineRule="exact"/>
        <w:ind w:firstLine="640"/>
        <w:jc w:val="both"/>
      </w:pPr>
      <w:r>
        <w:rPr>
          <w:rFonts w:ascii="仿宋_GB2312" w:hAnsi="仿宋_GB2312" w:eastAsia="仿宋_GB2312"/>
          <w:sz w:val="32"/>
        </w:rPr>
        <w:t>社会工作人才队伍建设。</w:t>
      </w:r>
    </w:p>
    <w:p w14:paraId="5188F567">
      <w:pPr>
        <w:spacing w:line="580" w:lineRule="exact"/>
        <w:ind w:firstLine="640"/>
        <w:jc w:val="both"/>
      </w:pPr>
      <w:r>
        <w:rPr>
          <w:rFonts w:ascii="仿宋_GB2312" w:hAnsi="仿宋_GB2312" w:eastAsia="仿宋_GB2312"/>
          <w:sz w:val="32"/>
        </w:rPr>
        <w:t>（1）制定社会工作人才发展规划，组织开展社会工作者职业资格考试和注册登记工作。</w:t>
      </w:r>
    </w:p>
    <w:p w14:paraId="181F34DC">
      <w:pPr>
        <w:spacing w:line="580" w:lineRule="exact"/>
        <w:ind w:firstLine="640"/>
        <w:jc w:val="both"/>
      </w:pPr>
      <w:r>
        <w:rPr>
          <w:rFonts w:ascii="仿宋_GB2312" w:hAnsi="仿宋_GB2312" w:eastAsia="仿宋_GB2312"/>
          <w:sz w:val="32"/>
        </w:rPr>
        <w:t>（2）组织社会工作者培训和继续教育，提高社会工作者的专业素质和服务能力。</w:t>
      </w:r>
    </w:p>
    <w:p w14:paraId="60B575B2">
      <w:pPr>
        <w:spacing w:line="640" w:lineRule="exact"/>
        <w:ind w:firstLine="640"/>
        <w:jc w:val="both"/>
        <w:outlineLvl w:val="2"/>
      </w:pPr>
      <w:r>
        <w:rPr>
          <w:rFonts w:ascii="黑体" w:hAnsi="黑体" w:eastAsia="黑体"/>
          <w:sz w:val="32"/>
        </w:rPr>
        <w:t>二、机构设置及人员情况</w:t>
      </w:r>
    </w:p>
    <w:p w14:paraId="0879B26E">
      <w:pPr>
        <w:spacing w:line="580" w:lineRule="exact"/>
        <w:ind w:firstLine="640"/>
        <w:jc w:val="both"/>
      </w:pPr>
      <w:r>
        <w:rPr>
          <w:rFonts w:ascii="仿宋_GB2312" w:hAnsi="仿宋_GB2312" w:eastAsia="仿宋_GB2312"/>
          <w:sz w:val="32"/>
        </w:rPr>
        <w:t>中共塔什库尔干塔吉克自治县委员会社工部2024年度，实有人数11人，其中：在职人员11人，增加11人；离休人员0人，增加0人；退休人员0人,增加0人。</w:t>
      </w:r>
    </w:p>
    <w:p w14:paraId="250EB83A">
      <w:pPr>
        <w:spacing w:line="580" w:lineRule="exact"/>
        <w:ind w:firstLine="640"/>
        <w:jc w:val="both"/>
      </w:pPr>
      <w:r>
        <w:rPr>
          <w:rFonts w:ascii="仿宋_GB2312" w:hAnsi="仿宋_GB2312" w:eastAsia="仿宋_GB2312"/>
          <w:sz w:val="32"/>
        </w:rPr>
        <w:t>单位无下属预算单位，下设3个科室，分别是：办公室、基层政权建设（基层治理）室、财务室。</w:t>
      </w:r>
    </w:p>
    <w:p w14:paraId="3904728E">
      <w:r>
        <w:br w:type="page"/>
      </w:r>
    </w:p>
    <w:p w14:paraId="0DE0E749">
      <w:pPr>
        <w:spacing w:line="240" w:lineRule="auto"/>
        <w:jc w:val="center"/>
        <w:outlineLvl w:val="1"/>
      </w:pPr>
      <w:r>
        <w:rPr>
          <w:rFonts w:ascii="黑体" w:hAnsi="黑体" w:eastAsia="黑体"/>
          <w:sz w:val="32"/>
        </w:rPr>
        <w:t>第二部分 部门决算情况说明</w:t>
      </w:r>
    </w:p>
    <w:p w14:paraId="1DC02D79">
      <w:pPr>
        <w:spacing w:line="640" w:lineRule="exact"/>
        <w:ind w:firstLine="640"/>
        <w:jc w:val="both"/>
        <w:outlineLvl w:val="2"/>
      </w:pPr>
      <w:r>
        <w:rPr>
          <w:rFonts w:ascii="黑体" w:hAnsi="黑体" w:eastAsia="黑体"/>
          <w:sz w:val="32"/>
        </w:rPr>
        <w:t>一、收入支出决算总体情况说明</w:t>
      </w:r>
    </w:p>
    <w:p w14:paraId="1B012649">
      <w:pPr>
        <w:spacing w:line="580" w:lineRule="exact"/>
        <w:ind w:firstLine="640"/>
        <w:jc w:val="both"/>
      </w:pPr>
      <w:r>
        <w:rPr>
          <w:rFonts w:ascii="仿宋_GB2312" w:hAnsi="仿宋_GB2312" w:eastAsia="仿宋_GB2312"/>
          <w:b/>
          <w:sz w:val="32"/>
        </w:rPr>
        <w:t>2024年度收入总计36.89万元，</w:t>
      </w:r>
      <w:r>
        <w:rPr>
          <w:rFonts w:ascii="仿宋_GB2312" w:hAnsi="仿宋_GB2312" w:eastAsia="仿宋_GB2312"/>
          <w:b w:val="0"/>
          <w:sz w:val="32"/>
        </w:rPr>
        <w:t>其中：本年收入合计36.89万元，使用非财政拨款结余（含专用结余）0.00万元，年初结转和结余0.00万元。</w:t>
      </w:r>
    </w:p>
    <w:p w14:paraId="3BEE4C3B">
      <w:pPr>
        <w:spacing w:line="580" w:lineRule="exact"/>
        <w:ind w:firstLine="640"/>
        <w:jc w:val="both"/>
      </w:pPr>
      <w:r>
        <w:rPr>
          <w:rFonts w:ascii="仿宋_GB2312" w:hAnsi="仿宋_GB2312" w:eastAsia="仿宋_GB2312"/>
          <w:b/>
          <w:sz w:val="32"/>
        </w:rPr>
        <w:t>2024年度支出总计36.89万元，</w:t>
      </w:r>
      <w:r>
        <w:rPr>
          <w:rFonts w:ascii="仿宋_GB2312" w:hAnsi="仿宋_GB2312" w:eastAsia="仿宋_GB2312"/>
          <w:b w:val="0"/>
          <w:sz w:val="32"/>
        </w:rPr>
        <w:t>其中：本年支出合计36.89万元，结余分配0.00万元，年末结转和结余0.00万元。</w:t>
      </w:r>
    </w:p>
    <w:p w14:paraId="1FA92BEF">
      <w:pPr>
        <w:spacing w:line="580" w:lineRule="exact"/>
        <w:ind w:firstLine="640"/>
        <w:jc w:val="both"/>
      </w:pPr>
      <w:r>
        <w:rPr>
          <w:rFonts w:ascii="仿宋_GB2312" w:hAnsi="仿宋_GB2312" w:eastAsia="仿宋_GB2312"/>
          <w:b w:val="0"/>
          <w:sz w:val="32"/>
        </w:rPr>
        <w:t>收入支出总体与上年相比，增加36.89万元，增长100.00%，主要原因是：2024年8月新成立</w:t>
      </w:r>
      <w:r>
        <w:rPr>
          <w:rFonts w:hint="eastAsia" w:ascii="仿宋_GB2312" w:hAnsi="仿宋_GB2312" w:eastAsia="仿宋_GB2312"/>
          <w:b w:val="0"/>
          <w:sz w:val="32"/>
          <w:lang w:val="en-US" w:eastAsia="zh-CN"/>
        </w:rPr>
        <w:t>单位</w:t>
      </w:r>
      <w:r>
        <w:rPr>
          <w:rFonts w:ascii="仿宋_GB2312" w:hAnsi="仿宋_GB2312" w:eastAsia="仿宋_GB2312"/>
          <w:b w:val="0"/>
          <w:sz w:val="32"/>
        </w:rPr>
        <w:t>，无上年对比</w:t>
      </w:r>
      <w:r>
        <w:rPr>
          <w:rFonts w:hint="eastAsia" w:ascii="仿宋_GB2312" w:hAnsi="仿宋_GB2312" w:eastAsia="仿宋_GB2312"/>
          <w:b w:val="0"/>
          <w:sz w:val="32"/>
          <w:lang w:val="en-US" w:eastAsia="zh-CN"/>
        </w:rPr>
        <w:t>数据</w:t>
      </w:r>
      <w:r>
        <w:rPr>
          <w:rFonts w:ascii="仿宋_GB2312" w:hAnsi="仿宋_GB2312" w:eastAsia="仿宋_GB2312"/>
          <w:b w:val="0"/>
          <w:sz w:val="32"/>
        </w:rPr>
        <w:t>。</w:t>
      </w:r>
    </w:p>
    <w:p w14:paraId="7E57B17D">
      <w:pPr>
        <w:spacing w:line="640" w:lineRule="exact"/>
        <w:ind w:firstLine="640"/>
        <w:jc w:val="both"/>
        <w:outlineLvl w:val="2"/>
      </w:pPr>
      <w:r>
        <w:rPr>
          <w:rFonts w:ascii="黑体" w:hAnsi="黑体" w:eastAsia="黑体"/>
          <w:sz w:val="32"/>
        </w:rPr>
        <w:t>二、收入决算情况说明</w:t>
      </w:r>
    </w:p>
    <w:p w14:paraId="1870784E">
      <w:pPr>
        <w:spacing w:line="580" w:lineRule="exact"/>
        <w:ind w:firstLine="640"/>
        <w:jc w:val="both"/>
      </w:pPr>
      <w:r>
        <w:rPr>
          <w:rFonts w:ascii="仿宋_GB2312" w:hAnsi="仿宋_GB2312" w:eastAsia="仿宋_GB2312"/>
          <w:b/>
          <w:sz w:val="32"/>
        </w:rPr>
        <w:t>本年收入36.89万元，</w:t>
      </w:r>
      <w:r>
        <w:rPr>
          <w:rFonts w:ascii="仿宋_GB2312" w:hAnsi="仿宋_GB2312" w:eastAsia="仿宋_GB2312"/>
          <w:b w:val="0"/>
          <w:sz w:val="32"/>
        </w:rPr>
        <w:t>其中：财政拨款收入36.89万元，占100.00%；上级补助收入0.00万元，占0.00%；事业收入0.00万元，占0.00%；经营收入0.00万元，占0.00%；附属单位上缴收入0.00万元，占0.00%；其他收入0.00万元，占0.00%。</w:t>
      </w:r>
    </w:p>
    <w:p w14:paraId="25DACDC8">
      <w:pPr>
        <w:spacing w:line="640" w:lineRule="exact"/>
        <w:ind w:firstLine="640"/>
        <w:jc w:val="both"/>
        <w:outlineLvl w:val="2"/>
      </w:pPr>
      <w:r>
        <w:rPr>
          <w:rFonts w:ascii="黑体" w:hAnsi="黑体" w:eastAsia="黑体"/>
          <w:sz w:val="32"/>
        </w:rPr>
        <w:t>三、支出决算情况说明</w:t>
      </w:r>
    </w:p>
    <w:p w14:paraId="178A072C">
      <w:pPr>
        <w:spacing w:line="580" w:lineRule="exact"/>
        <w:ind w:firstLine="640"/>
        <w:jc w:val="both"/>
      </w:pPr>
      <w:r>
        <w:rPr>
          <w:rFonts w:ascii="仿宋_GB2312" w:hAnsi="仿宋_GB2312" w:eastAsia="仿宋_GB2312"/>
          <w:b/>
          <w:sz w:val="32"/>
        </w:rPr>
        <w:t>本年支出36.89万元，</w:t>
      </w:r>
      <w:r>
        <w:rPr>
          <w:rFonts w:ascii="仿宋_GB2312" w:hAnsi="仿宋_GB2312" w:eastAsia="仿宋_GB2312"/>
          <w:b w:val="0"/>
          <w:sz w:val="32"/>
        </w:rPr>
        <w:t>其中：基本支出36.89万元，占100.00%；项目支出0.00万元，占0.00%；上缴上级支出0.00万元，占0.00%；经营支出0.00万元，占0.00%；对附属单位补助支出0.00万元，占0.00%。</w:t>
      </w:r>
    </w:p>
    <w:p w14:paraId="7D274C5E">
      <w:pPr>
        <w:spacing w:line="640" w:lineRule="exact"/>
        <w:ind w:firstLine="640"/>
        <w:jc w:val="both"/>
        <w:outlineLvl w:val="2"/>
      </w:pPr>
      <w:r>
        <w:rPr>
          <w:rFonts w:ascii="黑体" w:hAnsi="黑体" w:eastAsia="黑体"/>
          <w:sz w:val="32"/>
        </w:rPr>
        <w:t>四、财政拨款收入支出决算总体情况说明</w:t>
      </w:r>
    </w:p>
    <w:p w14:paraId="0B34BDA0">
      <w:pPr>
        <w:spacing w:line="580" w:lineRule="exact"/>
        <w:ind w:firstLine="640"/>
        <w:jc w:val="both"/>
      </w:pPr>
      <w:r>
        <w:rPr>
          <w:rFonts w:ascii="仿宋_GB2312" w:hAnsi="仿宋_GB2312" w:eastAsia="仿宋_GB2312"/>
          <w:b/>
          <w:sz w:val="32"/>
        </w:rPr>
        <w:t>2024年度财政拨款收入总计36.89万元，</w:t>
      </w:r>
      <w:r>
        <w:rPr>
          <w:rFonts w:ascii="仿宋_GB2312" w:hAnsi="仿宋_GB2312" w:eastAsia="仿宋_GB2312"/>
          <w:b w:val="0"/>
          <w:sz w:val="32"/>
        </w:rPr>
        <w:t>其中：年初财政拨款结转和结余0.00万元，本年财政拨款收入36.89万元。</w:t>
      </w:r>
      <w:r>
        <w:rPr>
          <w:rFonts w:ascii="仿宋_GB2312" w:hAnsi="仿宋_GB2312" w:eastAsia="仿宋_GB2312"/>
          <w:b/>
          <w:sz w:val="32"/>
        </w:rPr>
        <w:t>财政拨款支出总计36.89万元，</w:t>
      </w:r>
      <w:r>
        <w:rPr>
          <w:rFonts w:ascii="仿宋_GB2312" w:hAnsi="仿宋_GB2312" w:eastAsia="仿宋_GB2312"/>
          <w:b w:val="0"/>
          <w:sz w:val="32"/>
        </w:rPr>
        <w:t>其中：年末财政拨款结转和结余0.00万元，本年财政拨款支出36.89万元。</w:t>
      </w:r>
    </w:p>
    <w:p w14:paraId="67E3442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增加36.89万元，增长100.00%，主要原因是：2024年8月新成立</w:t>
      </w:r>
      <w:r>
        <w:rPr>
          <w:rFonts w:hint="eastAsia" w:ascii="仿宋_GB2312" w:hAnsi="仿宋_GB2312" w:eastAsia="仿宋_GB2312"/>
          <w:b w:val="0"/>
          <w:sz w:val="32"/>
          <w:lang w:val="en-US" w:eastAsia="zh-CN"/>
        </w:rPr>
        <w:t>单位</w:t>
      </w:r>
      <w:r>
        <w:rPr>
          <w:rFonts w:ascii="仿宋_GB2312" w:hAnsi="仿宋_GB2312" w:eastAsia="仿宋_GB2312"/>
          <w:b w:val="0"/>
          <w:sz w:val="32"/>
        </w:rPr>
        <w:t>，无上年对比</w:t>
      </w:r>
      <w:r>
        <w:rPr>
          <w:rFonts w:hint="eastAsia" w:ascii="仿宋_GB2312" w:hAnsi="仿宋_GB2312" w:eastAsia="仿宋_GB2312"/>
          <w:b w:val="0"/>
          <w:sz w:val="32"/>
          <w:lang w:val="en-US" w:eastAsia="zh-CN"/>
        </w:rPr>
        <w:t>数据</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年初预算数0.00万元，决算数36.89万元，预决算差异率100.00%，主要原因是：2024年8月新成立</w:t>
      </w:r>
      <w:r>
        <w:rPr>
          <w:rFonts w:hint="eastAsia" w:ascii="仿宋_GB2312" w:hAnsi="仿宋_GB2312" w:eastAsia="仿宋_GB2312"/>
          <w:b w:val="0"/>
          <w:sz w:val="32"/>
          <w:lang w:val="en-US" w:eastAsia="zh-CN"/>
        </w:rPr>
        <w:t>单位</w:t>
      </w:r>
      <w:r>
        <w:rPr>
          <w:rFonts w:ascii="仿宋_GB2312" w:hAnsi="仿宋_GB2312" w:eastAsia="仿宋_GB2312"/>
          <w:b w:val="0"/>
          <w:sz w:val="32"/>
        </w:rPr>
        <w:t>，无年初预算，</w:t>
      </w:r>
      <w:r>
        <w:rPr>
          <w:rFonts w:hint="eastAsia" w:ascii="仿宋_GB2312" w:hAnsi="仿宋_GB2312" w:eastAsia="仿宋_GB2312"/>
          <w:b w:val="0"/>
          <w:sz w:val="32"/>
          <w:lang w:val="en-US" w:eastAsia="zh-CN"/>
        </w:rPr>
        <w:t>年中追加人员经费</w:t>
      </w:r>
      <w:r>
        <w:rPr>
          <w:rFonts w:ascii="仿宋_GB2312" w:hAnsi="仿宋_GB2312" w:eastAsia="仿宋_GB2312"/>
          <w:b w:val="0"/>
          <w:sz w:val="32"/>
        </w:rPr>
        <w:t>。</w:t>
      </w:r>
    </w:p>
    <w:p w14:paraId="459D747C">
      <w:pPr>
        <w:spacing w:line="640" w:lineRule="exact"/>
        <w:ind w:firstLine="640"/>
        <w:jc w:val="both"/>
        <w:outlineLvl w:val="2"/>
      </w:pPr>
      <w:r>
        <w:rPr>
          <w:rFonts w:ascii="黑体" w:hAnsi="黑体" w:eastAsia="黑体"/>
          <w:sz w:val="32"/>
        </w:rPr>
        <w:t>五、一般公共预算财政拨款支出决算情况说明</w:t>
      </w:r>
    </w:p>
    <w:p w14:paraId="1AC2A45D">
      <w:pPr>
        <w:spacing w:line="640" w:lineRule="exact"/>
        <w:ind w:firstLine="640"/>
        <w:jc w:val="both"/>
        <w:outlineLvl w:val="3"/>
      </w:pPr>
      <w:r>
        <w:rPr>
          <w:rFonts w:ascii="楷体_GB2312" w:hAnsi="楷体_GB2312" w:eastAsia="楷体_GB2312"/>
          <w:b/>
          <w:sz w:val="32"/>
        </w:rPr>
        <w:t>（一）一般公共预算财政拨款支出决算总体情况</w:t>
      </w:r>
    </w:p>
    <w:p w14:paraId="796514E1">
      <w:pPr>
        <w:spacing w:line="580" w:lineRule="exact"/>
        <w:ind w:firstLine="640"/>
        <w:jc w:val="both"/>
      </w:pPr>
      <w:r>
        <w:rPr>
          <w:rFonts w:ascii="仿宋_GB2312" w:hAnsi="仿宋_GB2312" w:eastAsia="仿宋_GB2312"/>
          <w:b/>
          <w:sz w:val="32"/>
        </w:rPr>
        <w:t>2024年度一般公共预算财政拨款支出36.89万元，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增加36.89万元，增长100.00%，主要原因是：2024年8月新成立</w:t>
      </w:r>
      <w:r>
        <w:rPr>
          <w:rFonts w:hint="eastAsia" w:ascii="仿宋_GB2312" w:hAnsi="仿宋_GB2312" w:eastAsia="仿宋_GB2312"/>
          <w:b w:val="0"/>
          <w:sz w:val="32"/>
          <w:lang w:val="en-US" w:eastAsia="zh-CN"/>
        </w:rPr>
        <w:t>单位</w:t>
      </w:r>
      <w:r>
        <w:rPr>
          <w:rFonts w:ascii="仿宋_GB2312" w:hAnsi="仿宋_GB2312" w:eastAsia="仿宋_GB2312"/>
          <w:b w:val="0"/>
          <w:sz w:val="32"/>
        </w:rPr>
        <w:t>，无上年对比</w:t>
      </w:r>
      <w:r>
        <w:rPr>
          <w:rFonts w:hint="eastAsia" w:ascii="仿宋_GB2312" w:hAnsi="仿宋_GB2312" w:eastAsia="仿宋_GB2312"/>
          <w:b w:val="0"/>
          <w:sz w:val="32"/>
          <w:lang w:val="en-US" w:eastAsia="zh-CN"/>
        </w:rPr>
        <w:t>数据</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年初预算数0.00万元，决算数36.89万元，预决算差异率100.00%，主要原因是：2024年8月新成立</w:t>
      </w:r>
      <w:r>
        <w:rPr>
          <w:rFonts w:hint="eastAsia" w:ascii="仿宋_GB2312" w:hAnsi="仿宋_GB2312" w:eastAsia="仿宋_GB2312"/>
          <w:b w:val="0"/>
          <w:sz w:val="32"/>
          <w:lang w:val="en-US" w:eastAsia="zh-CN"/>
        </w:rPr>
        <w:t>单位</w:t>
      </w:r>
      <w:r>
        <w:rPr>
          <w:rFonts w:ascii="仿宋_GB2312" w:hAnsi="仿宋_GB2312" w:eastAsia="仿宋_GB2312"/>
          <w:b w:val="0"/>
          <w:sz w:val="32"/>
        </w:rPr>
        <w:t>，无年初预算，</w:t>
      </w:r>
      <w:r>
        <w:rPr>
          <w:rFonts w:hint="eastAsia" w:ascii="仿宋_GB2312" w:hAnsi="仿宋_GB2312" w:eastAsia="仿宋_GB2312"/>
          <w:b w:val="0"/>
          <w:sz w:val="32"/>
          <w:lang w:val="en-US" w:eastAsia="zh-CN"/>
        </w:rPr>
        <w:t>年中追加人员经费</w:t>
      </w:r>
      <w:r>
        <w:rPr>
          <w:rFonts w:ascii="仿宋_GB2312" w:hAnsi="仿宋_GB2312" w:eastAsia="仿宋_GB2312"/>
          <w:b w:val="0"/>
          <w:sz w:val="32"/>
        </w:rPr>
        <w:t>。</w:t>
      </w:r>
    </w:p>
    <w:p w14:paraId="356E3A1F">
      <w:pPr>
        <w:spacing w:line="640" w:lineRule="exact"/>
        <w:ind w:firstLine="640"/>
        <w:jc w:val="both"/>
        <w:outlineLvl w:val="3"/>
      </w:pPr>
      <w:r>
        <w:rPr>
          <w:rFonts w:ascii="楷体_GB2312" w:hAnsi="楷体_GB2312" w:eastAsia="楷体_GB2312"/>
          <w:b/>
          <w:sz w:val="32"/>
        </w:rPr>
        <w:t>（二）一般公共预算财政拨款支出决算结构情况</w:t>
      </w:r>
    </w:p>
    <w:p w14:paraId="115060FF">
      <w:pPr>
        <w:spacing w:line="580" w:lineRule="exact"/>
        <w:ind w:firstLine="640"/>
        <w:jc w:val="both"/>
      </w:pPr>
      <w:r>
        <w:rPr>
          <w:rFonts w:ascii="仿宋_GB2312" w:hAnsi="仿宋_GB2312" w:eastAsia="仿宋_GB2312"/>
          <w:b w:val="0"/>
          <w:sz w:val="32"/>
        </w:rPr>
        <w:t>1.一般公共服务支出(类)36.89万元,占100.00%。</w:t>
      </w:r>
    </w:p>
    <w:p w14:paraId="20400104">
      <w:pPr>
        <w:spacing w:line="640" w:lineRule="exact"/>
        <w:ind w:firstLine="640"/>
        <w:jc w:val="both"/>
        <w:outlineLvl w:val="3"/>
      </w:pPr>
      <w:r>
        <w:rPr>
          <w:rFonts w:ascii="楷体_GB2312" w:hAnsi="楷体_GB2312" w:eastAsia="楷体_GB2312"/>
          <w:b/>
          <w:sz w:val="32"/>
        </w:rPr>
        <w:t>（三）一般公共预算财政拨款支出决算具体情况</w:t>
      </w:r>
    </w:p>
    <w:p w14:paraId="00CE0FDB">
      <w:pPr>
        <w:spacing w:line="580" w:lineRule="exact"/>
        <w:ind w:firstLine="640"/>
        <w:jc w:val="both"/>
      </w:pPr>
      <w:r>
        <w:rPr>
          <w:rFonts w:ascii="仿宋_GB2312" w:hAnsi="仿宋_GB2312" w:eastAsia="仿宋_GB2312"/>
          <w:b w:val="0"/>
          <w:sz w:val="32"/>
        </w:rPr>
        <w:t>1.一般公共服务支出(类)社会工作事务(款)行政运行(项):支出决算数为14.98万元，比上年决算增加14.98万元，增长100.00%,主要原因是：2024年8月新成立</w:t>
      </w:r>
      <w:r>
        <w:rPr>
          <w:rFonts w:hint="eastAsia" w:ascii="仿宋_GB2312" w:hAnsi="仿宋_GB2312" w:eastAsia="仿宋_GB2312"/>
          <w:b w:val="0"/>
          <w:sz w:val="32"/>
          <w:lang w:val="en-US" w:eastAsia="zh-CN"/>
        </w:rPr>
        <w:t>单位</w:t>
      </w:r>
      <w:r>
        <w:rPr>
          <w:rFonts w:ascii="仿宋_GB2312" w:hAnsi="仿宋_GB2312" w:eastAsia="仿宋_GB2312"/>
          <w:b w:val="0"/>
          <w:sz w:val="32"/>
        </w:rPr>
        <w:t>，无上年对比</w:t>
      </w:r>
      <w:r>
        <w:rPr>
          <w:rFonts w:hint="eastAsia" w:ascii="仿宋_GB2312" w:hAnsi="仿宋_GB2312" w:eastAsia="仿宋_GB2312"/>
          <w:b w:val="0"/>
          <w:sz w:val="32"/>
          <w:lang w:val="en-US" w:eastAsia="zh-CN"/>
        </w:rPr>
        <w:t>数据</w:t>
      </w:r>
      <w:r>
        <w:rPr>
          <w:rFonts w:ascii="仿宋_GB2312" w:hAnsi="仿宋_GB2312" w:eastAsia="仿宋_GB2312"/>
          <w:b w:val="0"/>
          <w:sz w:val="32"/>
        </w:rPr>
        <w:t>。</w:t>
      </w:r>
    </w:p>
    <w:p w14:paraId="1BBFD722">
      <w:pPr>
        <w:spacing w:line="580" w:lineRule="exact"/>
        <w:ind w:firstLine="640"/>
        <w:jc w:val="both"/>
      </w:pPr>
      <w:r>
        <w:rPr>
          <w:rFonts w:ascii="仿宋_GB2312" w:hAnsi="仿宋_GB2312" w:eastAsia="仿宋_GB2312"/>
          <w:b w:val="0"/>
          <w:sz w:val="32"/>
        </w:rPr>
        <w:t>2.一般公共服务支出(类)社会工作事务(款)事业运行(项):支出决算数为21.91万元，比上年决算增加21.91万元，增长100.00%,主要原因是：2024年8月新成立</w:t>
      </w:r>
      <w:r>
        <w:rPr>
          <w:rFonts w:hint="eastAsia" w:ascii="仿宋_GB2312" w:hAnsi="仿宋_GB2312" w:eastAsia="仿宋_GB2312"/>
          <w:b w:val="0"/>
          <w:sz w:val="32"/>
          <w:lang w:val="en-US" w:eastAsia="zh-CN"/>
        </w:rPr>
        <w:t>单位</w:t>
      </w:r>
      <w:r>
        <w:rPr>
          <w:rFonts w:ascii="仿宋_GB2312" w:hAnsi="仿宋_GB2312" w:eastAsia="仿宋_GB2312"/>
          <w:b w:val="0"/>
          <w:sz w:val="32"/>
        </w:rPr>
        <w:t>，无上年对比</w:t>
      </w:r>
      <w:r>
        <w:rPr>
          <w:rFonts w:hint="eastAsia" w:ascii="仿宋_GB2312" w:hAnsi="仿宋_GB2312" w:eastAsia="仿宋_GB2312"/>
          <w:b w:val="0"/>
          <w:sz w:val="32"/>
          <w:lang w:val="en-US" w:eastAsia="zh-CN"/>
        </w:rPr>
        <w:t>数据</w:t>
      </w:r>
      <w:r>
        <w:rPr>
          <w:rFonts w:ascii="仿宋_GB2312" w:hAnsi="仿宋_GB2312" w:eastAsia="仿宋_GB2312"/>
          <w:b w:val="0"/>
          <w:sz w:val="32"/>
        </w:rPr>
        <w:t>。</w:t>
      </w:r>
    </w:p>
    <w:p w14:paraId="696C2E93">
      <w:pPr>
        <w:spacing w:line="640" w:lineRule="exact"/>
        <w:ind w:firstLine="640"/>
        <w:jc w:val="both"/>
        <w:outlineLvl w:val="2"/>
      </w:pPr>
      <w:r>
        <w:rPr>
          <w:rFonts w:ascii="黑体" w:hAnsi="黑体" w:eastAsia="黑体"/>
          <w:sz w:val="32"/>
        </w:rPr>
        <w:t>六、一般公共预算财政拨款基本支出决算情况说明</w:t>
      </w:r>
    </w:p>
    <w:p w14:paraId="7E339E6B">
      <w:pPr>
        <w:spacing w:line="580" w:lineRule="exact"/>
        <w:ind w:firstLine="640"/>
        <w:jc w:val="both"/>
      </w:pPr>
      <w:r>
        <w:rPr>
          <w:rFonts w:ascii="仿宋_GB2312" w:hAnsi="仿宋_GB2312" w:eastAsia="仿宋_GB2312"/>
          <w:b w:val="0"/>
          <w:sz w:val="32"/>
        </w:rPr>
        <w:t>2024年度一般公共预算财政拨款基本支出36.89万元，其中：</w:t>
      </w:r>
      <w:r>
        <w:rPr>
          <w:rFonts w:ascii="仿宋_GB2312" w:hAnsi="仿宋_GB2312" w:eastAsia="仿宋_GB2312"/>
          <w:b/>
          <w:sz w:val="32"/>
        </w:rPr>
        <w:t>人员经费36.89万元，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w:t>
      </w:r>
    </w:p>
    <w:p w14:paraId="2022772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22CD58A">
      <w:pPr>
        <w:spacing w:line="640" w:lineRule="exact"/>
        <w:ind w:firstLine="640"/>
        <w:jc w:val="both"/>
        <w:outlineLvl w:val="2"/>
      </w:pPr>
      <w:r>
        <w:rPr>
          <w:rFonts w:ascii="黑体" w:hAnsi="黑体" w:eastAsia="黑体"/>
          <w:sz w:val="32"/>
        </w:rPr>
        <w:t>七、政府性基金预算财政拨款收入支出决算情况说明</w:t>
      </w:r>
    </w:p>
    <w:p w14:paraId="4E9932C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7072425">
      <w:pPr>
        <w:spacing w:line="640" w:lineRule="exact"/>
        <w:ind w:firstLine="640"/>
        <w:jc w:val="both"/>
        <w:outlineLvl w:val="2"/>
      </w:pPr>
      <w:r>
        <w:rPr>
          <w:rFonts w:ascii="黑体" w:hAnsi="黑体" w:eastAsia="黑体"/>
          <w:sz w:val="32"/>
        </w:rPr>
        <w:t>八、国有资本经营预算财政拨款收入支出决算情况说明</w:t>
      </w:r>
    </w:p>
    <w:p w14:paraId="4A09118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CD68D14">
      <w:pPr>
        <w:spacing w:line="640" w:lineRule="exact"/>
        <w:ind w:firstLine="640"/>
        <w:jc w:val="both"/>
        <w:outlineLvl w:val="2"/>
      </w:pPr>
      <w:r>
        <w:rPr>
          <w:rFonts w:ascii="黑体" w:hAnsi="黑体" w:eastAsia="黑体"/>
          <w:sz w:val="32"/>
        </w:rPr>
        <w:t>九、财政拨款“三公”经费支出决算情况说明</w:t>
      </w:r>
    </w:p>
    <w:p w14:paraId="1F6E019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2D1D89B4">
      <w:pPr>
        <w:spacing w:line="580" w:lineRule="exact"/>
        <w:ind w:firstLine="640"/>
        <w:jc w:val="both"/>
      </w:pPr>
      <w:r>
        <w:rPr>
          <w:rFonts w:ascii="仿宋_GB2312" w:hAnsi="仿宋_GB2312" w:eastAsia="仿宋_GB2312"/>
          <w:b/>
          <w:sz w:val="32"/>
        </w:rPr>
        <w:t>具体情况如下：</w:t>
      </w:r>
    </w:p>
    <w:p w14:paraId="0B388D3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2CE49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E27233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1F87E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7BA8E160">
      <w:pPr>
        <w:spacing w:line="640" w:lineRule="exact"/>
        <w:ind w:firstLine="640"/>
        <w:jc w:val="both"/>
        <w:outlineLvl w:val="2"/>
      </w:pPr>
      <w:r>
        <w:rPr>
          <w:rFonts w:ascii="黑体" w:hAnsi="黑体" w:eastAsia="黑体"/>
          <w:sz w:val="32"/>
        </w:rPr>
        <w:t>十、其他重要事项的情况说明</w:t>
      </w:r>
    </w:p>
    <w:p w14:paraId="55C657BE">
      <w:pPr>
        <w:spacing w:line="640" w:lineRule="exact"/>
        <w:ind w:firstLine="640"/>
        <w:jc w:val="both"/>
        <w:outlineLvl w:val="3"/>
      </w:pPr>
      <w:r>
        <w:rPr>
          <w:rFonts w:ascii="楷体_GB2312" w:hAnsi="楷体_GB2312" w:eastAsia="楷体_GB2312"/>
          <w:b/>
          <w:sz w:val="32"/>
        </w:rPr>
        <w:t>（一）机关运行经费及公用经费支出情况</w:t>
      </w:r>
    </w:p>
    <w:p w14:paraId="2C17A24D">
      <w:pPr>
        <w:spacing w:line="580" w:lineRule="exact"/>
        <w:ind w:firstLine="640"/>
        <w:jc w:val="both"/>
      </w:pPr>
      <w:r>
        <w:rPr>
          <w:rFonts w:ascii="仿宋_GB2312" w:hAnsi="仿宋_GB2312" w:eastAsia="仿宋_GB2312"/>
          <w:b w:val="0"/>
          <w:sz w:val="32"/>
        </w:rPr>
        <w:t>2024年度中共塔什库尔干塔吉克自治县委员会社工部（行政单位和参照公务员法管理事业单位）机关运行经费支出0.00万元，比上年增加0.00万元，增长0.00%，主要原因是：2024年未安排机关运行经费支出。</w:t>
      </w:r>
    </w:p>
    <w:p w14:paraId="1D7D282B">
      <w:pPr>
        <w:spacing w:line="640" w:lineRule="exact"/>
        <w:ind w:firstLine="640"/>
        <w:jc w:val="both"/>
        <w:outlineLvl w:val="3"/>
      </w:pPr>
      <w:r>
        <w:rPr>
          <w:rFonts w:ascii="楷体_GB2312" w:hAnsi="楷体_GB2312" w:eastAsia="楷体_GB2312"/>
          <w:b/>
          <w:sz w:val="32"/>
        </w:rPr>
        <w:t>（二）政府采购情况</w:t>
      </w:r>
    </w:p>
    <w:p w14:paraId="54E9E855">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765AC5A">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B550F9D">
      <w:pPr>
        <w:spacing w:line="640" w:lineRule="exact"/>
        <w:ind w:firstLine="640"/>
        <w:jc w:val="both"/>
        <w:outlineLvl w:val="3"/>
      </w:pPr>
      <w:r>
        <w:rPr>
          <w:rFonts w:ascii="楷体_GB2312" w:hAnsi="楷体_GB2312" w:eastAsia="楷体_GB2312"/>
          <w:b/>
          <w:sz w:val="32"/>
        </w:rPr>
        <w:t>（三）国有资产占用情况说明</w:t>
      </w:r>
    </w:p>
    <w:p w14:paraId="2319A325">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0A02932">
      <w:pPr>
        <w:spacing w:line="640" w:lineRule="exact"/>
        <w:ind w:firstLine="640"/>
        <w:jc w:val="both"/>
        <w:outlineLvl w:val="2"/>
      </w:pPr>
      <w:r>
        <w:rPr>
          <w:rFonts w:ascii="黑体" w:hAnsi="黑体" w:eastAsia="黑体"/>
          <w:sz w:val="32"/>
        </w:rPr>
        <w:t>十一、预算绩效的情况说明</w:t>
      </w:r>
    </w:p>
    <w:p w14:paraId="40FD2F40">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7D6E9499">
      <w:r>
        <w:br w:type="page"/>
      </w:r>
    </w:p>
    <w:p w14:paraId="049B8D36">
      <w:pPr>
        <w:spacing w:line="640" w:lineRule="exact"/>
        <w:ind w:firstLine="640"/>
        <w:jc w:val="both"/>
        <w:outlineLvl w:val="2"/>
      </w:pPr>
      <w:r>
        <w:rPr>
          <w:rFonts w:ascii="黑体" w:hAnsi="黑体" w:eastAsia="黑体"/>
          <w:sz w:val="32"/>
        </w:rPr>
        <w:t>十二、其他需说明的事项</w:t>
      </w:r>
    </w:p>
    <w:p w14:paraId="6352242F">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本单位2024年度无政府采购支出，授予中小企业合同金额0.00万元；</w:t>
      </w:r>
    </w:p>
    <w:p w14:paraId="42AF9CA7">
      <w:pPr>
        <w:spacing w:line="580" w:lineRule="exact"/>
        <w:ind w:firstLine="640"/>
        <w:jc w:val="both"/>
      </w:pPr>
      <w:r>
        <w:rPr>
          <w:rFonts w:hint="eastAsia" w:ascii="仿宋_GB2312" w:hAnsi="仿宋_GB2312" w:eastAsia="仿宋_GB2312"/>
          <w:b w:val="0"/>
          <w:sz w:val="32"/>
          <w:lang w:val="en-US" w:eastAsia="zh-CN"/>
        </w:rPr>
        <w:t>本单位</w:t>
      </w:r>
      <w:r>
        <w:rPr>
          <w:rFonts w:ascii="仿宋_GB2312" w:hAnsi="仿宋_GB2312" w:eastAsia="仿宋_GB2312"/>
          <w:b w:val="0"/>
          <w:sz w:val="32"/>
        </w:rPr>
        <w:t>2024年8月新成立，无整体绩效自评表。</w:t>
      </w:r>
    </w:p>
    <w:p w14:paraId="46E1EBAB">
      <w:r>
        <w:br w:type="page"/>
      </w:r>
    </w:p>
    <w:p w14:paraId="6B8F27D0">
      <w:pPr>
        <w:spacing w:line="240" w:lineRule="auto"/>
        <w:jc w:val="center"/>
        <w:outlineLvl w:val="1"/>
      </w:pPr>
      <w:r>
        <w:rPr>
          <w:rFonts w:ascii="黑体" w:hAnsi="黑体" w:eastAsia="黑体"/>
          <w:sz w:val="32"/>
        </w:rPr>
        <w:t>第三部分 专业名词解释</w:t>
      </w:r>
    </w:p>
    <w:p w14:paraId="196D714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EECA21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B6280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85DDF4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F66EEB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3986D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2839FE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69C6E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97C67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EFCDE4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620E1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0E9CF7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C288FD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A46C1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E7AF42C">
      <w:r>
        <w:br w:type="page"/>
      </w:r>
    </w:p>
    <w:p w14:paraId="684F05FE">
      <w:pPr>
        <w:spacing w:line="240" w:lineRule="auto"/>
        <w:jc w:val="center"/>
        <w:outlineLvl w:val="1"/>
      </w:pPr>
      <w:r>
        <w:rPr>
          <w:rFonts w:ascii="黑体" w:hAnsi="黑体" w:eastAsia="黑体"/>
          <w:sz w:val="32"/>
        </w:rPr>
        <w:t>第四部分 部门决算报表（见附表）</w:t>
      </w:r>
    </w:p>
    <w:p w14:paraId="0D6D0FA7">
      <w:pPr>
        <w:spacing w:line="240" w:lineRule="auto"/>
        <w:ind w:firstLine="640"/>
        <w:jc w:val="both"/>
      </w:pPr>
      <w:r>
        <w:rPr>
          <w:rFonts w:ascii="仿宋_GB2312" w:hAnsi="仿宋_GB2312" w:eastAsia="仿宋_GB2312"/>
          <w:b w:val="0"/>
          <w:sz w:val="32"/>
        </w:rPr>
        <w:t>一、《收入支出决算总表》</w:t>
      </w:r>
    </w:p>
    <w:p w14:paraId="56340B60">
      <w:pPr>
        <w:spacing w:line="240" w:lineRule="auto"/>
        <w:ind w:firstLine="640"/>
        <w:jc w:val="both"/>
      </w:pPr>
      <w:r>
        <w:rPr>
          <w:rFonts w:ascii="仿宋_GB2312" w:hAnsi="仿宋_GB2312" w:eastAsia="仿宋_GB2312"/>
          <w:b w:val="0"/>
          <w:sz w:val="32"/>
        </w:rPr>
        <w:t>二、《收入决算表》</w:t>
      </w:r>
    </w:p>
    <w:p w14:paraId="34619C9A">
      <w:pPr>
        <w:spacing w:line="240" w:lineRule="auto"/>
        <w:ind w:firstLine="640"/>
        <w:jc w:val="both"/>
      </w:pPr>
      <w:r>
        <w:rPr>
          <w:rFonts w:ascii="仿宋_GB2312" w:hAnsi="仿宋_GB2312" w:eastAsia="仿宋_GB2312"/>
          <w:b w:val="0"/>
          <w:sz w:val="32"/>
        </w:rPr>
        <w:t>三、《支出决算表》</w:t>
      </w:r>
    </w:p>
    <w:p w14:paraId="50C66C76">
      <w:pPr>
        <w:spacing w:line="240" w:lineRule="auto"/>
        <w:ind w:firstLine="640"/>
        <w:jc w:val="both"/>
      </w:pPr>
      <w:r>
        <w:rPr>
          <w:rFonts w:ascii="仿宋_GB2312" w:hAnsi="仿宋_GB2312" w:eastAsia="仿宋_GB2312"/>
          <w:b w:val="0"/>
          <w:sz w:val="32"/>
        </w:rPr>
        <w:t>四、《财政拨款收入支出决算总表》</w:t>
      </w:r>
    </w:p>
    <w:p w14:paraId="62E94080">
      <w:pPr>
        <w:spacing w:line="240" w:lineRule="auto"/>
        <w:ind w:firstLine="640"/>
        <w:jc w:val="both"/>
      </w:pPr>
      <w:r>
        <w:rPr>
          <w:rFonts w:ascii="仿宋_GB2312" w:hAnsi="仿宋_GB2312" w:eastAsia="仿宋_GB2312"/>
          <w:b w:val="0"/>
          <w:sz w:val="32"/>
        </w:rPr>
        <w:t>五、《一般公共预算财政拨款支出决算表》</w:t>
      </w:r>
    </w:p>
    <w:p w14:paraId="685C95AF">
      <w:pPr>
        <w:spacing w:line="240" w:lineRule="auto"/>
        <w:ind w:firstLine="640"/>
        <w:jc w:val="both"/>
      </w:pPr>
      <w:r>
        <w:rPr>
          <w:rFonts w:ascii="仿宋_GB2312" w:hAnsi="仿宋_GB2312" w:eastAsia="仿宋_GB2312"/>
          <w:b w:val="0"/>
          <w:sz w:val="32"/>
        </w:rPr>
        <w:t>六、《一般公共预算财政拨款基本支出决算表》</w:t>
      </w:r>
    </w:p>
    <w:p w14:paraId="2C6AA11D">
      <w:pPr>
        <w:spacing w:line="240" w:lineRule="auto"/>
        <w:ind w:firstLine="640"/>
        <w:jc w:val="both"/>
      </w:pPr>
      <w:r>
        <w:rPr>
          <w:rFonts w:ascii="仿宋_GB2312" w:hAnsi="仿宋_GB2312" w:eastAsia="仿宋_GB2312"/>
          <w:b w:val="0"/>
          <w:sz w:val="32"/>
        </w:rPr>
        <w:t>七、《政府性基金预算财政拨款收入支出决算表》</w:t>
      </w:r>
    </w:p>
    <w:p w14:paraId="5D25DDD6">
      <w:pPr>
        <w:spacing w:line="240" w:lineRule="auto"/>
        <w:ind w:firstLine="640"/>
        <w:jc w:val="both"/>
      </w:pPr>
      <w:r>
        <w:rPr>
          <w:rFonts w:ascii="仿宋_GB2312" w:hAnsi="仿宋_GB2312" w:eastAsia="仿宋_GB2312"/>
          <w:b w:val="0"/>
          <w:sz w:val="32"/>
        </w:rPr>
        <w:t>八、《国有资本经营预算财政拨款收入支出决算表》</w:t>
      </w:r>
    </w:p>
    <w:p w14:paraId="0C0559B4">
      <w:pPr>
        <w:spacing w:line="240" w:lineRule="auto"/>
        <w:ind w:firstLine="640"/>
        <w:jc w:val="both"/>
      </w:pPr>
      <w:r>
        <w:rPr>
          <w:rFonts w:ascii="仿宋_GB2312" w:hAnsi="仿宋_GB2312" w:eastAsia="仿宋_GB2312"/>
          <w:b w:val="0"/>
          <w:sz w:val="32"/>
        </w:rPr>
        <w:t>九、《财政拨款“三公”经费支出决算表》</w:t>
      </w:r>
    </w:p>
    <w:p w14:paraId="67AC3278">
      <w:pPr>
        <w:spacing w:line="240" w:lineRule="auto"/>
        <w:ind w:firstLine="640"/>
        <w:jc w:val="both"/>
      </w:pPr>
    </w:p>
    <w:p w14:paraId="565A9FD4">
      <w:pPr>
        <w:spacing w:line="240" w:lineRule="auto"/>
        <w:ind w:firstLine="640"/>
        <w:jc w:val="both"/>
      </w:pPr>
    </w:p>
    <w:p w14:paraId="40A472D0">
      <w:pPr>
        <w:spacing w:line="240" w:lineRule="auto"/>
        <w:ind w:firstLine="640"/>
        <w:jc w:val="both"/>
      </w:pPr>
    </w:p>
    <w:p w14:paraId="1AE05DFE">
      <w:pPr>
        <w:spacing w:line="240" w:lineRule="auto"/>
        <w:ind w:firstLine="640"/>
        <w:jc w:val="both"/>
      </w:pPr>
    </w:p>
    <w:p w14:paraId="044E195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405ABF"/>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2F6CAE"/>
    <w:rsid w:val="47445515"/>
    <w:rsid w:val="4B4C0111"/>
    <w:rsid w:val="4BB23021"/>
    <w:rsid w:val="4BD928AE"/>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4A1095"/>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4783</Words>
  <Characters>5309</Characters>
  <Lines>0</Lines>
  <Paragraphs>0</Paragraphs>
  <TotalTime>2</TotalTime>
  <ScaleCrop>false</ScaleCrop>
  <LinksUpToDate>false</LinksUpToDate>
  <CharactersWithSpaces>5319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