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0E2E42">
      <w:r>
        <w:br w:type="page"/>
      </w:r>
    </w:p>
    <w:p w14:paraId="0D66D5C1">
      <w:pPr>
        <w:spacing w:line="640" w:lineRule="exact"/>
        <w:jc w:val="center"/>
        <w:outlineLvl w:val="1"/>
      </w:pPr>
      <w:r>
        <w:rPr>
          <w:rFonts w:ascii="黑体" w:hAnsi="黑体" w:eastAsia="黑体"/>
          <w:sz w:val="32"/>
        </w:rPr>
        <w:t>第一部分 单位概况</w:t>
      </w:r>
    </w:p>
    <w:p w14:paraId="3F4785BB">
      <w:pPr>
        <w:spacing w:line="640" w:lineRule="exact"/>
        <w:ind w:firstLine="640"/>
        <w:jc w:val="both"/>
        <w:outlineLvl w:val="2"/>
      </w:pPr>
      <w:r>
        <w:rPr>
          <w:rFonts w:ascii="黑体" w:hAnsi="黑体" w:eastAsia="黑体"/>
          <w:sz w:val="32"/>
        </w:rPr>
        <w:t>一、主要职能</w:t>
      </w:r>
    </w:p>
    <w:p w14:paraId="5364D0A0">
      <w:pPr>
        <w:spacing w:line="580" w:lineRule="exact"/>
        <w:ind w:firstLine="640"/>
        <w:jc w:val="both"/>
      </w:pPr>
      <w:r>
        <w:rPr>
          <w:rFonts w:ascii="仿宋_GB2312" w:hAnsi="仿宋_GB2312" w:eastAsia="仿宋_GB2312"/>
          <w:sz w:val="32"/>
        </w:rPr>
        <w:t>（1）研究拟定本县行政管理体制与机构改革的总体方案；审核</w:t>
      </w:r>
      <w:r>
        <w:rPr>
          <w:rFonts w:hint="eastAsia" w:ascii="仿宋_GB2312" w:hAnsi="仿宋_GB2312" w:eastAsia="仿宋_GB2312"/>
          <w:sz w:val="32"/>
          <w:lang w:eastAsia="zh-CN"/>
        </w:rPr>
        <w:t>县委、县政府</w:t>
      </w:r>
      <w:r>
        <w:rPr>
          <w:rFonts w:ascii="仿宋_GB2312" w:hAnsi="仿宋_GB2312" w:eastAsia="仿宋_GB2312"/>
          <w:sz w:val="32"/>
        </w:rPr>
        <w:t>各工作部门机构改革及“三定方案”；协调各乡（镇）行政管理体制和机构编制管理工作。</w:t>
      </w:r>
    </w:p>
    <w:p w14:paraId="512B83DB">
      <w:pPr>
        <w:spacing w:line="580" w:lineRule="exact"/>
        <w:ind w:firstLine="640"/>
        <w:jc w:val="both"/>
      </w:pPr>
      <w:r>
        <w:rPr>
          <w:rFonts w:ascii="仿宋_GB2312" w:hAnsi="仿宋_GB2312" w:eastAsia="仿宋_GB2312"/>
          <w:sz w:val="32"/>
        </w:rPr>
        <w:t>（2）管理县委、县政府各工作部门的职能配置和调整工作；协调县委各工作部门之间及政府各工作部门之间的职责分工。</w:t>
      </w:r>
    </w:p>
    <w:p w14:paraId="61829AB4">
      <w:pPr>
        <w:spacing w:line="580" w:lineRule="exact"/>
        <w:ind w:firstLine="640"/>
        <w:jc w:val="both"/>
      </w:pPr>
      <w:r>
        <w:rPr>
          <w:rFonts w:ascii="仿宋_GB2312" w:hAnsi="仿宋_GB2312" w:eastAsia="仿宋_GB2312"/>
          <w:sz w:val="32"/>
        </w:rPr>
        <w:t>（3）审核县委、县政府各工作部门的内设机构、人员编制和领导职数；审核各乡镇机关的机构设置和人员编制数。</w:t>
      </w:r>
    </w:p>
    <w:p w14:paraId="6C83810D">
      <w:pPr>
        <w:spacing w:line="580" w:lineRule="exact"/>
        <w:ind w:firstLine="640"/>
        <w:jc w:val="both"/>
      </w:pPr>
      <w:r>
        <w:rPr>
          <w:rFonts w:ascii="仿宋_GB2312" w:hAnsi="仿宋_GB2312" w:eastAsia="仿宋_GB2312"/>
          <w:sz w:val="32"/>
        </w:rPr>
        <w:t>（4）审核县人大常委会、县政协委员会、县人民法院、县人民检察院和人民团体机关的机构设置、人员编制和领导职数总额。</w:t>
      </w:r>
    </w:p>
    <w:p w14:paraId="32C5FEEC">
      <w:pPr>
        <w:spacing w:line="580" w:lineRule="exact"/>
        <w:ind w:firstLine="640"/>
        <w:jc w:val="both"/>
      </w:pPr>
      <w:r>
        <w:rPr>
          <w:rFonts w:ascii="仿宋_GB2312" w:hAnsi="仿宋_GB2312" w:eastAsia="仿宋_GB2312"/>
          <w:sz w:val="32"/>
        </w:rPr>
        <w:t>（5）负责</w:t>
      </w:r>
      <w:r>
        <w:rPr>
          <w:rFonts w:hint="eastAsia" w:ascii="仿宋_GB2312" w:hAnsi="仿宋_GB2312" w:eastAsia="仿宋_GB2312"/>
          <w:sz w:val="32"/>
          <w:lang w:eastAsia="zh-CN"/>
        </w:rPr>
        <w:t>县委、县政府</w:t>
      </w:r>
      <w:r>
        <w:rPr>
          <w:rFonts w:ascii="仿宋_GB2312" w:hAnsi="仿宋_GB2312" w:eastAsia="仿宋_GB2312"/>
          <w:sz w:val="32"/>
        </w:rPr>
        <w:t>议事协调机构和临时机构设置的审核、报批及其管理工作。</w:t>
      </w:r>
    </w:p>
    <w:p w14:paraId="772B5B0A">
      <w:pPr>
        <w:spacing w:line="580" w:lineRule="exact"/>
        <w:ind w:firstLine="640"/>
        <w:jc w:val="both"/>
      </w:pPr>
      <w:r>
        <w:rPr>
          <w:rFonts w:ascii="仿宋_GB2312" w:hAnsi="仿宋_GB2312" w:eastAsia="仿宋_GB2312"/>
          <w:sz w:val="32"/>
        </w:rPr>
        <w:t>（6）贯彻落实《事业单位登记管理暂行条例》；研究拟定本县事业单位管理体制和机构改革的方案；审核</w:t>
      </w:r>
      <w:r>
        <w:rPr>
          <w:rFonts w:hint="eastAsia" w:ascii="仿宋_GB2312" w:hAnsi="仿宋_GB2312" w:eastAsia="仿宋_GB2312"/>
          <w:sz w:val="32"/>
          <w:lang w:eastAsia="zh-CN"/>
        </w:rPr>
        <w:t>县委、县政府</w:t>
      </w:r>
      <w:r>
        <w:rPr>
          <w:rFonts w:ascii="仿宋_GB2312" w:hAnsi="仿宋_GB2312" w:eastAsia="仿宋_GB2312"/>
          <w:sz w:val="32"/>
        </w:rPr>
        <w:t>直属事业单位的机构编制方案；审批</w:t>
      </w:r>
      <w:r>
        <w:rPr>
          <w:rFonts w:hint="eastAsia" w:ascii="仿宋_GB2312" w:hAnsi="仿宋_GB2312" w:eastAsia="仿宋_GB2312"/>
          <w:sz w:val="32"/>
          <w:lang w:eastAsia="zh-CN"/>
        </w:rPr>
        <w:t>县委、县政府</w:t>
      </w:r>
      <w:r>
        <w:rPr>
          <w:rFonts w:ascii="仿宋_GB2312" w:hAnsi="仿宋_GB2312" w:eastAsia="仿宋_GB2312"/>
          <w:sz w:val="32"/>
        </w:rPr>
        <w:t>各工作部门所属事业单位的机构编制；指导并协调乡镇事业单位管理体制改革和机构编制管理工作。</w:t>
      </w:r>
    </w:p>
    <w:p w14:paraId="3C49D76F">
      <w:pPr>
        <w:spacing w:line="580" w:lineRule="exact"/>
        <w:ind w:firstLine="640"/>
        <w:jc w:val="both"/>
      </w:pPr>
      <w:r>
        <w:rPr>
          <w:rFonts w:ascii="仿宋_GB2312" w:hAnsi="仿宋_GB2312" w:eastAsia="仿宋_GB2312"/>
          <w:sz w:val="32"/>
        </w:rPr>
        <w:t>（7）监督检查本县行政管理体制和机构改革以及机构编制的执行情况，并将结果上报</w:t>
      </w:r>
      <w:r>
        <w:rPr>
          <w:rFonts w:hint="eastAsia" w:ascii="仿宋_GB2312" w:hAnsi="仿宋_GB2312" w:eastAsia="仿宋_GB2312"/>
          <w:sz w:val="32"/>
          <w:lang w:eastAsia="zh-CN"/>
        </w:rPr>
        <w:t>县委机构编制委员会</w:t>
      </w:r>
      <w:r>
        <w:rPr>
          <w:rFonts w:ascii="仿宋_GB2312" w:hAnsi="仿宋_GB2312" w:eastAsia="仿宋_GB2312"/>
          <w:sz w:val="32"/>
        </w:rPr>
        <w:t>和县委、县人民政府。</w:t>
      </w:r>
    </w:p>
    <w:p w14:paraId="094E16EE">
      <w:pPr>
        <w:spacing w:line="580" w:lineRule="exact"/>
        <w:ind w:firstLine="640"/>
        <w:jc w:val="both"/>
      </w:pPr>
      <w:r>
        <w:rPr>
          <w:rFonts w:ascii="仿宋_GB2312" w:hAnsi="仿宋_GB2312" w:eastAsia="仿宋_GB2312"/>
          <w:sz w:val="32"/>
        </w:rPr>
        <w:t>（8）负责编制统计和机构编制实名制系统联网数据库建设工作</w:t>
      </w:r>
      <w:r>
        <w:rPr>
          <w:rFonts w:hint="eastAsia" w:ascii="仿宋_GB2312" w:hAnsi="仿宋_GB2312" w:eastAsia="仿宋_GB2312"/>
          <w:sz w:val="32"/>
          <w:lang w:eastAsia="zh-CN"/>
        </w:rPr>
        <w:t>计划。</w:t>
      </w:r>
    </w:p>
    <w:p w14:paraId="7A74AB0E">
      <w:pPr>
        <w:spacing w:line="640" w:lineRule="exact"/>
        <w:ind w:firstLine="640"/>
        <w:jc w:val="both"/>
        <w:outlineLvl w:val="2"/>
      </w:pPr>
      <w:r>
        <w:rPr>
          <w:rFonts w:ascii="黑体" w:hAnsi="黑体" w:eastAsia="黑体"/>
          <w:sz w:val="32"/>
        </w:rPr>
        <w:t>二、机构设置及人员情况</w:t>
      </w:r>
    </w:p>
    <w:p w14:paraId="0A55495E">
      <w:pPr>
        <w:spacing w:line="580" w:lineRule="exact"/>
        <w:ind w:firstLine="640"/>
        <w:jc w:val="both"/>
      </w:pPr>
      <w:r>
        <w:rPr>
          <w:rFonts w:ascii="仿宋_GB2312" w:hAnsi="仿宋_GB2312" w:eastAsia="仿宋_GB2312"/>
          <w:sz w:val="32"/>
        </w:rPr>
        <w:t>中共塔什库尔干塔吉克自治县机构编制委员会办公室2024年度，实有人数9人，其中：在职人员7人，增加0人；离休人员0人，增加0人；退休人员2人,增加0人。</w:t>
      </w:r>
    </w:p>
    <w:p w14:paraId="6F88C4F5">
      <w:pPr>
        <w:spacing w:line="580" w:lineRule="exact"/>
        <w:ind w:firstLine="640"/>
        <w:jc w:val="both"/>
      </w:pPr>
      <w:r>
        <w:rPr>
          <w:rFonts w:ascii="仿宋_GB2312" w:hAnsi="仿宋_GB2312" w:eastAsia="仿宋_GB2312"/>
          <w:sz w:val="32"/>
        </w:rPr>
        <w:t>单位无下属预算单位，下设1个科室，分别是：办公室。</w:t>
      </w:r>
    </w:p>
    <w:p w14:paraId="72B3096A">
      <w:r>
        <w:br w:type="page"/>
      </w:r>
    </w:p>
    <w:p w14:paraId="0F5197CA">
      <w:pPr>
        <w:spacing w:line="240" w:lineRule="auto"/>
        <w:jc w:val="center"/>
        <w:outlineLvl w:val="1"/>
      </w:pPr>
      <w:r>
        <w:rPr>
          <w:rFonts w:ascii="黑体" w:hAnsi="黑体" w:eastAsia="黑体"/>
          <w:sz w:val="32"/>
        </w:rPr>
        <w:t>第二部分 部门决算情况说明</w:t>
      </w:r>
    </w:p>
    <w:p w14:paraId="31A15175">
      <w:pPr>
        <w:spacing w:line="640" w:lineRule="exact"/>
        <w:ind w:firstLine="640"/>
        <w:jc w:val="both"/>
        <w:outlineLvl w:val="2"/>
      </w:pPr>
      <w:r>
        <w:rPr>
          <w:rFonts w:ascii="黑体" w:hAnsi="黑体" w:eastAsia="黑体"/>
          <w:sz w:val="32"/>
        </w:rPr>
        <w:t>一、收入支出决算总体情况说明</w:t>
      </w:r>
    </w:p>
    <w:p w14:paraId="6156412F">
      <w:pPr>
        <w:spacing w:line="580" w:lineRule="exact"/>
        <w:ind w:firstLine="640"/>
        <w:jc w:val="both"/>
      </w:pPr>
      <w:r>
        <w:rPr>
          <w:rFonts w:ascii="仿宋_GB2312" w:hAnsi="仿宋_GB2312" w:eastAsia="仿宋_GB2312"/>
          <w:b/>
          <w:sz w:val="32"/>
        </w:rPr>
        <w:t>2024年度收入总计135.21万元，</w:t>
      </w:r>
      <w:r>
        <w:rPr>
          <w:rFonts w:ascii="仿宋_GB2312" w:hAnsi="仿宋_GB2312" w:eastAsia="仿宋_GB2312"/>
          <w:b w:val="0"/>
          <w:sz w:val="32"/>
        </w:rPr>
        <w:t>其中：本年收入合计135.21万元，使用非财政拨款结余（含专用结余）0.00万元，年初结转和结余0.00万元。</w:t>
      </w:r>
    </w:p>
    <w:p w14:paraId="4ADCFADE">
      <w:pPr>
        <w:spacing w:line="580" w:lineRule="exact"/>
        <w:ind w:firstLine="640"/>
        <w:jc w:val="both"/>
      </w:pPr>
      <w:r>
        <w:rPr>
          <w:rFonts w:ascii="仿宋_GB2312" w:hAnsi="仿宋_GB2312" w:eastAsia="仿宋_GB2312"/>
          <w:b/>
          <w:sz w:val="32"/>
        </w:rPr>
        <w:t>2024年度支出总计135.21万元，</w:t>
      </w:r>
      <w:r>
        <w:rPr>
          <w:rFonts w:ascii="仿宋_GB2312" w:hAnsi="仿宋_GB2312" w:eastAsia="仿宋_GB2312"/>
          <w:b w:val="0"/>
          <w:sz w:val="32"/>
        </w:rPr>
        <w:t>其中：本年支出合计135.21万元，结余分配0.00万元，年末结转和结余0.00万元。</w:t>
      </w:r>
    </w:p>
    <w:p w14:paraId="1581CD09">
      <w:pPr>
        <w:spacing w:line="580" w:lineRule="exact"/>
        <w:ind w:firstLine="640"/>
        <w:jc w:val="both"/>
      </w:pPr>
      <w:r>
        <w:rPr>
          <w:rFonts w:ascii="仿宋_GB2312" w:hAnsi="仿宋_GB2312" w:eastAsia="仿宋_GB2312"/>
          <w:b w:val="0"/>
          <w:sz w:val="32"/>
        </w:rPr>
        <w:t>收入支出总体与上年相比，减少0.02万元，下降0.01%，主要原因是：本年无新增退休人员，职业年金缴费较上年减少。</w:t>
      </w:r>
    </w:p>
    <w:p w14:paraId="163FE4CA">
      <w:pPr>
        <w:spacing w:line="640" w:lineRule="exact"/>
        <w:ind w:firstLine="640"/>
        <w:jc w:val="both"/>
        <w:outlineLvl w:val="2"/>
      </w:pPr>
      <w:r>
        <w:rPr>
          <w:rFonts w:ascii="黑体" w:hAnsi="黑体" w:eastAsia="黑体"/>
          <w:sz w:val="32"/>
        </w:rPr>
        <w:t>二、收入决算情况说明</w:t>
      </w:r>
    </w:p>
    <w:p w14:paraId="1E770587">
      <w:pPr>
        <w:spacing w:line="580" w:lineRule="exact"/>
        <w:ind w:firstLine="640"/>
        <w:jc w:val="both"/>
      </w:pPr>
      <w:r>
        <w:rPr>
          <w:rFonts w:ascii="仿宋_GB2312" w:hAnsi="仿宋_GB2312" w:eastAsia="仿宋_GB2312"/>
          <w:b/>
          <w:sz w:val="32"/>
        </w:rPr>
        <w:t>本年收入135.21万元，</w:t>
      </w:r>
      <w:r>
        <w:rPr>
          <w:rFonts w:ascii="仿宋_GB2312" w:hAnsi="仿宋_GB2312" w:eastAsia="仿宋_GB2312"/>
          <w:b w:val="0"/>
          <w:sz w:val="32"/>
        </w:rPr>
        <w:t>其中：财政拨款收入135.21万元，占100.00%；上级补助收入0.00万元，占0.00%；事业收入0.00万元，占0.00%；经营收入0.00万元，占0.00%；附属单位上缴收入0.00万元，占0.00%；其他收入0.00万元，占0.00%。</w:t>
      </w:r>
    </w:p>
    <w:p w14:paraId="5637F704">
      <w:pPr>
        <w:spacing w:line="640" w:lineRule="exact"/>
        <w:ind w:firstLine="640"/>
        <w:jc w:val="both"/>
        <w:outlineLvl w:val="2"/>
      </w:pPr>
      <w:r>
        <w:rPr>
          <w:rFonts w:ascii="黑体" w:hAnsi="黑体" w:eastAsia="黑体"/>
          <w:sz w:val="32"/>
        </w:rPr>
        <w:t>三、支出决算情况说明</w:t>
      </w:r>
    </w:p>
    <w:p w14:paraId="48EBFB4B">
      <w:pPr>
        <w:spacing w:line="580" w:lineRule="exact"/>
        <w:ind w:firstLine="640"/>
        <w:jc w:val="both"/>
      </w:pPr>
      <w:r>
        <w:rPr>
          <w:rFonts w:ascii="仿宋_GB2312" w:hAnsi="仿宋_GB2312" w:eastAsia="仿宋_GB2312"/>
          <w:b/>
          <w:sz w:val="32"/>
        </w:rPr>
        <w:t>本年支出135.21万元，</w:t>
      </w:r>
      <w:r>
        <w:rPr>
          <w:rFonts w:ascii="仿宋_GB2312" w:hAnsi="仿宋_GB2312" w:eastAsia="仿宋_GB2312"/>
          <w:b w:val="0"/>
          <w:sz w:val="32"/>
        </w:rPr>
        <w:t>其中：基本支出135.21万元，占100.00%；项目支出0.00万元，占0.00%；上缴上级支出0.00万元，占0.00%；经营支出0.00万元，占0.00%；对附属单位补助支出0.00万元，占0.00%。</w:t>
      </w:r>
    </w:p>
    <w:p w14:paraId="7459E36A">
      <w:pPr>
        <w:spacing w:line="640" w:lineRule="exact"/>
        <w:ind w:firstLine="640"/>
        <w:jc w:val="both"/>
        <w:outlineLvl w:val="2"/>
      </w:pPr>
      <w:r>
        <w:rPr>
          <w:rFonts w:ascii="黑体" w:hAnsi="黑体" w:eastAsia="黑体"/>
          <w:sz w:val="32"/>
        </w:rPr>
        <w:t>四、财政拨款收入支出决算总体情况说明</w:t>
      </w:r>
    </w:p>
    <w:p w14:paraId="65218FE2">
      <w:pPr>
        <w:spacing w:line="580" w:lineRule="exact"/>
        <w:ind w:firstLine="640"/>
        <w:jc w:val="both"/>
      </w:pPr>
      <w:r>
        <w:rPr>
          <w:rFonts w:ascii="仿宋_GB2312" w:hAnsi="仿宋_GB2312" w:eastAsia="仿宋_GB2312"/>
          <w:b/>
          <w:sz w:val="32"/>
        </w:rPr>
        <w:t>2024年度财政拨款收入总计135.21万元，</w:t>
      </w:r>
      <w:r>
        <w:rPr>
          <w:rFonts w:ascii="仿宋_GB2312" w:hAnsi="仿宋_GB2312" w:eastAsia="仿宋_GB2312"/>
          <w:b w:val="0"/>
          <w:sz w:val="32"/>
        </w:rPr>
        <w:t>其中：年初财政拨款结转和结余0.00万元，本年财政拨款收入135.21万元。</w:t>
      </w:r>
      <w:r>
        <w:rPr>
          <w:rFonts w:ascii="仿宋_GB2312" w:hAnsi="仿宋_GB2312" w:eastAsia="仿宋_GB2312"/>
          <w:b/>
          <w:sz w:val="32"/>
        </w:rPr>
        <w:t>财政拨款支出总计135.21万元，</w:t>
      </w:r>
      <w:r>
        <w:rPr>
          <w:rFonts w:ascii="仿宋_GB2312" w:hAnsi="仿宋_GB2312" w:eastAsia="仿宋_GB2312"/>
          <w:b w:val="0"/>
          <w:sz w:val="32"/>
        </w:rPr>
        <w:t>其中：年末财政拨款结转和结余0.00万元，本年财政拨款支出135.21万元。</w:t>
      </w:r>
    </w:p>
    <w:p w14:paraId="099D928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减少0.02万元，下降0.01%，主要原因是：本年无新增退休人员，职业年金缴费较上年减少。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年初预算数149.73万元，决算数135.21万元，预决算差异率-9.70%，主要原因是：本年在职人员调入调出，人员职级不同，缴费基数不同，年中调减人员经费。</w:t>
      </w:r>
    </w:p>
    <w:p w14:paraId="2C5B6A81">
      <w:pPr>
        <w:spacing w:line="640" w:lineRule="exact"/>
        <w:ind w:firstLine="640"/>
        <w:jc w:val="both"/>
        <w:outlineLvl w:val="2"/>
      </w:pPr>
      <w:r>
        <w:rPr>
          <w:rFonts w:ascii="黑体" w:hAnsi="黑体" w:eastAsia="黑体"/>
          <w:sz w:val="32"/>
        </w:rPr>
        <w:t>五、一般公共预算财政拨款支出决算情况说明</w:t>
      </w:r>
    </w:p>
    <w:p w14:paraId="6A80E9A9">
      <w:pPr>
        <w:spacing w:line="640" w:lineRule="exact"/>
        <w:ind w:firstLine="640"/>
        <w:jc w:val="both"/>
        <w:outlineLvl w:val="3"/>
      </w:pPr>
      <w:r>
        <w:rPr>
          <w:rFonts w:ascii="楷体_GB2312" w:hAnsi="楷体_GB2312" w:eastAsia="楷体_GB2312"/>
          <w:b/>
          <w:sz w:val="32"/>
        </w:rPr>
        <w:t>（一）一般公共预算财政拨款支出决算总体情况</w:t>
      </w:r>
    </w:p>
    <w:p w14:paraId="2D85926F">
      <w:pPr>
        <w:spacing w:line="580" w:lineRule="exact"/>
        <w:ind w:firstLine="640"/>
        <w:jc w:val="both"/>
      </w:pPr>
      <w:r>
        <w:rPr>
          <w:rFonts w:ascii="仿宋_GB2312" w:hAnsi="仿宋_GB2312" w:eastAsia="仿宋_GB2312"/>
          <w:b/>
          <w:sz w:val="32"/>
        </w:rPr>
        <w:t>2024年度一般公共预算财政拨款支出135.21万元，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减少0.02万元，下降0.01%，主要原因是：本年无新增退休人员，职业年金缴费较上年减少。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年初预算数149.73万元，决算数135.21万元，预决算差异率-9.70%，主要原因是：本年在职人员调入调出，人员职级不同，缴费基数不同，年中调减人员经费。</w:t>
      </w:r>
    </w:p>
    <w:p w14:paraId="009D230E">
      <w:pPr>
        <w:spacing w:line="640" w:lineRule="exact"/>
        <w:ind w:firstLine="640"/>
        <w:jc w:val="both"/>
        <w:outlineLvl w:val="3"/>
      </w:pPr>
      <w:r>
        <w:rPr>
          <w:rFonts w:ascii="楷体_GB2312" w:hAnsi="楷体_GB2312" w:eastAsia="楷体_GB2312"/>
          <w:b/>
          <w:sz w:val="32"/>
        </w:rPr>
        <w:t>（二）一般公共预算财政拨款支出决算结构情况</w:t>
      </w:r>
    </w:p>
    <w:p w14:paraId="1B891329">
      <w:pPr>
        <w:spacing w:line="580" w:lineRule="exact"/>
        <w:ind w:firstLine="640"/>
        <w:jc w:val="both"/>
      </w:pPr>
      <w:r>
        <w:rPr>
          <w:rFonts w:ascii="仿宋_GB2312" w:hAnsi="仿宋_GB2312" w:eastAsia="仿宋_GB2312"/>
          <w:b w:val="0"/>
          <w:sz w:val="32"/>
        </w:rPr>
        <w:t>1.一般公共服务支出(类)101.14万元,占74.80%。</w:t>
      </w:r>
    </w:p>
    <w:p w14:paraId="6C08F9DB">
      <w:pPr>
        <w:spacing w:line="580" w:lineRule="exact"/>
        <w:ind w:firstLine="640"/>
        <w:jc w:val="both"/>
      </w:pPr>
      <w:r>
        <w:rPr>
          <w:rFonts w:ascii="仿宋_GB2312" w:hAnsi="仿宋_GB2312" w:eastAsia="仿宋_GB2312"/>
          <w:b w:val="0"/>
          <w:sz w:val="32"/>
        </w:rPr>
        <w:t>2.社会保障和就业支出(类)15.85万元,占11.72%。</w:t>
      </w:r>
    </w:p>
    <w:p w14:paraId="0D67E113">
      <w:pPr>
        <w:spacing w:line="580" w:lineRule="exact"/>
        <w:ind w:firstLine="640"/>
        <w:jc w:val="both"/>
      </w:pPr>
      <w:r>
        <w:rPr>
          <w:rFonts w:ascii="仿宋_GB2312" w:hAnsi="仿宋_GB2312" w:eastAsia="仿宋_GB2312"/>
          <w:b w:val="0"/>
          <w:sz w:val="32"/>
        </w:rPr>
        <w:t>3.卫生健康支出(类)7.21万元,占5.33%。</w:t>
      </w:r>
    </w:p>
    <w:p w14:paraId="4EE32B87">
      <w:pPr>
        <w:spacing w:line="580" w:lineRule="exact"/>
        <w:ind w:firstLine="640"/>
        <w:jc w:val="both"/>
      </w:pPr>
      <w:r>
        <w:rPr>
          <w:rFonts w:ascii="仿宋_GB2312" w:hAnsi="仿宋_GB2312" w:eastAsia="仿宋_GB2312"/>
          <w:b w:val="0"/>
          <w:sz w:val="32"/>
        </w:rPr>
        <w:t>4.住房保障支出(类)11.01万元,占8.14%。</w:t>
      </w:r>
    </w:p>
    <w:p w14:paraId="19A6CA77">
      <w:pPr>
        <w:spacing w:line="640" w:lineRule="exact"/>
        <w:ind w:firstLine="640"/>
        <w:jc w:val="both"/>
        <w:outlineLvl w:val="3"/>
      </w:pPr>
      <w:r>
        <w:rPr>
          <w:rFonts w:ascii="楷体_GB2312" w:hAnsi="楷体_GB2312" w:eastAsia="楷体_GB2312"/>
          <w:b/>
          <w:sz w:val="32"/>
        </w:rPr>
        <w:t>（三）一般公共预算财政拨款支出决算具体情况</w:t>
      </w:r>
    </w:p>
    <w:p w14:paraId="5C6F3EE0">
      <w:pPr>
        <w:spacing w:line="580" w:lineRule="exact"/>
        <w:ind w:firstLine="640"/>
        <w:jc w:val="both"/>
      </w:pPr>
      <w:r>
        <w:rPr>
          <w:rFonts w:ascii="仿宋_GB2312" w:hAnsi="仿宋_GB2312" w:eastAsia="仿宋_GB2312"/>
          <w:b w:val="0"/>
          <w:sz w:val="32"/>
        </w:rPr>
        <w:t>1.一般公共服务支出(类)组织事务(款)行政运行(项):支出决算数为101.14万元，比上年决算增加3.86万元，增长3.97%,主要原因是：本年在职人员工资调增，导致相关人员经费较上年有所增加。</w:t>
      </w:r>
    </w:p>
    <w:p w14:paraId="07A334A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2.社会保障和就业支出(类)行政事业单位养老支出(款)行政单位离退休(项):支出决算数为2.99万元，比上年决算增加1.30万元，增长76.92%,主要原因是：本年增加退休人员基础绩效奖，退休费支出增加。</w:t>
      </w:r>
    </w:p>
    <w:p w14:paraId="55FA3EF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12.86万元，比上年决算增加1.54万元，增长13.60%,主要原因是：本年在职人员工资基数调增，养老缴费基数上涨，相应支出增加。</w:t>
      </w:r>
    </w:p>
    <w:p w14:paraId="1604C39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8.32万元，下降100.00%,主要原因是：本年无新增退休人员，职业年金缴费较上年减少。</w:t>
      </w:r>
    </w:p>
    <w:p w14:paraId="2CD3EAEA">
      <w:pPr>
        <w:spacing w:line="580" w:lineRule="exact"/>
        <w:ind w:firstLine="640"/>
        <w:jc w:val="both"/>
      </w:pPr>
      <w:r>
        <w:rPr>
          <w:rFonts w:ascii="仿宋_GB2312" w:hAnsi="仿宋_GB2312" w:eastAsia="仿宋_GB2312"/>
          <w:b w:val="0"/>
          <w:sz w:val="32"/>
        </w:rPr>
        <w:t>5.卫生健康支出(类)行政事业单位医疗(款)行政单位医疗(项):支出决算数为5.57万元，比上年决算减少0.17万元，下降2.96%,主要原因是：本年在职人员调入调出，人员职级不同，缴费基数不同，导致行政单位医疗较上年减少。</w:t>
      </w:r>
    </w:p>
    <w:p w14:paraId="37E57B82">
      <w:pPr>
        <w:spacing w:line="580" w:lineRule="exact"/>
        <w:ind w:firstLine="640"/>
        <w:jc w:val="both"/>
      </w:pPr>
      <w:r>
        <w:rPr>
          <w:rFonts w:ascii="仿宋_GB2312" w:hAnsi="仿宋_GB2312" w:eastAsia="仿宋_GB2312"/>
          <w:b w:val="0"/>
          <w:sz w:val="32"/>
        </w:rPr>
        <w:t>6.卫生健康支出(类)行政事业单位医疗(款)公务员医疗补助(项):支出决算数为1.63万元，比上年决算减少0.08万元，下降4.68%,主要原因是：本年在职人员调入调出，人员职级不同，缴费基数不同，导致公务员医疗补助较上年减少。</w:t>
      </w:r>
    </w:p>
    <w:p w14:paraId="49DD806E">
      <w:pPr>
        <w:spacing w:line="580" w:lineRule="exact"/>
        <w:ind w:firstLine="640"/>
        <w:jc w:val="both"/>
      </w:pPr>
      <w:r>
        <w:rPr>
          <w:rFonts w:ascii="仿宋_GB2312" w:hAnsi="仿宋_GB2312" w:eastAsia="仿宋_GB2312"/>
          <w:b w:val="0"/>
          <w:sz w:val="32"/>
        </w:rPr>
        <w:t>7.住房保障支出(类)住房改革支出(款)住房公积金(项):支出决算数为11.01万元，比上年决算增加1.85万元，增长20.20%,主要原因是：本年在职人员工资基数调增，公积金缴费基数上涨，相应支出增加。</w:t>
      </w:r>
    </w:p>
    <w:p w14:paraId="67FD117D">
      <w:pPr>
        <w:spacing w:line="640" w:lineRule="exact"/>
        <w:ind w:firstLine="640"/>
        <w:jc w:val="both"/>
        <w:outlineLvl w:val="2"/>
      </w:pPr>
      <w:r>
        <w:rPr>
          <w:rFonts w:ascii="黑体" w:hAnsi="黑体" w:eastAsia="黑体"/>
          <w:sz w:val="32"/>
        </w:rPr>
        <w:t>六、一般公共预算财政拨款基本支出决算情况说明</w:t>
      </w:r>
    </w:p>
    <w:p w14:paraId="68B49602">
      <w:pPr>
        <w:spacing w:line="580" w:lineRule="exact"/>
        <w:ind w:firstLine="640"/>
        <w:jc w:val="both"/>
      </w:pPr>
      <w:r>
        <w:rPr>
          <w:rFonts w:ascii="仿宋_GB2312" w:hAnsi="仿宋_GB2312" w:eastAsia="仿宋_GB2312"/>
          <w:b w:val="0"/>
          <w:sz w:val="32"/>
        </w:rPr>
        <w:t>2024年度一般公共预算财政拨款基本支出135.21万元，其中：</w:t>
      </w:r>
      <w:r>
        <w:rPr>
          <w:rFonts w:ascii="仿宋_GB2312" w:hAnsi="仿宋_GB2312" w:eastAsia="仿宋_GB2312"/>
          <w:b/>
          <w:sz w:val="32"/>
        </w:rPr>
        <w:t>人员经费131.31万元，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1F7F81BC">
      <w:pPr>
        <w:spacing w:line="580" w:lineRule="exact"/>
        <w:ind w:firstLine="640"/>
        <w:jc w:val="both"/>
      </w:pPr>
      <w:r>
        <w:rPr>
          <w:rFonts w:ascii="仿宋_GB2312" w:hAnsi="仿宋_GB2312" w:eastAsia="仿宋_GB2312"/>
          <w:b/>
          <w:sz w:val="32"/>
        </w:rPr>
        <w:t>公用经费3.90万元，</w:t>
      </w:r>
      <w:r>
        <w:rPr>
          <w:rFonts w:ascii="仿宋_GB2312" w:hAnsi="仿宋_GB2312" w:eastAsia="仿宋_GB2312"/>
          <w:b w:val="0"/>
          <w:sz w:val="32"/>
        </w:rPr>
        <w:t>包括：办公费、邮电费、差旅费、公务用车运行维护费。</w:t>
      </w:r>
    </w:p>
    <w:p w14:paraId="6C606008">
      <w:pPr>
        <w:spacing w:line="640" w:lineRule="exact"/>
        <w:ind w:firstLine="640"/>
        <w:jc w:val="both"/>
        <w:outlineLvl w:val="2"/>
      </w:pPr>
      <w:r>
        <w:rPr>
          <w:rFonts w:ascii="黑体" w:hAnsi="黑体" w:eastAsia="黑体"/>
          <w:sz w:val="32"/>
        </w:rPr>
        <w:t>七、政府性基金预算财政拨款收入支出决算情况说明</w:t>
      </w:r>
    </w:p>
    <w:p w14:paraId="3483C9C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A90434">
      <w:pPr>
        <w:spacing w:line="640" w:lineRule="exact"/>
        <w:ind w:firstLine="640"/>
        <w:jc w:val="both"/>
        <w:outlineLvl w:val="2"/>
      </w:pPr>
      <w:r>
        <w:rPr>
          <w:rFonts w:ascii="黑体" w:hAnsi="黑体" w:eastAsia="黑体"/>
          <w:sz w:val="32"/>
        </w:rPr>
        <w:t>八、国有资本经营预算财政拨款收入支出决算情况说明</w:t>
      </w:r>
    </w:p>
    <w:p w14:paraId="451F34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BA24F8">
      <w:pPr>
        <w:spacing w:line="640" w:lineRule="exact"/>
        <w:ind w:firstLine="640"/>
        <w:jc w:val="both"/>
        <w:outlineLvl w:val="2"/>
      </w:pPr>
      <w:r>
        <w:rPr>
          <w:rFonts w:ascii="黑体" w:hAnsi="黑体" w:eastAsia="黑体"/>
          <w:sz w:val="32"/>
        </w:rPr>
        <w:t>九、财政拨款“三公”经费支出决算情况说明</w:t>
      </w:r>
    </w:p>
    <w:p w14:paraId="6C7B8865">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1.80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0AA27D81">
      <w:pPr>
        <w:spacing w:line="580" w:lineRule="exact"/>
        <w:ind w:firstLine="640"/>
        <w:jc w:val="both"/>
      </w:pPr>
      <w:r>
        <w:rPr>
          <w:rFonts w:ascii="仿宋_GB2312" w:hAnsi="仿宋_GB2312" w:eastAsia="仿宋_GB2312"/>
          <w:b/>
          <w:sz w:val="32"/>
        </w:rPr>
        <w:t>具体情况如下：</w:t>
      </w:r>
    </w:p>
    <w:p w14:paraId="5A816DE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23D32F">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124F20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B111B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1.80万元，决算数1.80万元，预决算差异率0.00%，主要原因是：严格按照预算执行，预决算无差异。公务接待费全年预算数0.00万元，决算数0.00万元，预决算差异率0.00%，主要原因是：本单位无公务接待费。</w:t>
      </w:r>
    </w:p>
    <w:p w14:paraId="3B307355">
      <w:pPr>
        <w:spacing w:line="640" w:lineRule="exact"/>
        <w:ind w:firstLine="640"/>
        <w:jc w:val="both"/>
        <w:outlineLvl w:val="2"/>
      </w:pPr>
      <w:r>
        <w:rPr>
          <w:rFonts w:ascii="黑体" w:hAnsi="黑体" w:eastAsia="黑体"/>
          <w:sz w:val="32"/>
        </w:rPr>
        <w:t>十、其他重要事项的情况说明</w:t>
      </w:r>
    </w:p>
    <w:p w14:paraId="6A73A52F">
      <w:pPr>
        <w:spacing w:line="640" w:lineRule="exact"/>
        <w:ind w:firstLine="640"/>
        <w:jc w:val="both"/>
        <w:outlineLvl w:val="3"/>
      </w:pPr>
      <w:r>
        <w:rPr>
          <w:rFonts w:ascii="楷体_GB2312" w:hAnsi="楷体_GB2312" w:eastAsia="楷体_GB2312"/>
          <w:b/>
          <w:sz w:val="32"/>
        </w:rPr>
        <w:t>（一）机关运行经费及公用经费支出情况</w:t>
      </w:r>
    </w:p>
    <w:p w14:paraId="7D6E7F9A">
      <w:pPr>
        <w:spacing w:line="580" w:lineRule="exact"/>
        <w:ind w:firstLine="640"/>
        <w:jc w:val="both"/>
      </w:pPr>
      <w:r>
        <w:rPr>
          <w:rFonts w:ascii="仿宋_GB2312" w:hAnsi="仿宋_GB2312" w:eastAsia="仿宋_GB2312"/>
          <w:b w:val="0"/>
          <w:sz w:val="32"/>
        </w:rPr>
        <w:t>2024年度中共塔什库尔干塔吉克自治县机构编制委员会办公室（行政单位和参照公务员法管理事业单位）机关运行经费支出3.90万元，比上年增加0.00万元，增长0.00%，主要原因是：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单位机关运行经费与上年一致无变化。</w:t>
      </w:r>
    </w:p>
    <w:p w14:paraId="19248016">
      <w:pPr>
        <w:spacing w:line="640" w:lineRule="exact"/>
        <w:ind w:firstLine="640"/>
        <w:jc w:val="both"/>
        <w:outlineLvl w:val="3"/>
      </w:pPr>
      <w:r>
        <w:rPr>
          <w:rFonts w:ascii="楷体_GB2312" w:hAnsi="楷体_GB2312" w:eastAsia="楷体_GB2312"/>
          <w:b/>
          <w:sz w:val="32"/>
        </w:rPr>
        <w:t>（二）政府采购情况</w:t>
      </w:r>
    </w:p>
    <w:p w14:paraId="30AB275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F46AB9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DD447B7">
      <w:pPr>
        <w:spacing w:line="640" w:lineRule="exact"/>
        <w:ind w:firstLine="640"/>
        <w:jc w:val="both"/>
        <w:outlineLvl w:val="3"/>
      </w:pPr>
      <w:r>
        <w:rPr>
          <w:rFonts w:ascii="楷体_GB2312" w:hAnsi="楷体_GB2312" w:eastAsia="楷体_GB2312"/>
          <w:b/>
          <w:sz w:val="32"/>
        </w:rPr>
        <w:t>（三）国有资产占用情况说明</w:t>
      </w:r>
    </w:p>
    <w:p w14:paraId="2DF6E548">
      <w:pPr>
        <w:spacing w:line="580" w:lineRule="exact"/>
        <w:ind w:firstLine="640"/>
        <w:jc w:val="both"/>
      </w:pPr>
      <w:r>
        <w:rPr>
          <w:rFonts w:ascii="仿宋_GB2312" w:hAnsi="仿宋_GB2312" w:eastAsia="仿宋_GB2312"/>
          <w:b w:val="0"/>
          <w:sz w:val="32"/>
        </w:rPr>
        <w:t>截至2024年12月31日，房屋0.00平方米，价值0.00万元。车辆1辆，价值6.00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F45CC29">
      <w:pPr>
        <w:spacing w:line="640" w:lineRule="exact"/>
        <w:ind w:firstLine="640"/>
        <w:jc w:val="both"/>
        <w:outlineLvl w:val="2"/>
      </w:pPr>
      <w:r>
        <w:rPr>
          <w:rFonts w:ascii="黑体" w:hAnsi="黑体" w:eastAsia="黑体"/>
          <w:sz w:val="32"/>
        </w:rPr>
        <w:t>十一、预算绩效的情况说明</w:t>
      </w:r>
    </w:p>
    <w:p w14:paraId="048933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135.21万元，实际执行总额135.21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7E96CA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EE7996">
        <w:tblPrEx>
          <w:tblCellMar>
            <w:top w:w="0" w:type="dxa"/>
            <w:left w:w="108" w:type="dxa"/>
            <w:bottom w:w="0" w:type="dxa"/>
            <w:right w:w="108" w:type="dxa"/>
          </w:tblCellMar>
        </w:tblPrEx>
        <w:tc>
          <w:tcPr>
            <w:tcW w:w="8847" w:type="dxa"/>
            <w:gridSpan w:val="9"/>
            <w:vAlign w:val="center"/>
          </w:tcPr>
          <w:p w14:paraId="3AFB4B04">
            <w:pPr>
              <w:jc w:val="center"/>
            </w:pPr>
            <w:r>
              <w:rPr>
                <w:rFonts w:ascii="宋体" w:hAnsi="宋体" w:eastAsia="宋体"/>
                <w:sz w:val="24"/>
              </w:rPr>
              <w:t>单位整体支出绩效自评表</w:t>
            </w:r>
          </w:p>
        </w:tc>
      </w:tr>
      <w:tr w14:paraId="632525AE">
        <w:tblPrEx>
          <w:tblCellMar>
            <w:top w:w="0" w:type="dxa"/>
            <w:left w:w="108" w:type="dxa"/>
            <w:bottom w:w="0" w:type="dxa"/>
            <w:right w:w="108" w:type="dxa"/>
          </w:tblCellMar>
        </w:tblPrEx>
        <w:tc>
          <w:tcPr>
            <w:tcW w:w="8847" w:type="dxa"/>
            <w:gridSpan w:val="9"/>
            <w:vAlign w:val="center"/>
          </w:tcPr>
          <w:p w14:paraId="2DD133E1">
            <w:pPr>
              <w:jc w:val="center"/>
            </w:pPr>
            <w:r>
              <w:rPr>
                <w:rFonts w:ascii="宋体" w:hAnsi="宋体" w:eastAsia="宋体"/>
                <w:sz w:val="24"/>
              </w:rPr>
              <w:t>（2024年度）</w:t>
            </w:r>
          </w:p>
        </w:tc>
      </w:tr>
      <w:tr w14:paraId="2CA1AB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13E5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444109">
            <w:pPr>
              <w:jc w:val="center"/>
            </w:pPr>
            <w:r>
              <w:rPr>
                <w:rFonts w:ascii="宋体" w:hAnsi="宋体" w:eastAsia="宋体"/>
                <w:sz w:val="16"/>
              </w:rPr>
              <w:t>中共塔什库尔干塔吉克自治县机构编制委员会办公室</w:t>
            </w:r>
          </w:p>
        </w:tc>
      </w:tr>
      <w:tr w14:paraId="525393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88CC3">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0583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AC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B38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0DAA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0E2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B0E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2FE45">
            <w:pPr>
              <w:jc w:val="center"/>
            </w:pPr>
            <w:r>
              <w:rPr>
                <w:rFonts w:ascii="宋体" w:hAnsi="宋体" w:eastAsia="宋体"/>
                <w:sz w:val="16"/>
              </w:rPr>
              <w:t>得分</w:t>
            </w:r>
          </w:p>
        </w:tc>
      </w:tr>
      <w:tr w14:paraId="316A9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74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400B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63DF5">
            <w:pPr>
              <w:jc w:val="center"/>
            </w:pPr>
            <w:r>
              <w:rPr>
                <w:rFonts w:ascii="宋体" w:hAnsi="宋体" w:eastAsia="宋体"/>
                <w:sz w:val="16"/>
              </w:rPr>
              <w:t>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EE93">
            <w:pPr>
              <w:jc w:val="center"/>
            </w:pPr>
            <w:r>
              <w:rPr>
                <w:rFonts w:ascii="宋体" w:hAnsi="宋体" w:eastAsia="宋体"/>
                <w:sz w:val="16"/>
              </w:rPr>
              <w:t>135.21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94B24">
            <w:pPr>
              <w:jc w:val="center"/>
            </w:pPr>
            <w:r>
              <w:rPr>
                <w:rFonts w:ascii="宋体" w:hAnsi="宋体" w:eastAsia="宋体"/>
                <w:sz w:val="16"/>
              </w:rPr>
              <w:t>135.21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85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86A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A53A">
            <w:pPr>
              <w:jc w:val="center"/>
            </w:pPr>
            <w:r>
              <w:rPr>
                <w:rFonts w:ascii="宋体" w:hAnsi="宋体" w:eastAsia="宋体"/>
                <w:sz w:val="16"/>
              </w:rPr>
              <w:t>10</w:t>
            </w:r>
          </w:p>
        </w:tc>
      </w:tr>
      <w:tr w14:paraId="63774C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F4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6C26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21F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96F9">
            <w:pPr>
              <w:jc w:val="center"/>
            </w:pPr>
            <w:r>
              <w:rPr>
                <w:rFonts w:ascii="宋体" w:hAnsi="宋体" w:eastAsia="宋体"/>
                <w:sz w:val="16"/>
              </w:rPr>
              <w:t>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7949">
            <w:pPr>
              <w:jc w:val="center"/>
            </w:pPr>
            <w:r>
              <w:rPr>
                <w:rFonts w:ascii="宋体" w:hAnsi="宋体" w:eastAsia="宋体"/>
                <w:sz w:val="16"/>
              </w:rPr>
              <w:t>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E4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FC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D4235">
            <w:pPr>
              <w:jc w:val="center"/>
            </w:pPr>
            <w:r>
              <w:rPr>
                <w:rFonts w:ascii="宋体" w:hAnsi="宋体" w:eastAsia="宋体"/>
                <w:sz w:val="16"/>
              </w:rPr>
              <w:t>—</w:t>
            </w:r>
          </w:p>
        </w:tc>
      </w:tr>
      <w:tr w14:paraId="39AF5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58E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F8F2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FB0E">
            <w:pPr>
              <w:jc w:val="center"/>
            </w:pPr>
            <w:r>
              <w:rPr>
                <w:rFonts w:ascii="宋体" w:hAnsi="宋体" w:eastAsia="宋体"/>
                <w:sz w:val="16"/>
              </w:rPr>
              <w:t>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2C6FE">
            <w:pPr>
              <w:jc w:val="center"/>
            </w:pPr>
            <w:r>
              <w:rPr>
                <w:rFonts w:ascii="宋体" w:hAnsi="宋体" w:eastAsia="宋体"/>
                <w:sz w:val="16"/>
              </w:rPr>
              <w:t>133.65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1FCD">
            <w:pPr>
              <w:jc w:val="center"/>
            </w:pPr>
            <w:r>
              <w:rPr>
                <w:rFonts w:ascii="宋体" w:hAnsi="宋体" w:eastAsia="宋体"/>
                <w:sz w:val="16"/>
              </w:rPr>
              <w:t>133.65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C6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9DD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2F83">
            <w:pPr>
              <w:jc w:val="center"/>
            </w:pPr>
            <w:r>
              <w:rPr>
                <w:rFonts w:ascii="宋体" w:hAnsi="宋体" w:eastAsia="宋体"/>
                <w:sz w:val="16"/>
              </w:rPr>
              <w:t>—</w:t>
            </w:r>
          </w:p>
        </w:tc>
      </w:tr>
      <w:tr w14:paraId="071E5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FC5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F98C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C1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73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6D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16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960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5850">
            <w:pPr>
              <w:jc w:val="center"/>
            </w:pPr>
            <w:r>
              <w:rPr>
                <w:rFonts w:ascii="宋体" w:hAnsi="宋体" w:eastAsia="宋体"/>
                <w:sz w:val="16"/>
              </w:rPr>
              <w:t>—</w:t>
            </w:r>
          </w:p>
        </w:tc>
      </w:tr>
      <w:tr w14:paraId="0EA375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839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7153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EEF97">
            <w:pPr>
              <w:jc w:val="center"/>
              <w:rPr>
                <w:rFonts w:hint="eastAsia" w:eastAsia="宋体"/>
                <w:lang w:eastAsia="zh-CN"/>
              </w:rPr>
            </w:pPr>
            <w:r>
              <w:rPr>
                <w:rFonts w:hint="eastAsia" w:ascii="宋体" w:hAnsi="宋体"/>
                <w:sz w:val="16"/>
                <w:lang w:eastAsia="zh-CN"/>
              </w:rPr>
              <w:t>实际完成情况</w:t>
            </w:r>
          </w:p>
        </w:tc>
      </w:tr>
      <w:tr w14:paraId="533E1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CA86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B0321">
            <w:pPr>
              <w:jc w:val="both"/>
            </w:pPr>
            <w:r>
              <w:rPr>
                <w:rFonts w:ascii="宋体" w:hAnsi="宋体" w:eastAsia="宋体"/>
                <w:sz w:val="16"/>
              </w:rPr>
              <w:t>坚持以习近平新时代中国特色社会主义思想为指导，</w:t>
            </w:r>
            <w:r>
              <w:rPr>
                <w:rFonts w:hint="eastAsia" w:ascii="宋体" w:hAnsi="宋体"/>
                <w:sz w:val="16"/>
                <w:lang w:eastAsia="zh-CN"/>
              </w:rPr>
              <w:t>全面贯彻党的二十大和二十届二中全会精神</w:t>
            </w:r>
            <w:r>
              <w:rPr>
                <w:rFonts w:ascii="宋体" w:hAnsi="宋体" w:eastAsia="宋体"/>
                <w:sz w:val="16"/>
              </w:rPr>
              <w:t>，深入贯彻落实党中央及中央编委决策部署，落实自治区党委十届三次、五次、六次、七次全会精神，对标对表自治区、地区组织部长、编办主任会议精神，紧紧围绕坚持和加强党的全面领导，完整准确贯彻落实新时代党的治疆方略，推进治理体系和治理能力现代化，围绕县委中心工作和重点工作，不断健全完善机构职能体系，着力深化重点领域体制机构改革，优化职责体系、组织结构和机构编制资源配置，加强机构编制监督检查和法治建设，不断提高机构编制工作质量和水平，为推进新时代</w:t>
            </w:r>
            <w:r>
              <w:rPr>
                <w:rFonts w:hint="eastAsia" w:ascii="宋体" w:hAnsi="宋体"/>
                <w:sz w:val="16"/>
                <w:lang w:eastAsia="zh-CN"/>
              </w:rPr>
              <w:t>塔什库尔干塔吉克自治县</w:t>
            </w:r>
            <w:r>
              <w:rPr>
                <w:rFonts w:ascii="宋体" w:hAnsi="宋体" w:eastAsia="宋体"/>
                <w:sz w:val="16"/>
              </w:rPr>
              <w:t>高质量发展提供坚实的体制机制和机构编制保障。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57914">
            <w:pPr>
              <w:jc w:val="both"/>
            </w:pPr>
            <w:r>
              <w:rPr>
                <w:rFonts w:ascii="宋体" w:hAnsi="宋体" w:eastAsia="宋体"/>
                <w:sz w:val="16"/>
              </w:rPr>
              <w:t>今年以来，</w:t>
            </w:r>
            <w:r>
              <w:rPr>
                <w:rFonts w:hint="eastAsia" w:ascii="宋体" w:hAnsi="宋体"/>
                <w:sz w:val="16"/>
                <w:lang w:eastAsia="zh-CN"/>
              </w:rPr>
              <w:t>塔什库尔干塔吉克自治县</w:t>
            </w:r>
            <w:r>
              <w:rPr>
                <w:rFonts w:ascii="宋体" w:hAnsi="宋体" w:eastAsia="宋体"/>
                <w:sz w:val="16"/>
              </w:rPr>
              <w:t>委编办在地委、县委、县政府的正确领导下，坚持以习近平新时代中国特色社会主义思想为指导，认真贯彻落实党的二十大和二十届三中全会精神，习近平总书记视察新疆、听取自治区和兵团工作汇报时的重要讲话精神，习近平总书记关于深化党和国家机构改革的重要论述，习近平总书记在二十届中央机构编制委员会第一次会议上的讲话，扎实落实推进各项工作任务。2024年具体完成的重要工作有：完成机构改革组织实施1项，深化事业单位改革1次，对3个事业单位开展机构编制执行情况和使用效益评估，完成了12个月持续推进机构编制实名制平台管理，完成年度机构编制统计报告工作1项。</w:t>
            </w:r>
          </w:p>
        </w:tc>
      </w:tr>
      <w:tr w14:paraId="064F43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6EF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C0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1F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304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9928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BB3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9E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635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A5DD">
            <w:pPr>
              <w:jc w:val="center"/>
            </w:pPr>
            <w:r>
              <w:rPr>
                <w:rFonts w:ascii="宋体" w:hAnsi="宋体" w:eastAsia="宋体"/>
                <w:sz w:val="16"/>
              </w:rPr>
              <w:t>得分</w:t>
            </w:r>
          </w:p>
        </w:tc>
      </w:tr>
      <w:tr w14:paraId="56087F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D8CF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D2A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6A25">
            <w:pPr>
              <w:jc w:val="center"/>
            </w:pPr>
            <w:r>
              <w:rPr>
                <w:rFonts w:ascii="宋体" w:hAnsi="宋体" w:eastAsia="宋体"/>
                <w:sz w:val="16"/>
              </w:rPr>
              <w:t>做好机构改革组织实施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40DA">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B856B">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0E4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8C94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0AF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E392">
            <w:pPr>
              <w:jc w:val="center"/>
            </w:pPr>
            <w:r>
              <w:rPr>
                <w:rFonts w:ascii="宋体" w:hAnsi="宋体" w:eastAsia="宋体"/>
                <w:sz w:val="16"/>
              </w:rPr>
              <w:t>20</w:t>
            </w:r>
          </w:p>
        </w:tc>
      </w:tr>
      <w:tr w14:paraId="00BCA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893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E9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705C">
            <w:pPr>
              <w:jc w:val="center"/>
            </w:pPr>
            <w:r>
              <w:rPr>
                <w:rFonts w:ascii="宋体" w:hAnsi="宋体" w:eastAsia="宋体"/>
                <w:sz w:val="16"/>
              </w:rPr>
              <w:t>深化事业单位改革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96D0">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9A29">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40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1A5F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6A61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D885">
            <w:pPr>
              <w:jc w:val="center"/>
            </w:pPr>
            <w:r>
              <w:rPr>
                <w:rFonts w:ascii="宋体" w:hAnsi="宋体" w:eastAsia="宋体"/>
                <w:sz w:val="16"/>
              </w:rPr>
              <w:t>20</w:t>
            </w:r>
          </w:p>
        </w:tc>
      </w:tr>
      <w:tr w14:paraId="243416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1E5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25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EA7C9">
            <w:pPr>
              <w:jc w:val="center"/>
            </w:pPr>
            <w:r>
              <w:rPr>
                <w:rFonts w:ascii="宋体" w:hAnsi="宋体" w:eastAsia="宋体"/>
                <w:sz w:val="16"/>
              </w:rPr>
              <w:t>开展机构编制执行情况和使用效益评估事业单位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00DF">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03BA">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5ED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EE7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073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A5908">
            <w:pPr>
              <w:jc w:val="center"/>
            </w:pPr>
            <w:r>
              <w:rPr>
                <w:rFonts w:ascii="宋体" w:hAnsi="宋体" w:eastAsia="宋体"/>
                <w:sz w:val="16"/>
              </w:rPr>
              <w:t>20</w:t>
            </w:r>
          </w:p>
        </w:tc>
      </w:tr>
      <w:tr w14:paraId="75BD4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4C5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EC1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61B0">
            <w:pPr>
              <w:jc w:val="center"/>
            </w:pPr>
            <w:r>
              <w:rPr>
                <w:rFonts w:ascii="宋体" w:hAnsi="宋体" w:eastAsia="宋体"/>
                <w:sz w:val="16"/>
              </w:rPr>
              <w:t>持续推进机构编制实名制平台管理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B5F40">
            <w:pPr>
              <w:jc w:val="center"/>
            </w:pPr>
            <w:r>
              <w:rPr>
                <w:rFonts w:ascii="宋体" w:hAnsi="宋体" w:eastAsia="宋体"/>
                <w:sz w:val="16"/>
              </w:rPr>
              <w:t>&gt;=12个月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0AAB">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98D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63E0C">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43CA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345F">
            <w:pPr>
              <w:jc w:val="center"/>
            </w:pPr>
            <w:r>
              <w:rPr>
                <w:rFonts w:ascii="宋体" w:hAnsi="宋体" w:eastAsia="宋体"/>
                <w:sz w:val="16"/>
              </w:rPr>
              <w:t>20</w:t>
            </w:r>
          </w:p>
        </w:tc>
      </w:tr>
      <w:tr w14:paraId="7A041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26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A09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5F5D">
            <w:pPr>
              <w:jc w:val="center"/>
            </w:pPr>
            <w:r>
              <w:rPr>
                <w:rFonts w:ascii="宋体" w:hAnsi="宋体" w:eastAsia="宋体"/>
                <w:sz w:val="16"/>
              </w:rPr>
              <w:t>年度机构编制统计报告工作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10B4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DC36">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D7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12D7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83A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A8FB6">
            <w:pPr>
              <w:jc w:val="center"/>
            </w:pPr>
            <w:r>
              <w:rPr>
                <w:rFonts w:ascii="宋体" w:hAnsi="宋体" w:eastAsia="宋体"/>
                <w:sz w:val="16"/>
              </w:rPr>
              <w:t>10</w:t>
            </w:r>
          </w:p>
        </w:tc>
      </w:tr>
    </w:tbl>
    <w:p w14:paraId="6F884336">
      <w:r>
        <w:br w:type="page"/>
      </w:r>
    </w:p>
    <w:p w14:paraId="03CDF3B4">
      <w:pPr>
        <w:spacing w:line="640" w:lineRule="exact"/>
        <w:ind w:firstLine="640"/>
        <w:jc w:val="both"/>
        <w:outlineLvl w:val="2"/>
      </w:pPr>
      <w:r>
        <w:rPr>
          <w:rFonts w:ascii="黑体" w:hAnsi="黑体" w:eastAsia="黑体"/>
          <w:sz w:val="32"/>
        </w:rPr>
        <w:t>十二、其他需说明的事项</w:t>
      </w:r>
    </w:p>
    <w:p w14:paraId="08C4ACB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EFFB968">
      <w:r>
        <w:br w:type="page"/>
      </w:r>
    </w:p>
    <w:p w14:paraId="6FC5CA07">
      <w:pPr>
        <w:spacing w:line="240" w:lineRule="auto"/>
        <w:jc w:val="center"/>
        <w:outlineLvl w:val="1"/>
      </w:pPr>
      <w:r>
        <w:rPr>
          <w:rFonts w:ascii="黑体" w:hAnsi="黑体" w:eastAsia="黑体"/>
          <w:sz w:val="32"/>
        </w:rPr>
        <w:t>第三部分 专业名词解释</w:t>
      </w:r>
    </w:p>
    <w:p w14:paraId="03BA49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7A190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4E0C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DFEB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56195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68E71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D123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689B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0109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6C88B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632A5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66B9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BD365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6FAD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EAF3F1">
      <w:r>
        <w:br w:type="page"/>
      </w:r>
    </w:p>
    <w:p w14:paraId="554D391B">
      <w:pPr>
        <w:spacing w:line="240" w:lineRule="auto"/>
        <w:jc w:val="center"/>
        <w:outlineLvl w:val="1"/>
      </w:pPr>
      <w:r>
        <w:rPr>
          <w:rFonts w:ascii="黑体" w:hAnsi="黑体" w:eastAsia="黑体"/>
          <w:sz w:val="32"/>
        </w:rPr>
        <w:t>第四部分 部门决算报表（见附表）</w:t>
      </w:r>
    </w:p>
    <w:p w14:paraId="2FA83C68">
      <w:pPr>
        <w:spacing w:line="240" w:lineRule="auto"/>
        <w:ind w:firstLine="640"/>
        <w:jc w:val="both"/>
      </w:pPr>
      <w:r>
        <w:rPr>
          <w:rFonts w:ascii="仿宋_GB2312" w:hAnsi="仿宋_GB2312" w:eastAsia="仿宋_GB2312"/>
          <w:b w:val="0"/>
          <w:sz w:val="32"/>
        </w:rPr>
        <w:t>一、《收入支出决算总表》</w:t>
      </w:r>
    </w:p>
    <w:p w14:paraId="0B28EEAE">
      <w:pPr>
        <w:spacing w:line="240" w:lineRule="auto"/>
        <w:ind w:firstLine="640"/>
        <w:jc w:val="both"/>
      </w:pPr>
      <w:r>
        <w:rPr>
          <w:rFonts w:ascii="仿宋_GB2312" w:hAnsi="仿宋_GB2312" w:eastAsia="仿宋_GB2312"/>
          <w:b w:val="0"/>
          <w:sz w:val="32"/>
        </w:rPr>
        <w:t>二、《收入决算表》</w:t>
      </w:r>
    </w:p>
    <w:p w14:paraId="2D41D249">
      <w:pPr>
        <w:spacing w:line="240" w:lineRule="auto"/>
        <w:ind w:firstLine="640"/>
        <w:jc w:val="both"/>
      </w:pPr>
      <w:r>
        <w:rPr>
          <w:rFonts w:ascii="仿宋_GB2312" w:hAnsi="仿宋_GB2312" w:eastAsia="仿宋_GB2312"/>
          <w:b w:val="0"/>
          <w:sz w:val="32"/>
        </w:rPr>
        <w:t>三、《支出决算表》</w:t>
      </w:r>
    </w:p>
    <w:p w14:paraId="08D0DC15">
      <w:pPr>
        <w:spacing w:line="240" w:lineRule="auto"/>
        <w:ind w:firstLine="640"/>
        <w:jc w:val="both"/>
      </w:pPr>
      <w:r>
        <w:rPr>
          <w:rFonts w:ascii="仿宋_GB2312" w:hAnsi="仿宋_GB2312" w:eastAsia="仿宋_GB2312"/>
          <w:b w:val="0"/>
          <w:sz w:val="32"/>
        </w:rPr>
        <w:t>四、《财政拨款收入支出决算总表》</w:t>
      </w:r>
    </w:p>
    <w:p w14:paraId="4EB91F0F">
      <w:pPr>
        <w:spacing w:line="240" w:lineRule="auto"/>
        <w:ind w:firstLine="640"/>
        <w:jc w:val="both"/>
      </w:pPr>
      <w:r>
        <w:rPr>
          <w:rFonts w:ascii="仿宋_GB2312" w:hAnsi="仿宋_GB2312" w:eastAsia="仿宋_GB2312"/>
          <w:b w:val="0"/>
          <w:sz w:val="32"/>
        </w:rPr>
        <w:t>五、《一般公共预算财政拨款支出决算表》</w:t>
      </w:r>
    </w:p>
    <w:p w14:paraId="1BAD84C7">
      <w:pPr>
        <w:spacing w:line="240" w:lineRule="auto"/>
        <w:ind w:firstLine="640"/>
        <w:jc w:val="both"/>
      </w:pPr>
      <w:r>
        <w:rPr>
          <w:rFonts w:ascii="仿宋_GB2312" w:hAnsi="仿宋_GB2312" w:eastAsia="仿宋_GB2312"/>
          <w:b w:val="0"/>
          <w:sz w:val="32"/>
        </w:rPr>
        <w:t>六、《一般公共预算财政拨款基本支出决算表》</w:t>
      </w:r>
    </w:p>
    <w:p w14:paraId="459BBD93">
      <w:pPr>
        <w:spacing w:line="240" w:lineRule="auto"/>
        <w:ind w:firstLine="640"/>
        <w:jc w:val="both"/>
      </w:pPr>
      <w:r>
        <w:rPr>
          <w:rFonts w:ascii="仿宋_GB2312" w:hAnsi="仿宋_GB2312" w:eastAsia="仿宋_GB2312"/>
          <w:b w:val="0"/>
          <w:sz w:val="32"/>
        </w:rPr>
        <w:t>七、《政府性基金预算财政拨款收入支出决算表》</w:t>
      </w:r>
    </w:p>
    <w:p w14:paraId="4C4528A8">
      <w:pPr>
        <w:spacing w:line="240" w:lineRule="auto"/>
        <w:ind w:firstLine="640"/>
        <w:jc w:val="both"/>
      </w:pPr>
      <w:r>
        <w:rPr>
          <w:rFonts w:ascii="仿宋_GB2312" w:hAnsi="仿宋_GB2312" w:eastAsia="仿宋_GB2312"/>
          <w:b w:val="0"/>
          <w:sz w:val="32"/>
        </w:rPr>
        <w:t>八、《国有资本经营预算财政拨款收入支出决算表》</w:t>
      </w:r>
    </w:p>
    <w:p w14:paraId="3532D78A">
      <w:pPr>
        <w:spacing w:line="240" w:lineRule="auto"/>
        <w:ind w:firstLine="640"/>
        <w:jc w:val="both"/>
      </w:pPr>
      <w:r>
        <w:rPr>
          <w:rFonts w:ascii="仿宋_GB2312" w:hAnsi="仿宋_GB2312" w:eastAsia="仿宋_GB2312"/>
          <w:b w:val="0"/>
          <w:sz w:val="32"/>
        </w:rPr>
        <w:t>九、《财政拨款“三公”经费支出决算表》</w:t>
      </w:r>
    </w:p>
    <w:p w14:paraId="1AD4B8CA">
      <w:pPr>
        <w:spacing w:line="240" w:lineRule="auto"/>
        <w:ind w:firstLine="640"/>
        <w:jc w:val="both"/>
      </w:pPr>
    </w:p>
    <w:p w14:paraId="3F827ABE">
      <w:pPr>
        <w:spacing w:line="240" w:lineRule="auto"/>
        <w:ind w:firstLine="640"/>
        <w:jc w:val="both"/>
      </w:pPr>
    </w:p>
    <w:p w14:paraId="2993CEEC">
      <w:pPr>
        <w:spacing w:line="240" w:lineRule="auto"/>
        <w:ind w:firstLine="640"/>
        <w:jc w:val="both"/>
      </w:pPr>
    </w:p>
    <w:p w14:paraId="313D3E7B">
      <w:pPr>
        <w:spacing w:line="240" w:lineRule="auto"/>
        <w:ind w:firstLine="640"/>
        <w:jc w:val="both"/>
      </w:pPr>
    </w:p>
    <w:p w14:paraId="1697AF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A4785D"/>
    <w:rsid w:val="09A729D8"/>
    <w:rsid w:val="0A3C58E8"/>
    <w:rsid w:val="0A7B4867"/>
    <w:rsid w:val="0B8C3ECC"/>
    <w:rsid w:val="0C3613A3"/>
    <w:rsid w:val="0C7227A7"/>
    <w:rsid w:val="0DCA6EF7"/>
    <w:rsid w:val="0E4B1576"/>
    <w:rsid w:val="0EA04331"/>
    <w:rsid w:val="0F9811B3"/>
    <w:rsid w:val="11E15093"/>
    <w:rsid w:val="120E0809"/>
    <w:rsid w:val="17CE6E8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030946"/>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E04D7A"/>
    <w:rsid w:val="4B4C0111"/>
    <w:rsid w:val="4BAC1124"/>
    <w:rsid w:val="4BB23021"/>
    <w:rsid w:val="4F3F074E"/>
    <w:rsid w:val="50DB5F45"/>
    <w:rsid w:val="52F92565"/>
    <w:rsid w:val="543D17CB"/>
    <w:rsid w:val="55DA564E"/>
    <w:rsid w:val="56E07045"/>
    <w:rsid w:val="583059FA"/>
    <w:rsid w:val="587E6212"/>
    <w:rsid w:val="5AFC6609"/>
    <w:rsid w:val="5FA17648"/>
    <w:rsid w:val="5FD320BD"/>
    <w:rsid w:val="60A9756A"/>
    <w:rsid w:val="60DE4D57"/>
    <w:rsid w:val="613409CB"/>
    <w:rsid w:val="61A46A97"/>
    <w:rsid w:val="62DD7D21"/>
    <w:rsid w:val="6411288C"/>
    <w:rsid w:val="65D97752"/>
    <w:rsid w:val="664C500C"/>
    <w:rsid w:val="67D111AB"/>
    <w:rsid w:val="68DB0208"/>
    <w:rsid w:val="68DF36D5"/>
    <w:rsid w:val="69846A0E"/>
    <w:rsid w:val="69AD798C"/>
    <w:rsid w:val="6B68175F"/>
    <w:rsid w:val="6B8B5C99"/>
    <w:rsid w:val="6CA7198F"/>
    <w:rsid w:val="6D4937E0"/>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5554</Words>
  <Characters>6286</Characters>
  <Lines>0</Lines>
  <Paragraphs>0</Paragraphs>
  <TotalTime>12</TotalTime>
  <ScaleCrop>false</ScaleCrop>
  <LinksUpToDate>false</LinksUpToDate>
  <CharactersWithSpaces>6295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