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56B81">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51EA529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3478CB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5F67A9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920687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8D1850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6F8045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58F28A8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1E0336B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30935D1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2DB7701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28AC67E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48DF17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2962D56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376C18C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530F503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0911C1C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DEC7AC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16A3291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2DA12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6F85CE0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172E09E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7F0D68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799D9C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875B3E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50C2562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3F73228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711899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620D099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201202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6D79ABA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1D55174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AE0994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229A598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005A10C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E45025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22DF08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9427A6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3D61EFD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92E6F6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496E86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D6F456">
      <w:r>
        <w:br w:type="page"/>
      </w:r>
    </w:p>
    <w:p w14:paraId="45B2123B">
      <w:pPr>
        <w:spacing w:line="640" w:lineRule="exact"/>
        <w:jc w:val="center"/>
        <w:outlineLvl w:val="1"/>
      </w:pPr>
      <w:r>
        <w:rPr>
          <w:rFonts w:ascii="黑体" w:hAnsi="黑体" w:eastAsia="黑体"/>
          <w:sz w:val="32"/>
        </w:rPr>
        <w:t>第一部分 单位概况</w:t>
      </w:r>
    </w:p>
    <w:p w14:paraId="5DCEF99A">
      <w:pPr>
        <w:spacing w:line="640" w:lineRule="exact"/>
        <w:ind w:firstLine="640"/>
        <w:jc w:val="both"/>
        <w:outlineLvl w:val="2"/>
      </w:pPr>
      <w:r>
        <w:rPr>
          <w:rFonts w:ascii="黑体" w:hAnsi="黑体" w:eastAsia="黑体"/>
          <w:sz w:val="32"/>
        </w:rPr>
        <w:t>一、主要职能</w:t>
      </w:r>
    </w:p>
    <w:p w14:paraId="40CC57B5">
      <w:pPr>
        <w:spacing w:line="580" w:lineRule="exact"/>
        <w:ind w:firstLine="640"/>
        <w:jc w:val="both"/>
      </w:pPr>
      <w:r>
        <w:rPr>
          <w:rFonts w:ascii="仿宋_GB2312" w:hAnsi="仿宋_GB2312" w:eastAsia="仿宋_GB2312"/>
          <w:sz w:val="32"/>
        </w:rPr>
        <w:t>(一)组织开展全面依法治县重大问题的政策研究，协调有关方面提出全面依法治县中长期规划建议，监督有关重大决策部署工作落实。</w:t>
      </w:r>
    </w:p>
    <w:p w14:paraId="5CDD4A16">
      <w:pPr>
        <w:spacing w:line="580" w:lineRule="exact"/>
        <w:ind w:firstLine="640"/>
        <w:jc w:val="both"/>
      </w:pPr>
      <w:r>
        <w:rPr>
          <w:rFonts w:ascii="仿宋_GB2312" w:hAnsi="仿宋_GB2312" w:eastAsia="仿宋_GB2312"/>
          <w:sz w:val="32"/>
        </w:rPr>
        <w:t>(二)承办上级法律、法规、规章草案征求意见建议的工作。协调实施政府规章中的有关争议和问题。负责行政规范性文件合法性审核、备案工作。组织开展政府规范性文件清理工作。</w:t>
      </w:r>
    </w:p>
    <w:p w14:paraId="1C4370C5">
      <w:pPr>
        <w:spacing w:line="580" w:lineRule="exact"/>
        <w:ind w:firstLine="640"/>
        <w:jc w:val="both"/>
      </w:pPr>
      <w:r>
        <w:rPr>
          <w:rFonts w:ascii="仿宋_GB2312" w:hAnsi="仿宋_GB2312" w:eastAsia="仿宋_GB2312"/>
          <w:sz w:val="32"/>
        </w:rPr>
        <w:t>(三)统筹推进法治政府建设。指导、监督人民政府各部门依法行政工作。负责本系统行政执法的监督管理、综合协调工作，推进行政执法体制改革有关工作，推进严格规范公正文明执法。指导、监督全县行政复议和行政应诉工作。负责行政复议和应诉案件办理工作。</w:t>
      </w:r>
    </w:p>
    <w:p w14:paraId="13509773">
      <w:pPr>
        <w:spacing w:line="580" w:lineRule="exact"/>
        <w:ind w:firstLine="640"/>
        <w:jc w:val="both"/>
      </w:pPr>
      <w:r>
        <w:rPr>
          <w:rFonts w:ascii="仿宋_GB2312" w:hAnsi="仿宋_GB2312" w:eastAsia="仿宋_GB2312"/>
          <w:sz w:val="32"/>
        </w:rPr>
        <w:t>(四)统筹规划法治社会建设。负责拟订塔什库尔干塔吉克自治县</w:t>
      </w:r>
      <w:r>
        <w:rPr>
          <w:rFonts w:hint="eastAsia" w:ascii="仿宋_GB2312" w:hAnsi="仿宋_GB2312" w:eastAsia="仿宋_GB2312"/>
          <w:sz w:val="32"/>
        </w:rPr>
        <w:t>法治宣传</w:t>
      </w:r>
      <w:r>
        <w:rPr>
          <w:rFonts w:ascii="仿宋_GB2312" w:hAnsi="仿宋_GB2312" w:eastAsia="仿宋_GB2312"/>
          <w:sz w:val="32"/>
        </w:rPr>
        <w:t>教育规划，组织实施普法宣传工作，组织对外法治宣传。推动人民参与和促进法治建设。指导依法治理和法治创建工作。负责人民监督员选任管理工作。指导、监督人民调解、行政调解、人民陪审员选任工作，推进司法所建设。负责促进和谐预防犯罪宣传教育工作。</w:t>
      </w:r>
    </w:p>
    <w:p w14:paraId="13412799">
      <w:pPr>
        <w:spacing w:line="580" w:lineRule="exact"/>
        <w:ind w:firstLine="640"/>
        <w:jc w:val="both"/>
      </w:pPr>
      <w:r>
        <w:rPr>
          <w:rFonts w:ascii="仿宋_GB2312" w:hAnsi="仿宋_GB2312" w:eastAsia="仿宋_GB2312"/>
          <w:sz w:val="32"/>
        </w:rPr>
        <w:t>(五)指导、管理社区矫正工作。指导刑满释放人员帮教安置工作。负责恐怖活动、极端主义活动刑满释放人员的安置教育工作。负责社区服刑人员“去极端化”工作。</w:t>
      </w:r>
    </w:p>
    <w:p w14:paraId="6AA2A286">
      <w:pPr>
        <w:spacing w:line="580" w:lineRule="exact"/>
        <w:ind w:firstLine="640"/>
        <w:jc w:val="both"/>
      </w:pPr>
      <w:r>
        <w:rPr>
          <w:rFonts w:ascii="仿宋_GB2312" w:hAnsi="仿宋_GB2312" w:eastAsia="仿宋_GB2312"/>
          <w:sz w:val="32"/>
        </w:rPr>
        <w:t>(六)负责拟订公共法律服务体系建设规划并指导实施，统筹和布局城乡、区域法律服务资源。指导、监督律师、法律援助、公证和基层法律服务管理工作。</w:t>
      </w:r>
    </w:p>
    <w:p w14:paraId="03BBE234">
      <w:pPr>
        <w:spacing w:line="580" w:lineRule="exact"/>
        <w:ind w:firstLine="640"/>
        <w:jc w:val="both"/>
      </w:pPr>
      <w:r>
        <w:rPr>
          <w:rFonts w:ascii="仿宋_GB2312" w:hAnsi="仿宋_GB2312" w:eastAsia="仿宋_GB2312"/>
          <w:sz w:val="32"/>
        </w:rPr>
        <w:t>(七)负责本部门、本系统服装和警车管理工作，指导、监督本系统财务、装备、设施、场所等保障工作。</w:t>
      </w:r>
    </w:p>
    <w:p w14:paraId="56782349">
      <w:pPr>
        <w:spacing w:line="580" w:lineRule="exact"/>
        <w:ind w:firstLine="640"/>
        <w:jc w:val="both"/>
      </w:pPr>
      <w:r>
        <w:rPr>
          <w:rFonts w:ascii="仿宋_GB2312" w:hAnsi="仿宋_GB2312" w:eastAsia="仿宋_GB2312"/>
          <w:sz w:val="32"/>
        </w:rPr>
        <w:t>(八)规划、协调、指导法治人才队伍建设相关工作，指导、监督本部门、本系统队伍建设。协助各乡镇管理司法所干部。</w:t>
      </w:r>
    </w:p>
    <w:p w14:paraId="6C14659B">
      <w:pPr>
        <w:spacing w:line="580" w:lineRule="exact"/>
        <w:ind w:firstLine="640"/>
        <w:jc w:val="both"/>
      </w:pPr>
      <w:r>
        <w:rPr>
          <w:rFonts w:ascii="仿宋_GB2312" w:hAnsi="仿宋_GB2312" w:eastAsia="仿宋_GB2312"/>
          <w:sz w:val="32"/>
        </w:rPr>
        <w:t>(九)完成</w:t>
      </w:r>
      <w:r>
        <w:rPr>
          <w:rFonts w:hint="eastAsia" w:ascii="仿宋_GB2312" w:hAnsi="仿宋_GB2312" w:eastAsia="仿宋_GB2312"/>
          <w:sz w:val="32"/>
          <w:lang w:eastAsia="zh-CN"/>
        </w:rPr>
        <w:t>塔什库尔干塔吉克自治县</w:t>
      </w:r>
      <w:r>
        <w:rPr>
          <w:rFonts w:ascii="仿宋_GB2312" w:hAnsi="仿宋_GB2312" w:eastAsia="仿宋_GB2312"/>
          <w:sz w:val="32"/>
        </w:rPr>
        <w:t>委、县人民政府和自治区司法厅、地区司法局交办的其他任务。</w:t>
      </w:r>
    </w:p>
    <w:p w14:paraId="4D7586EE">
      <w:pPr>
        <w:spacing w:line="640" w:lineRule="exact"/>
        <w:ind w:firstLine="640"/>
        <w:jc w:val="both"/>
        <w:outlineLvl w:val="2"/>
      </w:pPr>
      <w:r>
        <w:rPr>
          <w:rFonts w:ascii="黑体" w:hAnsi="黑体" w:eastAsia="黑体"/>
          <w:sz w:val="32"/>
        </w:rPr>
        <w:t>二、机构设置及人员情况</w:t>
      </w:r>
    </w:p>
    <w:p w14:paraId="305A7557">
      <w:pPr>
        <w:spacing w:line="580" w:lineRule="exact"/>
        <w:ind w:firstLine="640"/>
        <w:jc w:val="both"/>
      </w:pPr>
      <w:r>
        <w:rPr>
          <w:rFonts w:ascii="仿宋_GB2312" w:hAnsi="仿宋_GB2312" w:eastAsia="仿宋_GB2312"/>
          <w:sz w:val="32"/>
        </w:rPr>
        <w:t>塔什库尔干塔吉克自治县司法局2024年度，实有人数43人，其中：在职人员25人，增加2人；离休人员0人，增加0人；退休人员18人,增加0人。</w:t>
      </w:r>
    </w:p>
    <w:p w14:paraId="74DB5B5F">
      <w:pPr>
        <w:spacing w:line="580" w:lineRule="exact"/>
        <w:ind w:firstLine="640"/>
        <w:jc w:val="both"/>
      </w:pPr>
      <w:r>
        <w:rPr>
          <w:rFonts w:ascii="仿宋_GB2312" w:hAnsi="仿宋_GB2312" w:eastAsia="仿宋_GB2312"/>
          <w:sz w:val="32"/>
        </w:rPr>
        <w:t>单位无下属预算单位，下设3个科室，分别是：政工办、社区矫正办、法制办。</w:t>
      </w:r>
    </w:p>
    <w:p w14:paraId="16EE8718">
      <w:r>
        <w:br w:type="page"/>
      </w:r>
    </w:p>
    <w:p w14:paraId="24E61478">
      <w:pPr>
        <w:spacing w:line="240" w:lineRule="auto"/>
        <w:jc w:val="center"/>
        <w:outlineLvl w:val="1"/>
      </w:pPr>
      <w:r>
        <w:rPr>
          <w:rFonts w:ascii="黑体" w:hAnsi="黑体" w:eastAsia="黑体"/>
          <w:sz w:val="32"/>
        </w:rPr>
        <w:t>第二部分 部门决算情况说明</w:t>
      </w:r>
    </w:p>
    <w:p w14:paraId="05F8FA03">
      <w:pPr>
        <w:spacing w:line="640" w:lineRule="exact"/>
        <w:ind w:firstLine="640"/>
        <w:jc w:val="both"/>
        <w:outlineLvl w:val="2"/>
      </w:pPr>
      <w:r>
        <w:rPr>
          <w:rFonts w:ascii="黑体" w:hAnsi="黑体" w:eastAsia="黑体"/>
          <w:sz w:val="32"/>
        </w:rPr>
        <w:t>一、收入支出决算总体情况说明</w:t>
      </w:r>
    </w:p>
    <w:p w14:paraId="163EABC4">
      <w:pPr>
        <w:spacing w:line="580" w:lineRule="exact"/>
        <w:ind w:firstLine="640"/>
        <w:jc w:val="both"/>
      </w:pPr>
      <w:r>
        <w:rPr>
          <w:rFonts w:ascii="仿宋_GB2312" w:hAnsi="仿宋_GB2312" w:eastAsia="仿宋_GB2312"/>
          <w:b/>
          <w:sz w:val="32"/>
        </w:rPr>
        <w:t>2024年度收入总计854.34万元，</w:t>
      </w:r>
      <w:r>
        <w:rPr>
          <w:rFonts w:ascii="仿宋_GB2312" w:hAnsi="仿宋_GB2312" w:eastAsia="仿宋_GB2312"/>
          <w:b w:val="0"/>
          <w:sz w:val="32"/>
        </w:rPr>
        <w:t>其中：本年收入合计854.34万元，使用非财政拨款结余（含专用结余）0.00万元，年初结转和结余0.00万元。</w:t>
      </w:r>
    </w:p>
    <w:p w14:paraId="135BCB03">
      <w:pPr>
        <w:spacing w:line="580" w:lineRule="exact"/>
        <w:ind w:firstLine="640"/>
        <w:jc w:val="both"/>
      </w:pPr>
      <w:r>
        <w:rPr>
          <w:rFonts w:ascii="仿宋_GB2312" w:hAnsi="仿宋_GB2312" w:eastAsia="仿宋_GB2312"/>
          <w:b/>
          <w:sz w:val="32"/>
        </w:rPr>
        <w:t>2024年度支出总计854.34万元，</w:t>
      </w:r>
      <w:r>
        <w:rPr>
          <w:rFonts w:ascii="仿宋_GB2312" w:hAnsi="仿宋_GB2312" w:eastAsia="仿宋_GB2312"/>
          <w:b w:val="0"/>
          <w:sz w:val="32"/>
        </w:rPr>
        <w:t>其中：本年支出合计854.34万元，结余分配0.00万元，年末结转和结余0.00万元。</w:t>
      </w:r>
    </w:p>
    <w:p w14:paraId="04C3D687">
      <w:pPr>
        <w:spacing w:line="580" w:lineRule="exact"/>
        <w:ind w:firstLine="640"/>
        <w:jc w:val="both"/>
      </w:pPr>
      <w:r>
        <w:rPr>
          <w:rFonts w:ascii="仿宋_GB2312" w:hAnsi="仿宋_GB2312" w:eastAsia="仿宋_GB2312"/>
          <w:b w:val="0"/>
          <w:sz w:val="32"/>
        </w:rPr>
        <w:t>收入支出总体与上年相比，增加92.70万元，增长12.17%，主要原因是：1.增加</w:t>
      </w:r>
      <w:r>
        <w:rPr>
          <w:rFonts w:hint="eastAsia" w:ascii="仿宋_GB2312" w:hAnsi="仿宋_GB2312" w:eastAsia="仿宋_GB2312"/>
          <w:b w:val="0"/>
          <w:sz w:val="32"/>
          <w:lang w:eastAsia="zh-CN"/>
        </w:rPr>
        <w:t>项目经费</w:t>
      </w:r>
      <w:r>
        <w:rPr>
          <w:rFonts w:ascii="仿宋_GB2312" w:hAnsi="仿宋_GB2312" w:eastAsia="仿宋_GB2312"/>
          <w:b w:val="0"/>
          <w:sz w:val="32"/>
        </w:rPr>
        <w:t>，2024年为民办实事工作经费项目；2.本年在职人员增加，本年在职人员工资调增，社保、公积金基数调增，人员经费增加。</w:t>
      </w:r>
    </w:p>
    <w:p w14:paraId="63763BD7">
      <w:pPr>
        <w:spacing w:line="640" w:lineRule="exact"/>
        <w:ind w:firstLine="640"/>
        <w:jc w:val="both"/>
        <w:outlineLvl w:val="2"/>
      </w:pPr>
      <w:r>
        <w:rPr>
          <w:rFonts w:ascii="黑体" w:hAnsi="黑体" w:eastAsia="黑体"/>
          <w:sz w:val="32"/>
        </w:rPr>
        <w:t>二、收入决算情况说明</w:t>
      </w:r>
    </w:p>
    <w:p w14:paraId="5228806A">
      <w:pPr>
        <w:spacing w:line="580" w:lineRule="exact"/>
        <w:ind w:firstLine="640"/>
        <w:jc w:val="both"/>
      </w:pPr>
      <w:r>
        <w:rPr>
          <w:rFonts w:ascii="仿宋_GB2312" w:hAnsi="仿宋_GB2312" w:eastAsia="仿宋_GB2312"/>
          <w:b/>
          <w:sz w:val="32"/>
        </w:rPr>
        <w:t>本年收入854.34万元，</w:t>
      </w:r>
      <w:r>
        <w:rPr>
          <w:rFonts w:ascii="仿宋_GB2312" w:hAnsi="仿宋_GB2312" w:eastAsia="仿宋_GB2312"/>
          <w:b w:val="0"/>
          <w:sz w:val="32"/>
        </w:rPr>
        <w:t>其中：财政拨款收入854.34万元，占100.00%；上级补助收入0.00万元，占0.00%；事业收入0.00万元，占0.00%；经营收入0.00万元，占0.00%；附属单位上缴收入0.00万元，占0.00%；其他收入0.00万元，占0.00%。</w:t>
      </w:r>
    </w:p>
    <w:p w14:paraId="348A3905">
      <w:pPr>
        <w:spacing w:line="640" w:lineRule="exact"/>
        <w:ind w:firstLine="640"/>
        <w:jc w:val="both"/>
        <w:outlineLvl w:val="2"/>
      </w:pPr>
      <w:r>
        <w:rPr>
          <w:rFonts w:ascii="黑体" w:hAnsi="黑体" w:eastAsia="黑体"/>
          <w:sz w:val="32"/>
        </w:rPr>
        <w:t>三、支出决算情况说明</w:t>
      </w:r>
    </w:p>
    <w:p w14:paraId="6D0E834A">
      <w:pPr>
        <w:spacing w:line="580" w:lineRule="exact"/>
        <w:ind w:firstLine="640"/>
        <w:jc w:val="both"/>
      </w:pPr>
      <w:r>
        <w:rPr>
          <w:rFonts w:ascii="仿宋_GB2312" w:hAnsi="仿宋_GB2312" w:eastAsia="仿宋_GB2312"/>
          <w:b/>
          <w:sz w:val="32"/>
        </w:rPr>
        <w:t>本年支出854.34万元，</w:t>
      </w:r>
      <w:r>
        <w:rPr>
          <w:rFonts w:ascii="仿宋_GB2312" w:hAnsi="仿宋_GB2312" w:eastAsia="仿宋_GB2312"/>
          <w:b w:val="0"/>
          <w:sz w:val="32"/>
        </w:rPr>
        <w:t>其中：基本支出668.34万元，占78.23%；项目支出186.00万元，占21.77%；上缴上级支出0.00万元，占0.00%；经营支出0.00万元，占0.00%；对附属单位补助支出0.00万元，占0.00%。</w:t>
      </w:r>
    </w:p>
    <w:p w14:paraId="30C7E997">
      <w:pPr>
        <w:spacing w:line="640" w:lineRule="exact"/>
        <w:ind w:firstLine="640"/>
        <w:jc w:val="both"/>
        <w:outlineLvl w:val="2"/>
      </w:pPr>
      <w:r>
        <w:rPr>
          <w:rFonts w:ascii="黑体" w:hAnsi="黑体" w:eastAsia="黑体"/>
          <w:sz w:val="32"/>
        </w:rPr>
        <w:t>四、财政拨款收入支出决算总体情况说明</w:t>
      </w:r>
    </w:p>
    <w:p w14:paraId="2EE432CF">
      <w:pPr>
        <w:spacing w:line="580" w:lineRule="exact"/>
        <w:ind w:firstLine="640"/>
        <w:jc w:val="both"/>
      </w:pPr>
      <w:r>
        <w:rPr>
          <w:rFonts w:ascii="仿宋_GB2312" w:hAnsi="仿宋_GB2312" w:eastAsia="仿宋_GB2312"/>
          <w:b/>
          <w:sz w:val="32"/>
        </w:rPr>
        <w:t>2024年度财政拨款收入总计854.34万元，</w:t>
      </w:r>
      <w:r>
        <w:rPr>
          <w:rFonts w:ascii="仿宋_GB2312" w:hAnsi="仿宋_GB2312" w:eastAsia="仿宋_GB2312"/>
          <w:b w:val="0"/>
          <w:sz w:val="32"/>
        </w:rPr>
        <w:t>其中：年初财政拨款结转和结余0.00万元，本年财政拨款收入854.34万元。</w:t>
      </w:r>
      <w:r>
        <w:rPr>
          <w:rFonts w:ascii="仿宋_GB2312" w:hAnsi="仿宋_GB2312" w:eastAsia="仿宋_GB2312"/>
          <w:b/>
          <w:sz w:val="32"/>
        </w:rPr>
        <w:t>财政拨款支出总计854.34万元，</w:t>
      </w:r>
      <w:r>
        <w:rPr>
          <w:rFonts w:ascii="仿宋_GB2312" w:hAnsi="仿宋_GB2312" w:eastAsia="仿宋_GB2312"/>
          <w:b w:val="0"/>
          <w:sz w:val="32"/>
        </w:rPr>
        <w:t>其中：年末财政拨款结转和结余0.00万元，本年财政拨款支出854.34万元。</w:t>
      </w:r>
    </w:p>
    <w:p w14:paraId="2AF623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增加92.70万元，增长12.17%，主要原因是：1.增加</w:t>
      </w:r>
      <w:r>
        <w:rPr>
          <w:rFonts w:hint="eastAsia" w:ascii="仿宋_GB2312" w:hAnsi="仿宋_GB2312" w:eastAsia="仿宋_GB2312"/>
          <w:b w:val="0"/>
          <w:sz w:val="32"/>
          <w:lang w:eastAsia="zh-CN"/>
        </w:rPr>
        <w:t>项目资金</w:t>
      </w:r>
      <w:r>
        <w:rPr>
          <w:rFonts w:ascii="仿宋_GB2312" w:hAnsi="仿宋_GB2312" w:eastAsia="仿宋_GB2312"/>
          <w:b w:val="0"/>
          <w:sz w:val="32"/>
        </w:rPr>
        <w:t>，2024年为民办实事工作经费项目；2.本年在职人员增加，本年在职人员工资调增，社保、公积金基数调增，人员经费增加。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年初预算数762.77万元，决算数854.34万元，预决算差异率12.00%，主要原因是：本年在职人员增加，年中追加人员经费在职人员工资调增、社保、公积金基数调增，人员经费增加，导致预决算差异。</w:t>
      </w:r>
    </w:p>
    <w:p w14:paraId="597CF1F2">
      <w:pPr>
        <w:spacing w:line="640" w:lineRule="exact"/>
        <w:ind w:firstLine="640"/>
        <w:jc w:val="both"/>
        <w:outlineLvl w:val="2"/>
      </w:pPr>
      <w:r>
        <w:rPr>
          <w:rFonts w:ascii="黑体" w:hAnsi="黑体" w:eastAsia="黑体"/>
          <w:sz w:val="32"/>
        </w:rPr>
        <w:t>五、一般公共预算财政拨款支出决算情况说明</w:t>
      </w:r>
    </w:p>
    <w:p w14:paraId="1F682556">
      <w:pPr>
        <w:spacing w:line="640" w:lineRule="exact"/>
        <w:ind w:firstLine="640"/>
        <w:jc w:val="both"/>
        <w:outlineLvl w:val="3"/>
      </w:pPr>
      <w:r>
        <w:rPr>
          <w:rFonts w:ascii="楷体_GB2312" w:hAnsi="楷体_GB2312" w:eastAsia="楷体_GB2312"/>
          <w:b/>
          <w:sz w:val="32"/>
        </w:rPr>
        <w:t>（一）一般公共预算财政拨款支出决算总体情况</w:t>
      </w:r>
    </w:p>
    <w:p w14:paraId="0CABA68C">
      <w:pPr>
        <w:spacing w:line="580" w:lineRule="exact"/>
        <w:ind w:firstLine="640"/>
        <w:jc w:val="both"/>
      </w:pPr>
      <w:r>
        <w:rPr>
          <w:rFonts w:ascii="仿宋_GB2312" w:hAnsi="仿宋_GB2312" w:eastAsia="仿宋_GB2312"/>
          <w:b/>
          <w:sz w:val="32"/>
        </w:rPr>
        <w:t>2024年度一般公共预算财政拨款支出854.34万元，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增加92.70万元，增长12.17%，主要原因是：1.增加项目</w:t>
      </w:r>
      <w:r>
        <w:rPr>
          <w:rFonts w:hint="eastAsia" w:ascii="仿宋_GB2312" w:hAnsi="仿宋_GB2312" w:eastAsia="仿宋_GB2312"/>
          <w:b w:val="0"/>
          <w:sz w:val="32"/>
          <w:lang w:eastAsia="zh-CN"/>
        </w:rPr>
        <w:t>资金</w:t>
      </w:r>
      <w:r>
        <w:rPr>
          <w:rFonts w:ascii="仿宋_GB2312" w:hAnsi="仿宋_GB2312" w:eastAsia="仿宋_GB2312"/>
          <w:b w:val="0"/>
          <w:sz w:val="32"/>
        </w:rPr>
        <w:t>，2024年为民办实事工作经费项目；2.本年在职人员增加，本年在职人员工资调增，社保、公积金基数调增，人员经费增加。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年初预算数762.77万元，决算数854.34万元，预决算差异率12.00%，主要原因是：本年在职人员增加，年中追加人员经费在职人员工资调增、社保、公积金基数调增，人员经费增加，导致预决算差异。</w:t>
      </w:r>
    </w:p>
    <w:p w14:paraId="22249A77">
      <w:pPr>
        <w:spacing w:line="640" w:lineRule="exact"/>
        <w:ind w:firstLine="640"/>
        <w:jc w:val="both"/>
        <w:outlineLvl w:val="3"/>
      </w:pPr>
      <w:r>
        <w:rPr>
          <w:rFonts w:ascii="楷体_GB2312" w:hAnsi="楷体_GB2312" w:eastAsia="楷体_GB2312"/>
          <w:b/>
          <w:sz w:val="32"/>
        </w:rPr>
        <w:t>（二）一般公共预算财政拨款支出决算结构情况</w:t>
      </w:r>
    </w:p>
    <w:p w14:paraId="37017606">
      <w:pPr>
        <w:spacing w:line="580" w:lineRule="exact"/>
        <w:ind w:firstLine="640"/>
        <w:jc w:val="both"/>
      </w:pPr>
      <w:r>
        <w:rPr>
          <w:rFonts w:ascii="仿宋_GB2312" w:hAnsi="仿宋_GB2312" w:eastAsia="仿宋_GB2312"/>
          <w:b w:val="0"/>
          <w:sz w:val="32"/>
        </w:rPr>
        <w:t>1.公共安全支出(类)676.88万元,占79.23%。</w:t>
      </w:r>
    </w:p>
    <w:p w14:paraId="6363E776">
      <w:pPr>
        <w:spacing w:line="580" w:lineRule="exact"/>
        <w:ind w:firstLine="640"/>
        <w:jc w:val="both"/>
      </w:pPr>
      <w:r>
        <w:rPr>
          <w:rFonts w:ascii="仿宋_GB2312" w:hAnsi="仿宋_GB2312" w:eastAsia="仿宋_GB2312"/>
          <w:b w:val="0"/>
          <w:sz w:val="32"/>
        </w:rPr>
        <w:t>2.社会保障和就业支出(类)84.73万元,占9.92%。</w:t>
      </w:r>
    </w:p>
    <w:p w14:paraId="0C31F2C7">
      <w:pPr>
        <w:spacing w:line="580" w:lineRule="exact"/>
        <w:ind w:firstLine="640"/>
        <w:jc w:val="both"/>
      </w:pPr>
      <w:r>
        <w:rPr>
          <w:rFonts w:ascii="仿宋_GB2312" w:hAnsi="仿宋_GB2312" w:eastAsia="仿宋_GB2312"/>
          <w:b w:val="0"/>
          <w:sz w:val="32"/>
        </w:rPr>
        <w:t>3.卫生健康支出(类)31.75万元,占3.72%。</w:t>
      </w:r>
    </w:p>
    <w:p w14:paraId="412986F7">
      <w:pPr>
        <w:spacing w:line="580" w:lineRule="exact"/>
        <w:ind w:firstLine="640"/>
        <w:jc w:val="both"/>
      </w:pPr>
      <w:r>
        <w:rPr>
          <w:rFonts w:ascii="仿宋_GB2312" w:hAnsi="仿宋_GB2312" w:eastAsia="仿宋_GB2312"/>
          <w:b w:val="0"/>
          <w:sz w:val="32"/>
        </w:rPr>
        <w:t>4.住房保障支出(类)53.98万元,占6.32%。</w:t>
      </w:r>
    </w:p>
    <w:p w14:paraId="7EC2F626">
      <w:pPr>
        <w:spacing w:line="580" w:lineRule="exact"/>
        <w:ind w:firstLine="640"/>
        <w:jc w:val="both"/>
      </w:pPr>
      <w:r>
        <w:rPr>
          <w:rFonts w:ascii="仿宋_GB2312" w:hAnsi="仿宋_GB2312" w:eastAsia="仿宋_GB2312"/>
          <w:b w:val="0"/>
          <w:sz w:val="32"/>
        </w:rPr>
        <w:t>5.其他支出(类)7.00万元,占0.82%。</w:t>
      </w:r>
    </w:p>
    <w:p w14:paraId="245A0BF0">
      <w:pPr>
        <w:spacing w:line="640" w:lineRule="exact"/>
        <w:ind w:firstLine="640"/>
        <w:jc w:val="both"/>
        <w:outlineLvl w:val="3"/>
      </w:pPr>
      <w:r>
        <w:rPr>
          <w:rFonts w:ascii="楷体_GB2312" w:hAnsi="楷体_GB2312" w:eastAsia="楷体_GB2312"/>
          <w:b/>
          <w:sz w:val="32"/>
        </w:rPr>
        <w:t>（三）一般公共预算财政拨款支出决算具体情况</w:t>
      </w:r>
    </w:p>
    <w:p w14:paraId="31C4D4D9">
      <w:pPr>
        <w:spacing w:line="580" w:lineRule="exact"/>
        <w:ind w:firstLine="640"/>
        <w:jc w:val="both"/>
      </w:pPr>
      <w:r>
        <w:rPr>
          <w:rFonts w:ascii="仿宋_GB2312" w:hAnsi="仿宋_GB2312" w:eastAsia="仿宋_GB2312"/>
          <w:b w:val="0"/>
          <w:sz w:val="32"/>
        </w:rPr>
        <w:t>1.公共安全支出(类)司法(款)行政运行(项):支出决算数为433.55万元，比上年决算减少24.81万元，下降5.41%,主要原因是：本年功能科目调整，事业人员经费上年度在行政运行科目列支，本年单独列支，导致经费较上年减少。</w:t>
      </w:r>
    </w:p>
    <w:p w14:paraId="42E83B06">
      <w:pPr>
        <w:spacing w:line="580" w:lineRule="exact"/>
        <w:ind w:firstLine="640"/>
        <w:jc w:val="both"/>
      </w:pPr>
      <w:r>
        <w:rPr>
          <w:rFonts w:ascii="仿宋_GB2312" w:hAnsi="仿宋_GB2312" w:eastAsia="仿宋_GB2312"/>
          <w:b w:val="0"/>
          <w:sz w:val="32"/>
        </w:rPr>
        <w:t>2.公共安全支出(类)司法(款)事业运行(项):支出决算数为64.34万元，比上年决算增加64.34万元，增长100.00%,主要原因是：功能科目调整，事业人员经费上年度在行政运行科目列支，本年单独列支。</w:t>
      </w:r>
    </w:p>
    <w:p w14:paraId="790A0F3F">
      <w:pPr>
        <w:spacing w:line="580" w:lineRule="exact"/>
        <w:ind w:firstLine="640"/>
        <w:jc w:val="both"/>
      </w:pPr>
      <w:r>
        <w:rPr>
          <w:rFonts w:ascii="仿宋_GB2312" w:hAnsi="仿宋_GB2312" w:eastAsia="仿宋_GB2312"/>
          <w:b w:val="0"/>
          <w:sz w:val="32"/>
        </w:rPr>
        <w:t>3.公共安全支出(类)司法(款)其他司法支出(项):支出决算数为179.00万元，比上年决算增加30.00万元，增长20.13%,主要原因是：本年增加项目</w:t>
      </w:r>
      <w:r>
        <w:rPr>
          <w:rFonts w:hint="eastAsia" w:ascii="仿宋_GB2312" w:hAnsi="仿宋_GB2312" w:eastAsia="仿宋_GB2312"/>
          <w:b w:val="0"/>
          <w:sz w:val="32"/>
          <w:lang w:eastAsia="zh-CN"/>
        </w:rPr>
        <w:t>资金</w:t>
      </w:r>
      <w:r>
        <w:rPr>
          <w:rFonts w:ascii="仿宋_GB2312" w:hAnsi="仿宋_GB2312" w:eastAsia="仿宋_GB2312"/>
          <w:b w:val="0"/>
          <w:sz w:val="32"/>
        </w:rPr>
        <w:t>。</w:t>
      </w:r>
    </w:p>
    <w:p w14:paraId="10CE87E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4.社会保障和就业支出(类)行政事业单位养老支出(款)行政单位离退休(项):支出决算数为30.28万元，比上年决算增加11.06万元，增长57.54%,主要原因是：本年增加退休人员基础绩效奖，退休费支出增加。</w:t>
      </w:r>
    </w:p>
    <w:p w14:paraId="514B766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54.45万元，比上年决算增加7.81万元，增长16.75%,主要原因是：本年在职人员工资基数调增，养老缴费基数上涨，相应支出增加。</w:t>
      </w:r>
    </w:p>
    <w:p w14:paraId="1D6AF06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6.社会保障和就业支出(类)行政事业单位养老支出(款)机关事业单位职业年金缴费支出(项):支出决算数为0.00万元，比上年决算减少8.93万元，下降100.00%,主要原因是：本年度无新增退休人员，减少职业年金缴费。</w:t>
      </w:r>
    </w:p>
    <w:p w14:paraId="33EB2D6D">
      <w:pPr>
        <w:spacing w:line="580" w:lineRule="exact"/>
        <w:ind w:firstLine="640"/>
        <w:jc w:val="both"/>
      </w:pPr>
      <w:r>
        <w:rPr>
          <w:rFonts w:ascii="仿宋_GB2312" w:hAnsi="仿宋_GB2312" w:eastAsia="仿宋_GB2312"/>
          <w:b w:val="0"/>
          <w:sz w:val="32"/>
        </w:rPr>
        <w:t>7.卫生健康支出(类)行政事业单位医疗(款)行政单位医疗(项):支出决算数为26.05万元，比上年决算减少4.11万元，下降13.63%,主要原因是：本年在职人员调入调出，人员职级不同，缴费基数不同，导致行政单位医疗较上年减少。</w:t>
      </w:r>
    </w:p>
    <w:p w14:paraId="19C93411">
      <w:pPr>
        <w:spacing w:line="580" w:lineRule="exact"/>
        <w:ind w:firstLine="640"/>
        <w:jc w:val="both"/>
      </w:pPr>
      <w:r>
        <w:rPr>
          <w:rFonts w:ascii="仿宋_GB2312" w:hAnsi="仿宋_GB2312" w:eastAsia="仿宋_GB2312"/>
          <w:b w:val="0"/>
          <w:sz w:val="32"/>
        </w:rPr>
        <w:t>8.卫生健康支出(类)行政事业单位医疗(款)公务员医疗补助(项):支出决算数为5.69万元，比上年决算减少2.84万元，下降33.29%,主要原因是：本年在职人员调入调出，人员职级不同，缴费基数不同，导致公务员医疗补助较上年减少。</w:t>
      </w:r>
    </w:p>
    <w:p w14:paraId="2C165C76">
      <w:pPr>
        <w:spacing w:line="580" w:lineRule="exact"/>
        <w:ind w:firstLine="640"/>
        <w:jc w:val="both"/>
      </w:pPr>
      <w:r>
        <w:rPr>
          <w:rFonts w:ascii="仿宋_GB2312" w:hAnsi="仿宋_GB2312" w:eastAsia="仿宋_GB2312"/>
          <w:b w:val="0"/>
          <w:sz w:val="32"/>
        </w:rPr>
        <w:t>9.住房保障支出(类)住房改革支出(款)住房公积金(项):支出决算数为53.98万元，比上年决算增加13.17万元，增长32.27%,主要原因是：本年在职人员增加及人员工资基数调增，公积金缴费基数上涨，相应支出增加。</w:t>
      </w:r>
    </w:p>
    <w:p w14:paraId="0EEE9EE4">
      <w:pPr>
        <w:spacing w:line="580" w:lineRule="exact"/>
        <w:ind w:firstLine="640"/>
        <w:jc w:val="both"/>
      </w:pPr>
      <w:r>
        <w:rPr>
          <w:rFonts w:ascii="仿宋_GB2312" w:hAnsi="仿宋_GB2312" w:eastAsia="仿宋_GB2312"/>
          <w:b w:val="0"/>
          <w:sz w:val="32"/>
        </w:rPr>
        <w:t>10.其他支出(类)其他支出(款)其他支出(项):支出决算数为7.00万元，比上年决算增加7.00万元，增长100.00%,主要原因是：本年度增加为民办实事工作项目资金。</w:t>
      </w:r>
    </w:p>
    <w:p w14:paraId="48806CA7">
      <w:pPr>
        <w:spacing w:line="640" w:lineRule="exact"/>
        <w:ind w:firstLine="640"/>
        <w:jc w:val="both"/>
        <w:outlineLvl w:val="2"/>
      </w:pPr>
      <w:r>
        <w:rPr>
          <w:rFonts w:ascii="黑体" w:hAnsi="黑体" w:eastAsia="黑体"/>
          <w:sz w:val="32"/>
        </w:rPr>
        <w:t>六、一般公共预算财政拨款基本支出决算情况说明</w:t>
      </w:r>
    </w:p>
    <w:p w14:paraId="1229A1EA">
      <w:pPr>
        <w:spacing w:line="580" w:lineRule="exact"/>
        <w:ind w:firstLine="640"/>
        <w:jc w:val="both"/>
      </w:pPr>
      <w:r>
        <w:rPr>
          <w:rFonts w:ascii="仿宋_GB2312" w:hAnsi="仿宋_GB2312" w:eastAsia="仿宋_GB2312"/>
          <w:b w:val="0"/>
          <w:sz w:val="32"/>
        </w:rPr>
        <w:t>2024年度一般公共预算财政拨款基本支出668.34万元，其中：</w:t>
      </w:r>
      <w:r>
        <w:rPr>
          <w:rFonts w:ascii="仿宋_GB2312" w:hAnsi="仿宋_GB2312" w:eastAsia="仿宋_GB2312"/>
          <w:b/>
          <w:sz w:val="32"/>
        </w:rPr>
        <w:t>人员经费663.40万元，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3A1A89DA">
      <w:pPr>
        <w:spacing w:line="580" w:lineRule="exact"/>
        <w:ind w:firstLine="640"/>
        <w:jc w:val="both"/>
      </w:pPr>
      <w:r>
        <w:rPr>
          <w:rFonts w:ascii="仿宋_GB2312" w:hAnsi="仿宋_GB2312" w:eastAsia="仿宋_GB2312"/>
          <w:b/>
          <w:sz w:val="32"/>
        </w:rPr>
        <w:t>公用经费4.94万元，</w:t>
      </w:r>
      <w:r>
        <w:rPr>
          <w:rFonts w:ascii="仿宋_GB2312" w:hAnsi="仿宋_GB2312" w:eastAsia="仿宋_GB2312"/>
          <w:b w:val="0"/>
          <w:sz w:val="32"/>
        </w:rPr>
        <w:t>包括：取暖费。</w:t>
      </w:r>
    </w:p>
    <w:p w14:paraId="11C1FDE9">
      <w:pPr>
        <w:spacing w:line="640" w:lineRule="exact"/>
        <w:ind w:firstLine="640"/>
        <w:jc w:val="both"/>
        <w:outlineLvl w:val="2"/>
      </w:pPr>
      <w:r>
        <w:rPr>
          <w:rFonts w:ascii="黑体" w:hAnsi="黑体" w:eastAsia="黑体"/>
          <w:sz w:val="32"/>
        </w:rPr>
        <w:t>七、政府性基金预算财政拨款收入支出决算情况说明</w:t>
      </w:r>
    </w:p>
    <w:p w14:paraId="03D616C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6CCECBE">
      <w:pPr>
        <w:spacing w:line="640" w:lineRule="exact"/>
        <w:ind w:firstLine="640"/>
        <w:jc w:val="both"/>
        <w:outlineLvl w:val="2"/>
      </w:pPr>
      <w:r>
        <w:rPr>
          <w:rFonts w:ascii="黑体" w:hAnsi="黑体" w:eastAsia="黑体"/>
          <w:sz w:val="32"/>
        </w:rPr>
        <w:t>八、国有资本经营预算财政拨款收入支出决算情况说明</w:t>
      </w:r>
    </w:p>
    <w:p w14:paraId="4440CF2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1D09195">
      <w:pPr>
        <w:spacing w:line="640" w:lineRule="exact"/>
        <w:ind w:firstLine="640"/>
        <w:jc w:val="both"/>
        <w:outlineLvl w:val="2"/>
      </w:pPr>
      <w:r>
        <w:rPr>
          <w:rFonts w:ascii="黑体" w:hAnsi="黑体" w:eastAsia="黑体"/>
          <w:sz w:val="32"/>
        </w:rPr>
        <w:t>九、财政拨款“三公”经费支出决算情况说明</w:t>
      </w:r>
    </w:p>
    <w:p w14:paraId="48F9543E">
      <w:pPr>
        <w:spacing w:line="580" w:lineRule="exact"/>
        <w:ind w:firstLine="640"/>
        <w:jc w:val="both"/>
      </w:pPr>
      <w:r>
        <w:rPr>
          <w:rFonts w:ascii="仿宋_GB2312" w:hAnsi="仿宋_GB2312" w:eastAsia="仿宋_GB2312"/>
          <w:b/>
          <w:sz w:val="32"/>
        </w:rPr>
        <w:t>2024年度财政拨款“三公”经费支出3.03万元，</w:t>
      </w:r>
      <w:r>
        <w:rPr>
          <w:rFonts w:ascii="仿宋_GB2312" w:hAnsi="仿宋_GB2312" w:eastAsia="仿宋_GB2312"/>
          <w:b w:val="0"/>
          <w:sz w:val="32"/>
        </w:rPr>
        <w:t>比上年增加1.03万元，增长51.50%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3.03万元，占100.00%，比上年增加1.03万元，增长51.50%，主要原因是：本单位公务用车日渐老化，维修维护成本增加，导致公务用车运行维护费较上年增加。公务接待费支出0.00万元，占0.00%，比上年增加0.00万元，增长0.00%，主要原因是：2023年与2024年均未安排公务接待费支出。</w:t>
      </w:r>
    </w:p>
    <w:p w14:paraId="58A6D468">
      <w:pPr>
        <w:spacing w:line="580" w:lineRule="exact"/>
        <w:ind w:firstLine="640"/>
        <w:jc w:val="both"/>
      </w:pPr>
      <w:r>
        <w:rPr>
          <w:rFonts w:ascii="仿宋_GB2312" w:hAnsi="仿宋_GB2312" w:eastAsia="仿宋_GB2312"/>
          <w:b/>
          <w:sz w:val="32"/>
        </w:rPr>
        <w:t>具体情况如下：</w:t>
      </w:r>
    </w:p>
    <w:p w14:paraId="55E72B2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AEC901">
      <w:pPr>
        <w:spacing w:line="580" w:lineRule="exact"/>
        <w:ind w:firstLine="640"/>
        <w:jc w:val="both"/>
      </w:pPr>
      <w:r>
        <w:rPr>
          <w:rFonts w:ascii="仿宋_GB2312" w:hAnsi="仿宋_GB2312" w:eastAsia="仿宋_GB2312"/>
          <w:b w:val="0"/>
          <w:sz w:val="32"/>
        </w:rPr>
        <w:t>公务用车购置及运行维护费3.03万元，其中：公务用车购置费0.00万元，公务用车运行维护费3.03万元。公务用车运行维护费开支内容包括车辆加油费、维修费。公务用车购置数0辆，公务用车保有量11辆。国有资产占用情况中固定资产车辆11辆，与公务用车保有量差异原因是：本单位固定资产车辆与公务用车保有量一致无差异。</w:t>
      </w:r>
    </w:p>
    <w:p w14:paraId="21E28CA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E8DED8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3.03万元，决算数3.03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3.03万元，决算数3.03万元，预决算差异率0.00%，主要原因是：严格按照预算执行，预决算无差异。公务接待费全年预算数0.00万元，决算数0.00万元，预决算差异率0.00%，主要原因是：本单位无公务接待费。</w:t>
      </w:r>
    </w:p>
    <w:p w14:paraId="78043693">
      <w:pPr>
        <w:spacing w:line="640" w:lineRule="exact"/>
        <w:ind w:firstLine="640"/>
        <w:jc w:val="both"/>
        <w:outlineLvl w:val="2"/>
      </w:pPr>
      <w:r>
        <w:rPr>
          <w:rFonts w:ascii="黑体" w:hAnsi="黑体" w:eastAsia="黑体"/>
          <w:sz w:val="32"/>
        </w:rPr>
        <w:t>十、其他重要事项的情况说明</w:t>
      </w:r>
    </w:p>
    <w:p w14:paraId="67FAABBB">
      <w:pPr>
        <w:spacing w:line="640" w:lineRule="exact"/>
        <w:ind w:firstLine="640"/>
        <w:jc w:val="both"/>
        <w:outlineLvl w:val="3"/>
      </w:pPr>
      <w:r>
        <w:rPr>
          <w:rFonts w:ascii="楷体_GB2312" w:hAnsi="楷体_GB2312" w:eastAsia="楷体_GB2312"/>
          <w:b/>
          <w:sz w:val="32"/>
        </w:rPr>
        <w:t>（一）机关运行经费及公用经费支出情况</w:t>
      </w:r>
    </w:p>
    <w:p w14:paraId="0DB01583">
      <w:pPr>
        <w:spacing w:line="580" w:lineRule="exact"/>
        <w:ind w:firstLine="640"/>
        <w:jc w:val="both"/>
      </w:pPr>
      <w:r>
        <w:rPr>
          <w:rFonts w:ascii="仿宋_GB2312" w:hAnsi="仿宋_GB2312" w:eastAsia="仿宋_GB2312"/>
          <w:b w:val="0"/>
          <w:sz w:val="32"/>
        </w:rPr>
        <w:t>2024年度塔什库尔干塔吉克自治县司法局（行政单位和参照公务员法管理事业单位）机关运行经费支出4.94万元，比上年增加0.00万元，增长0.00%，主要原因是：办案业务用房2024年取暖费与上年度相比无变化。</w:t>
      </w:r>
    </w:p>
    <w:p w14:paraId="788370D1">
      <w:pPr>
        <w:spacing w:line="640" w:lineRule="exact"/>
        <w:ind w:firstLine="640"/>
        <w:jc w:val="both"/>
        <w:outlineLvl w:val="3"/>
      </w:pPr>
      <w:r>
        <w:rPr>
          <w:rFonts w:ascii="楷体_GB2312" w:hAnsi="楷体_GB2312" w:eastAsia="楷体_GB2312"/>
          <w:b/>
          <w:sz w:val="32"/>
        </w:rPr>
        <w:t>（二）政府采购情况</w:t>
      </w:r>
    </w:p>
    <w:p w14:paraId="3EB550E9">
      <w:pPr>
        <w:spacing w:line="580" w:lineRule="exact"/>
        <w:ind w:firstLine="640"/>
        <w:jc w:val="both"/>
      </w:pPr>
      <w:r>
        <w:rPr>
          <w:rFonts w:ascii="仿宋_GB2312" w:hAnsi="仿宋_GB2312" w:eastAsia="仿宋_GB2312"/>
          <w:b w:val="0"/>
          <w:sz w:val="32"/>
        </w:rPr>
        <w:t>2024年度政府采购支出总额7.63万元，其中：政府采购货物支出4.60万元、政府采购工程支出0.00万元、政府采购服务支出3.03万元。</w:t>
      </w:r>
    </w:p>
    <w:p w14:paraId="10823B3D">
      <w:pPr>
        <w:spacing w:line="580" w:lineRule="exact"/>
        <w:ind w:firstLine="640"/>
        <w:jc w:val="both"/>
      </w:pPr>
      <w:r>
        <w:rPr>
          <w:rFonts w:ascii="仿宋_GB2312" w:hAnsi="仿宋_GB2312" w:eastAsia="仿宋_GB2312"/>
          <w:b w:val="0"/>
          <w:sz w:val="32"/>
        </w:rPr>
        <w:t>授予中小企业合同金额5.31万元，占政府采购支出总额的69.59%，其中：授予小微企业合同金额5.31万元，占政府采购支出总额的69.59%。</w:t>
      </w:r>
    </w:p>
    <w:p w14:paraId="1983C299">
      <w:pPr>
        <w:spacing w:line="640" w:lineRule="exact"/>
        <w:ind w:firstLine="640"/>
        <w:jc w:val="both"/>
        <w:outlineLvl w:val="3"/>
      </w:pPr>
      <w:r>
        <w:rPr>
          <w:rFonts w:ascii="楷体_GB2312" w:hAnsi="楷体_GB2312" w:eastAsia="楷体_GB2312"/>
          <w:b/>
          <w:sz w:val="32"/>
        </w:rPr>
        <w:t>（三）国有资产占用情况说明</w:t>
      </w:r>
    </w:p>
    <w:p w14:paraId="4FB734DA">
      <w:pPr>
        <w:spacing w:line="580" w:lineRule="exact"/>
        <w:ind w:firstLine="640"/>
        <w:jc w:val="both"/>
      </w:pPr>
      <w:r>
        <w:rPr>
          <w:rFonts w:ascii="仿宋_GB2312" w:hAnsi="仿宋_GB2312" w:eastAsia="仿宋_GB2312"/>
          <w:b w:val="0"/>
          <w:sz w:val="32"/>
        </w:rPr>
        <w:t>截至2024年12月31日，房屋2,083.08平方米，价值397.36万元。车辆11辆，价值122.74万元，其中：副部（省）级及以上领导用车0辆、主要负责人用车0辆、机要通信用车0辆、应急保障用车0辆、执法执勤用车6辆、特种专业技术用车0辆、离退休干部服务用车0辆、其他用车5辆，其他用车主要是：一般公务用车。单价100万元（含）以上设备（不含车辆）0台（套）。</w:t>
      </w:r>
    </w:p>
    <w:p w14:paraId="029A6CCF">
      <w:pPr>
        <w:spacing w:line="640" w:lineRule="exact"/>
        <w:ind w:firstLine="640"/>
        <w:jc w:val="both"/>
        <w:outlineLvl w:val="2"/>
      </w:pPr>
      <w:r>
        <w:rPr>
          <w:rFonts w:ascii="黑体" w:hAnsi="黑体" w:eastAsia="黑体"/>
          <w:sz w:val="32"/>
        </w:rPr>
        <w:t>十一、预算绩效的情况说明</w:t>
      </w:r>
    </w:p>
    <w:p w14:paraId="43528C4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854.34万元，实际执行总额854.34万元；预算绩效评价项目1个，全年预算数7.00万元，全年执行数7.00万元。预算绩效管理取得的成效：一是为加强预算管理，规范财务行为，已制定各项管理制度，有效保障了高效履行工作职能，加强了制度建设，打牢绩效管理工作基础。开展绩效评价，提高了绩效工作管理水平，科学制定目标，促进了绩效目标顺利实现，提高了项目资金绩效意识，以便项目实施完成，进行跟踪问效评价，对下一年此类项目预算编制提供参考。提高财政资金使用效益，确保民生工程顺利开展，对专项资金使用效果好的予以继续支持，对专项资金管理较好的做法予以宣传推广。二是本单位以绩效目标实现为导向，加强制度建设，提升预算执行质量，预算绩效管理取得一定成效。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4A90B5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2C4148">
        <w:tblPrEx>
          <w:tblCellMar>
            <w:top w:w="0" w:type="dxa"/>
            <w:left w:w="108" w:type="dxa"/>
            <w:bottom w:w="0" w:type="dxa"/>
            <w:right w:w="108" w:type="dxa"/>
          </w:tblCellMar>
        </w:tblPrEx>
        <w:tc>
          <w:tcPr>
            <w:tcW w:w="8847" w:type="dxa"/>
            <w:gridSpan w:val="9"/>
            <w:vAlign w:val="center"/>
          </w:tcPr>
          <w:p w14:paraId="49F70001">
            <w:pPr>
              <w:jc w:val="center"/>
            </w:pPr>
            <w:r>
              <w:rPr>
                <w:rFonts w:ascii="宋体" w:hAnsi="宋体" w:eastAsia="宋体"/>
                <w:sz w:val="24"/>
              </w:rPr>
              <w:t>单位整体支出绩效自评表</w:t>
            </w:r>
          </w:p>
        </w:tc>
      </w:tr>
      <w:tr w14:paraId="5E5C345D">
        <w:tblPrEx>
          <w:tblCellMar>
            <w:top w:w="0" w:type="dxa"/>
            <w:left w:w="108" w:type="dxa"/>
            <w:bottom w:w="0" w:type="dxa"/>
            <w:right w:w="108" w:type="dxa"/>
          </w:tblCellMar>
        </w:tblPrEx>
        <w:tc>
          <w:tcPr>
            <w:tcW w:w="8847" w:type="dxa"/>
            <w:gridSpan w:val="9"/>
            <w:vAlign w:val="center"/>
          </w:tcPr>
          <w:p w14:paraId="7EF1B345">
            <w:pPr>
              <w:jc w:val="center"/>
            </w:pPr>
            <w:r>
              <w:rPr>
                <w:rFonts w:ascii="宋体" w:hAnsi="宋体" w:eastAsia="宋体"/>
                <w:sz w:val="24"/>
              </w:rPr>
              <w:t>（2024年度）</w:t>
            </w:r>
          </w:p>
        </w:tc>
      </w:tr>
      <w:tr w14:paraId="3545D9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29E5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F8BDC6">
            <w:pPr>
              <w:jc w:val="center"/>
            </w:pPr>
            <w:r>
              <w:rPr>
                <w:rFonts w:ascii="宋体" w:hAnsi="宋体" w:eastAsia="宋体"/>
                <w:sz w:val="16"/>
              </w:rPr>
              <w:t>塔什库尔干塔吉克自治县司法局</w:t>
            </w:r>
          </w:p>
        </w:tc>
      </w:tr>
      <w:tr w14:paraId="2776B2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96EA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7D5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35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0A95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B5CA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8AA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422B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F8C55">
            <w:pPr>
              <w:jc w:val="center"/>
            </w:pPr>
            <w:r>
              <w:rPr>
                <w:rFonts w:ascii="宋体" w:hAnsi="宋体" w:eastAsia="宋体"/>
                <w:sz w:val="16"/>
              </w:rPr>
              <w:t>得分</w:t>
            </w:r>
          </w:p>
        </w:tc>
      </w:tr>
      <w:tr w14:paraId="3A8B9D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686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782E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586E">
            <w:pPr>
              <w:jc w:val="center"/>
            </w:pPr>
            <w:r>
              <w:rPr>
                <w:rFonts w:ascii="宋体" w:hAnsi="宋体" w:eastAsia="宋体"/>
                <w:sz w:val="16"/>
              </w:rPr>
              <w:t>762.77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3A858">
            <w:pPr>
              <w:jc w:val="center"/>
            </w:pPr>
            <w:r>
              <w:rPr>
                <w:rFonts w:ascii="宋体" w:hAnsi="宋体" w:eastAsia="宋体"/>
                <w:sz w:val="16"/>
              </w:rPr>
              <w:t>854.34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0036">
            <w:pPr>
              <w:jc w:val="center"/>
            </w:pPr>
            <w:r>
              <w:rPr>
                <w:rFonts w:ascii="宋体" w:hAnsi="宋体" w:eastAsia="宋体"/>
                <w:sz w:val="16"/>
              </w:rPr>
              <w:t>854.34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03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1492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F0E2">
            <w:pPr>
              <w:jc w:val="center"/>
            </w:pPr>
            <w:r>
              <w:rPr>
                <w:rFonts w:ascii="宋体" w:hAnsi="宋体" w:eastAsia="宋体"/>
                <w:sz w:val="16"/>
              </w:rPr>
              <w:t>10</w:t>
            </w:r>
          </w:p>
        </w:tc>
      </w:tr>
      <w:tr w14:paraId="5EA43F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6FC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8ECB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2FE4">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8177B">
            <w:pPr>
              <w:jc w:val="center"/>
            </w:pPr>
            <w:r>
              <w:rPr>
                <w:rFonts w:ascii="宋体" w:hAnsi="宋体" w:eastAsia="宋体"/>
                <w:sz w:val="16"/>
              </w:rPr>
              <w:t>276.54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DCF0">
            <w:pPr>
              <w:jc w:val="center"/>
            </w:pPr>
            <w:r>
              <w:rPr>
                <w:rFonts w:ascii="宋体" w:hAnsi="宋体" w:eastAsia="宋体"/>
                <w:sz w:val="16"/>
              </w:rPr>
              <w:t>276.54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63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67F2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9A31E">
            <w:pPr>
              <w:jc w:val="center"/>
            </w:pPr>
            <w:r>
              <w:rPr>
                <w:rFonts w:ascii="宋体" w:hAnsi="宋体" w:eastAsia="宋体"/>
                <w:sz w:val="16"/>
              </w:rPr>
              <w:t>—</w:t>
            </w:r>
          </w:p>
        </w:tc>
      </w:tr>
      <w:tr w14:paraId="6F3C06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88E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C63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ED94">
            <w:pPr>
              <w:jc w:val="center"/>
            </w:pPr>
            <w:r>
              <w:rPr>
                <w:rFonts w:ascii="宋体" w:hAnsi="宋体" w:eastAsia="宋体"/>
                <w:sz w:val="16"/>
              </w:rPr>
              <w:t>660.77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74EE4">
            <w:pPr>
              <w:jc w:val="center"/>
            </w:pPr>
            <w:r>
              <w:rPr>
                <w:rFonts w:ascii="宋体" w:hAnsi="宋体" w:eastAsia="宋体"/>
                <w:sz w:val="16"/>
              </w:rPr>
              <w:t>577.80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C8EB7">
            <w:pPr>
              <w:jc w:val="center"/>
            </w:pPr>
            <w:r>
              <w:rPr>
                <w:rFonts w:ascii="宋体" w:hAnsi="宋体" w:eastAsia="宋体"/>
                <w:sz w:val="16"/>
              </w:rPr>
              <w:t>577.80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2A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070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5F1EB">
            <w:pPr>
              <w:jc w:val="center"/>
            </w:pPr>
            <w:r>
              <w:rPr>
                <w:rFonts w:ascii="宋体" w:hAnsi="宋体" w:eastAsia="宋体"/>
                <w:sz w:val="16"/>
              </w:rPr>
              <w:t>—</w:t>
            </w:r>
          </w:p>
        </w:tc>
      </w:tr>
      <w:tr w14:paraId="3F19C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B32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A524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027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C0D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349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EC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914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0D3F">
            <w:pPr>
              <w:jc w:val="center"/>
            </w:pPr>
            <w:r>
              <w:rPr>
                <w:rFonts w:ascii="宋体" w:hAnsi="宋体" w:eastAsia="宋体"/>
                <w:sz w:val="16"/>
              </w:rPr>
              <w:t>—</w:t>
            </w:r>
          </w:p>
        </w:tc>
      </w:tr>
      <w:tr w14:paraId="09BABD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D039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883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E81C2">
            <w:pPr>
              <w:jc w:val="center"/>
              <w:rPr>
                <w:rFonts w:hint="eastAsia" w:eastAsia="宋体"/>
                <w:lang w:eastAsia="zh-CN"/>
              </w:rPr>
            </w:pPr>
            <w:r>
              <w:rPr>
                <w:rFonts w:hint="eastAsia" w:ascii="宋体" w:hAnsi="宋体"/>
                <w:sz w:val="16"/>
                <w:lang w:eastAsia="zh-CN"/>
              </w:rPr>
              <w:t>实际完成情况</w:t>
            </w:r>
          </w:p>
        </w:tc>
      </w:tr>
      <w:tr w14:paraId="0E14C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C08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25ACEA">
            <w:pPr>
              <w:jc w:val="both"/>
            </w:pPr>
            <w:r>
              <w:rPr>
                <w:rFonts w:ascii="宋体" w:hAnsi="宋体" w:eastAsia="宋体"/>
                <w:sz w:val="16"/>
              </w:rPr>
              <w:t>2024年是推进</w:t>
            </w:r>
            <w:r>
              <w:rPr>
                <w:rFonts w:hint="eastAsia" w:ascii="宋体" w:hAnsi="宋体"/>
                <w:sz w:val="16"/>
                <w:lang w:eastAsia="zh-CN"/>
              </w:rPr>
              <w:t>塔什库尔干塔吉克自治县</w:t>
            </w:r>
            <w:r>
              <w:rPr>
                <w:rFonts w:ascii="宋体" w:hAnsi="宋体" w:eastAsia="宋体"/>
                <w:sz w:val="16"/>
              </w:rPr>
              <w:t>法治建</w:t>
            </w:r>
            <w:r>
              <w:rPr>
                <w:rFonts w:hint="eastAsia" w:ascii="宋体" w:hAnsi="宋体"/>
                <w:sz w:val="16"/>
                <w:lang w:eastAsia="zh-CN"/>
              </w:rPr>
              <w:t>设的</w:t>
            </w:r>
            <w:r>
              <w:rPr>
                <w:rFonts w:ascii="宋体" w:hAnsi="宋体" w:eastAsia="宋体"/>
                <w:sz w:val="16"/>
              </w:rPr>
              <w:t>关键之年，县司法局将认真贯彻落实党的二十大全会精神、第三次中央新疆工作座谈会、习近平总书记视察新疆时的重要讲话重要指示精神，完整准确贯彻新时代党的治疆方略，坚定不移推进治理体系和治理能力现代化，不断提升全民法治意识和法治素养，为建设新时代中国特色社会主义塔什库尔干提供有力法治保障。主要开展以下方面工作：统筹推进法治政府建设、推进法治宣传教育工作、加强服刑人员及亲属的服务管理工作、健全完善社区矫正工作体制机制、加强刑满释放人员服务管理工作、坚持和发展</w:t>
            </w:r>
            <w:r>
              <w:rPr>
                <w:rFonts w:hint="eastAsia" w:ascii="宋体" w:hAnsi="宋体"/>
                <w:sz w:val="16"/>
                <w:lang w:eastAsia="zh-CN"/>
              </w:rPr>
              <w:t>新时代“枫桥经验”</w:t>
            </w:r>
            <w:r>
              <w:rPr>
                <w:rFonts w:ascii="宋体" w:hAnsi="宋体" w:eastAsia="宋体"/>
                <w:sz w:val="16"/>
              </w:rPr>
              <w:t>健全完善大调解机制做好人民调解工作、推进基本公共法律服务平台融合均衡发展。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32267">
            <w:pPr>
              <w:jc w:val="both"/>
            </w:pPr>
            <w:r>
              <w:rPr>
                <w:rFonts w:ascii="宋体" w:hAnsi="宋体" w:eastAsia="宋体"/>
                <w:sz w:val="16"/>
              </w:rPr>
              <w:t>统筹推进法治政府建设、推进</w:t>
            </w:r>
            <w:r>
              <w:rPr>
                <w:rFonts w:hint="eastAsia" w:ascii="宋体" w:hAnsi="宋体" w:eastAsia="宋体"/>
                <w:sz w:val="16"/>
              </w:rPr>
              <w:t>法治宣传</w:t>
            </w:r>
            <w:r>
              <w:rPr>
                <w:rFonts w:ascii="宋体" w:hAnsi="宋体" w:eastAsia="宋体"/>
                <w:sz w:val="16"/>
              </w:rPr>
              <w:t>教育工作、加强服刑人员及亲属的服务管理工作、健全社区矫正工作体制、加强刑满释放人员服务管理工作、坚</w:t>
            </w:r>
            <w:r>
              <w:rPr>
                <w:rFonts w:hint="eastAsia" w:ascii="宋体" w:hAnsi="宋体"/>
                <w:sz w:val="16"/>
                <w:lang w:eastAsia="zh-CN"/>
              </w:rPr>
              <w:t>持和</w:t>
            </w:r>
            <w:r>
              <w:rPr>
                <w:rFonts w:ascii="宋体" w:hAnsi="宋体" w:eastAsia="宋体"/>
                <w:sz w:val="16"/>
              </w:rPr>
              <w:t>发展新时代“枫桥经验”健全完善大调解机制做好人民调解、推进基本公共法律服务平台融合均衡发展。2024年具体完成的重要工作有：完成了统筹推进法治政府建设工作18项，完成了5项法治宣传教育工作，加强服刑人员及亲属的服务管理次数13次，加强刑满释放人员服务管理次数14次，健全社区矫正工作机制6项。</w:t>
            </w:r>
          </w:p>
        </w:tc>
      </w:tr>
      <w:tr w14:paraId="6A8754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7C9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23CB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0C5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A3C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E7A1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F8B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B96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413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258D">
            <w:pPr>
              <w:jc w:val="center"/>
            </w:pPr>
            <w:r>
              <w:rPr>
                <w:rFonts w:ascii="宋体" w:hAnsi="宋体" w:eastAsia="宋体"/>
                <w:sz w:val="16"/>
              </w:rPr>
              <w:t>得分</w:t>
            </w:r>
          </w:p>
        </w:tc>
      </w:tr>
      <w:tr w14:paraId="552DC9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8D3A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B084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08B7">
            <w:pPr>
              <w:jc w:val="center"/>
            </w:pPr>
            <w:r>
              <w:rPr>
                <w:rFonts w:ascii="宋体" w:hAnsi="宋体" w:eastAsia="宋体"/>
                <w:sz w:val="16"/>
              </w:rPr>
              <w:t>统筹推进法治政府建设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23A5D">
            <w:pPr>
              <w:jc w:val="center"/>
            </w:pPr>
            <w:r>
              <w:rPr>
                <w:rFonts w:ascii="宋体" w:hAnsi="宋体" w:eastAsia="宋体"/>
                <w:sz w:val="16"/>
              </w:rPr>
              <w:t>&gt;=18项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AF88D">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12A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CAA9B">
            <w:pPr>
              <w:jc w:val="center"/>
            </w:pPr>
            <w:r>
              <w:rPr>
                <w:rFonts w:ascii="宋体" w:hAnsi="宋体" w:eastAsia="宋体"/>
                <w:sz w:val="16"/>
              </w:rPr>
              <w:t>18项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9624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42BDA">
            <w:pPr>
              <w:jc w:val="center"/>
            </w:pPr>
            <w:r>
              <w:rPr>
                <w:rFonts w:ascii="宋体" w:hAnsi="宋体" w:eastAsia="宋体"/>
                <w:sz w:val="16"/>
              </w:rPr>
              <w:t>20</w:t>
            </w:r>
          </w:p>
        </w:tc>
      </w:tr>
      <w:tr w14:paraId="45C663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564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6D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90E8F">
            <w:pPr>
              <w:jc w:val="center"/>
            </w:pPr>
            <w:r>
              <w:rPr>
                <w:rFonts w:ascii="宋体" w:hAnsi="宋体" w:eastAsia="宋体"/>
                <w:sz w:val="16"/>
              </w:rPr>
              <w:t>进行法治宣传教育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2ACC4">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5C53D">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145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E6082">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4A4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3DAFC">
            <w:pPr>
              <w:jc w:val="center"/>
            </w:pPr>
            <w:r>
              <w:rPr>
                <w:rFonts w:ascii="宋体" w:hAnsi="宋体" w:eastAsia="宋体"/>
                <w:sz w:val="16"/>
              </w:rPr>
              <w:t>20</w:t>
            </w:r>
          </w:p>
        </w:tc>
      </w:tr>
      <w:tr w14:paraId="16AC92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331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0A1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858B">
            <w:pPr>
              <w:jc w:val="center"/>
            </w:pPr>
            <w:r>
              <w:rPr>
                <w:rFonts w:ascii="宋体" w:hAnsi="宋体" w:eastAsia="宋体"/>
                <w:sz w:val="16"/>
              </w:rPr>
              <w:t>加强服刑人员及亲属的服务管理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8C8D2">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EE36">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B6A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813D">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3C45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8B24F">
            <w:pPr>
              <w:jc w:val="center"/>
            </w:pPr>
            <w:r>
              <w:rPr>
                <w:rFonts w:ascii="宋体" w:hAnsi="宋体" w:eastAsia="宋体"/>
                <w:sz w:val="16"/>
              </w:rPr>
              <w:t>20</w:t>
            </w:r>
          </w:p>
        </w:tc>
      </w:tr>
      <w:tr w14:paraId="78CFD4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3A1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3B7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BE87">
            <w:pPr>
              <w:jc w:val="center"/>
            </w:pPr>
            <w:r>
              <w:rPr>
                <w:rFonts w:ascii="宋体" w:hAnsi="宋体" w:eastAsia="宋体"/>
                <w:sz w:val="16"/>
              </w:rPr>
              <w:t>加强刑满释放人员服务管理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0D887">
            <w:pPr>
              <w:jc w:val="center"/>
            </w:pPr>
            <w:r>
              <w:rPr>
                <w:rFonts w:ascii="宋体" w:hAnsi="宋体" w:eastAsia="宋体"/>
                <w:sz w:val="16"/>
              </w:rPr>
              <w:t>&gt;=14次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A4081">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744C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55CA6">
            <w:pPr>
              <w:jc w:val="center"/>
            </w:pPr>
            <w:r>
              <w:rPr>
                <w:rFonts w:ascii="宋体" w:hAnsi="宋体" w:eastAsia="宋体"/>
                <w:sz w:val="16"/>
              </w:rPr>
              <w:t>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675D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A08DB">
            <w:pPr>
              <w:jc w:val="center"/>
            </w:pPr>
            <w:r>
              <w:rPr>
                <w:rFonts w:ascii="宋体" w:hAnsi="宋体" w:eastAsia="宋体"/>
                <w:sz w:val="16"/>
              </w:rPr>
              <w:t>15</w:t>
            </w:r>
          </w:p>
        </w:tc>
      </w:tr>
      <w:tr w14:paraId="313EFB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F9B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EF2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A6AD2">
            <w:pPr>
              <w:jc w:val="center"/>
            </w:pPr>
            <w:r>
              <w:rPr>
                <w:rFonts w:ascii="宋体" w:hAnsi="宋体" w:eastAsia="宋体"/>
                <w:sz w:val="16"/>
              </w:rPr>
              <w:t>健全社区矫正工作机制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21EE">
            <w:pPr>
              <w:jc w:val="center"/>
            </w:pPr>
            <w:r>
              <w:rPr>
                <w:rFonts w:ascii="宋体" w:hAnsi="宋体" w:eastAsia="宋体"/>
                <w:sz w:val="16"/>
              </w:rPr>
              <w:t>&gt;=6项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81C91">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12A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C956">
            <w:pPr>
              <w:jc w:val="center"/>
            </w:pPr>
            <w:r>
              <w:rPr>
                <w:rFonts w:ascii="宋体" w:hAnsi="宋体" w:eastAsia="宋体"/>
                <w:sz w:val="16"/>
              </w:rPr>
              <w: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86DD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CB69">
            <w:pPr>
              <w:jc w:val="center"/>
            </w:pPr>
            <w:r>
              <w:rPr>
                <w:rFonts w:ascii="宋体" w:hAnsi="宋体" w:eastAsia="宋体"/>
                <w:sz w:val="16"/>
              </w:rPr>
              <w:t>15</w:t>
            </w:r>
          </w:p>
        </w:tc>
      </w:tr>
    </w:tbl>
    <w:p w14:paraId="2D1339A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A929D7F">
        <w:tblPrEx>
          <w:tblCellMar>
            <w:top w:w="0" w:type="dxa"/>
            <w:left w:w="108" w:type="dxa"/>
            <w:bottom w:w="0" w:type="dxa"/>
            <w:right w:w="108" w:type="dxa"/>
          </w:tblCellMar>
        </w:tblPrEx>
        <w:tc>
          <w:tcPr>
            <w:tcW w:w="8848" w:type="dxa"/>
            <w:gridSpan w:val="14"/>
            <w:vAlign w:val="center"/>
          </w:tcPr>
          <w:p w14:paraId="5053CDA0">
            <w:pPr>
              <w:jc w:val="center"/>
            </w:pPr>
            <w:r>
              <w:rPr>
                <w:rFonts w:ascii="宋体" w:hAnsi="宋体" w:eastAsia="宋体"/>
                <w:sz w:val="24"/>
              </w:rPr>
              <w:t>项目支出绩效自评表</w:t>
            </w:r>
          </w:p>
        </w:tc>
      </w:tr>
      <w:tr w14:paraId="54D22229">
        <w:tblPrEx>
          <w:tblCellMar>
            <w:top w:w="0" w:type="dxa"/>
            <w:left w:w="108" w:type="dxa"/>
            <w:bottom w:w="0" w:type="dxa"/>
            <w:right w:w="108" w:type="dxa"/>
          </w:tblCellMar>
        </w:tblPrEx>
        <w:tc>
          <w:tcPr>
            <w:tcW w:w="8848" w:type="dxa"/>
            <w:gridSpan w:val="14"/>
            <w:vAlign w:val="center"/>
          </w:tcPr>
          <w:p w14:paraId="04D466E3">
            <w:pPr>
              <w:jc w:val="center"/>
            </w:pPr>
            <w:r>
              <w:rPr>
                <w:rFonts w:ascii="宋体" w:hAnsi="宋体" w:eastAsia="宋体"/>
                <w:sz w:val="24"/>
              </w:rPr>
              <w:t>(2024年度)</w:t>
            </w:r>
          </w:p>
        </w:tc>
      </w:tr>
      <w:tr w14:paraId="03A3D3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C2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0FFB56">
            <w:pPr>
              <w:jc w:val="center"/>
            </w:pPr>
            <w:r>
              <w:rPr>
                <w:rFonts w:hint="eastAsia" w:ascii="宋体" w:hAnsi="宋体"/>
                <w:sz w:val="16"/>
                <w:lang w:eastAsia="zh-CN"/>
              </w:rPr>
              <w:t>为民办实事</w:t>
            </w:r>
            <w:r>
              <w:rPr>
                <w:rFonts w:ascii="宋体" w:hAnsi="宋体" w:eastAsia="宋体"/>
                <w:sz w:val="16"/>
              </w:rPr>
              <w:t>工作队2024年为民办实事工作经费</w:t>
            </w:r>
          </w:p>
        </w:tc>
      </w:tr>
      <w:tr w14:paraId="113B9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1C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D0A7F">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FF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EFC41">
            <w:pPr>
              <w:jc w:val="center"/>
            </w:pPr>
            <w:r>
              <w:rPr>
                <w:rFonts w:ascii="宋体" w:hAnsi="宋体" w:eastAsia="宋体"/>
                <w:sz w:val="16"/>
              </w:rPr>
              <w:t>塔什库尔干塔吉克自治县司法局</w:t>
            </w:r>
          </w:p>
        </w:tc>
      </w:tr>
      <w:tr w14:paraId="04568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7B9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AC91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D8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539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FD0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DE7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5B9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DD62">
            <w:pPr>
              <w:jc w:val="center"/>
            </w:pPr>
            <w:r>
              <w:rPr>
                <w:rFonts w:ascii="宋体" w:hAnsi="宋体" w:eastAsia="宋体"/>
                <w:sz w:val="16"/>
              </w:rPr>
              <w:t>得分</w:t>
            </w:r>
          </w:p>
        </w:tc>
      </w:tr>
      <w:tr w14:paraId="2DD7F3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E6A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EB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DF1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379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9818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D71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BF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5FD8">
            <w:pPr>
              <w:jc w:val="center"/>
            </w:pPr>
            <w:r>
              <w:rPr>
                <w:rFonts w:ascii="宋体" w:hAnsi="宋体" w:eastAsia="宋体"/>
                <w:sz w:val="16"/>
              </w:rPr>
              <w:t>10.00分</w:t>
            </w:r>
          </w:p>
        </w:tc>
      </w:tr>
      <w:tr w14:paraId="4A052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583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21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C5A8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C9F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CB12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91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A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3C77">
            <w:pPr>
              <w:jc w:val="center"/>
            </w:pPr>
            <w:r>
              <w:rPr>
                <w:rFonts w:ascii="宋体" w:hAnsi="宋体" w:eastAsia="宋体"/>
                <w:sz w:val="16"/>
              </w:rPr>
              <w:t>—</w:t>
            </w:r>
          </w:p>
        </w:tc>
      </w:tr>
      <w:tr w14:paraId="58951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5CC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38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575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BD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2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D57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8C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8430">
            <w:pPr>
              <w:jc w:val="center"/>
            </w:pPr>
            <w:r>
              <w:rPr>
                <w:rFonts w:ascii="宋体" w:hAnsi="宋体" w:eastAsia="宋体"/>
                <w:sz w:val="16"/>
              </w:rPr>
              <w:t>—</w:t>
            </w:r>
          </w:p>
        </w:tc>
      </w:tr>
      <w:tr w14:paraId="1F56A9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100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28B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3CC7C2">
            <w:pPr>
              <w:jc w:val="center"/>
            </w:pPr>
            <w:r>
              <w:rPr>
                <w:rFonts w:ascii="宋体" w:hAnsi="宋体" w:eastAsia="宋体"/>
                <w:sz w:val="16"/>
              </w:rPr>
              <w:t>实际完成情况</w:t>
            </w:r>
          </w:p>
        </w:tc>
      </w:tr>
      <w:tr w14:paraId="3507F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B26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45F61">
            <w:pPr>
              <w:jc w:val="both"/>
            </w:pPr>
            <w:r>
              <w:rPr>
                <w:rFonts w:ascii="宋体" w:hAnsi="宋体" w:eastAsia="宋体"/>
                <w:sz w:val="16"/>
              </w:rPr>
              <w:t>为困难家庭户五保户维修房屋，为赞达尕力灌溉饮水主管维修，修复吊桥，中华民族传统节日慰问，缴纳电费等。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D8BF8">
            <w:pPr>
              <w:jc w:val="both"/>
            </w:pPr>
            <w:r>
              <w:rPr>
                <w:rFonts w:ascii="宋体" w:hAnsi="宋体" w:eastAsia="宋体"/>
                <w:sz w:val="16"/>
              </w:rPr>
              <w:t>截至2024年12月31日，本项目实际支出7万元，主要用于支付塔什库尔干塔吉克自治县人民政府包联的大同乡阿依克日克村的</w:t>
            </w:r>
            <w:r>
              <w:rPr>
                <w:rFonts w:hint="eastAsia" w:ascii="宋体" w:hAnsi="宋体"/>
                <w:sz w:val="16"/>
                <w:lang w:eastAsia="zh-CN"/>
              </w:rPr>
              <w:t>为民办实事</w:t>
            </w:r>
            <w:r>
              <w:rPr>
                <w:rFonts w:ascii="宋体" w:hAnsi="宋体" w:eastAsia="宋体"/>
                <w:sz w:val="16"/>
              </w:rPr>
              <w:t>工作队为民办实事费用，其中支付“四季村晚”活动费1.30万元，支付赞达尕力灌溉饮水管道维修费用1.03万元，支付推进基层治理在积分超市购买群众常用物品费用1.47万元，支付赞达尕力修复吊桥费用1.27万元，支付为村委会及</w:t>
            </w:r>
            <w:r>
              <w:rPr>
                <w:rFonts w:hint="eastAsia" w:ascii="宋体" w:hAnsi="宋体"/>
                <w:sz w:val="16"/>
                <w:lang w:eastAsia="zh-CN"/>
              </w:rPr>
              <w:t>为民办实事</w:t>
            </w:r>
            <w:r>
              <w:rPr>
                <w:rFonts w:ascii="宋体" w:hAnsi="宋体" w:eastAsia="宋体"/>
                <w:sz w:val="16"/>
              </w:rPr>
              <w:t>工作队购买办公用品及其他用品费用1.43万元，支付用于清理辖区多段道路泥石流租赁的装载机及机械费0.5万元。赞达尕力灌溉饮水管道维修合格率达100%，赞达尕力修复吊桥合格率达100%，通过实施该项目，有效提高了</w:t>
            </w:r>
            <w:r>
              <w:rPr>
                <w:rFonts w:hint="eastAsia" w:ascii="宋体" w:hAnsi="宋体"/>
                <w:sz w:val="16"/>
                <w:lang w:eastAsia="zh-CN"/>
              </w:rPr>
              <w:t>为民办实事</w:t>
            </w:r>
            <w:r>
              <w:rPr>
                <w:rFonts w:ascii="宋体" w:hAnsi="宋体" w:eastAsia="宋体"/>
                <w:sz w:val="16"/>
              </w:rPr>
              <w:t>干部的工作积极性，使得他们扎扎实实为群众办事，更好</w:t>
            </w:r>
            <w:r>
              <w:rPr>
                <w:rFonts w:hint="eastAsia" w:ascii="宋体" w:hAnsi="宋体"/>
                <w:sz w:val="16"/>
                <w:lang w:eastAsia="zh-CN"/>
              </w:rPr>
              <w:t>地</w:t>
            </w:r>
            <w:r>
              <w:rPr>
                <w:rFonts w:ascii="宋体" w:hAnsi="宋体" w:eastAsia="宋体"/>
                <w:sz w:val="16"/>
              </w:rPr>
              <w:t>服务于乡村振兴工作，提升了大同乡阿依克日克村群众的幸福感、获得感。使大同乡阿依克日克村受益群众满意度达到了100%。</w:t>
            </w:r>
          </w:p>
        </w:tc>
      </w:tr>
      <w:tr w14:paraId="411B6E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EDB2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E4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30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41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F5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93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DC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52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9C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21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38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FC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7DF0D">
            <w:pPr>
              <w:jc w:val="center"/>
            </w:pPr>
            <w:r>
              <w:rPr>
                <w:rFonts w:ascii="宋体" w:hAnsi="宋体" w:eastAsia="宋体"/>
                <w:sz w:val="16"/>
              </w:rPr>
              <w:t>偏差原因分析及改进措施</w:t>
            </w:r>
          </w:p>
        </w:tc>
      </w:tr>
      <w:tr w14:paraId="56C21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E5D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157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3C0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92CF">
            <w:pPr>
              <w:jc w:val="center"/>
            </w:pPr>
            <w:r>
              <w:rPr>
                <w:rFonts w:ascii="宋体" w:hAnsi="宋体" w:eastAsia="宋体"/>
                <w:sz w:val="16"/>
              </w:rPr>
              <w:t>对“四季村晚”表现优秀人员进行奖励购买奖品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C22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BC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BC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57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7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DA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081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B98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FDE4F">
            <w:pPr>
              <w:jc w:val="center"/>
            </w:pPr>
          </w:p>
        </w:tc>
      </w:tr>
      <w:tr w14:paraId="79F0B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AA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2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4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2964">
            <w:pPr>
              <w:jc w:val="center"/>
            </w:pPr>
            <w:r>
              <w:rPr>
                <w:rFonts w:ascii="宋体" w:hAnsi="宋体" w:eastAsia="宋体"/>
                <w:sz w:val="16"/>
              </w:rPr>
              <w:t>为赞达尕力灌溉饮水管道维修（米）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6647">
            <w:pPr>
              <w:jc w:val="center"/>
            </w:pPr>
            <w:r>
              <w:rPr>
                <w:rFonts w:ascii="宋体" w:hAnsi="宋体" w:eastAsia="宋体"/>
                <w:sz w:val="16"/>
              </w:rPr>
              <w:t>&gt;=360米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7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DE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E6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6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E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FFE">
            <w:pPr>
              <w:jc w:val="center"/>
            </w:pPr>
            <w:r>
              <w:rPr>
                <w:rFonts w:ascii="宋体" w:hAnsi="宋体" w:eastAsia="宋体"/>
                <w:sz w:val="16"/>
              </w:rPr>
              <w:t>=360米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4E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5FCF4">
            <w:pPr>
              <w:jc w:val="center"/>
            </w:pPr>
          </w:p>
        </w:tc>
      </w:tr>
      <w:tr w14:paraId="436B0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4E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4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5A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B5B3">
            <w:pPr>
              <w:jc w:val="center"/>
            </w:pPr>
            <w:r>
              <w:rPr>
                <w:rFonts w:ascii="宋体" w:hAnsi="宋体" w:eastAsia="宋体"/>
                <w:sz w:val="16"/>
              </w:rPr>
              <w:t>推进基层治理在积分超市购买群众物品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755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1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FD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C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7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2D9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668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C08D">
            <w:pPr>
              <w:jc w:val="center"/>
            </w:pPr>
          </w:p>
        </w:tc>
      </w:tr>
      <w:tr w14:paraId="29730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2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5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4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2827">
            <w:pPr>
              <w:jc w:val="center"/>
            </w:pPr>
            <w:r>
              <w:rPr>
                <w:rFonts w:ascii="宋体" w:hAnsi="宋体" w:eastAsia="宋体"/>
                <w:sz w:val="16"/>
              </w:rPr>
              <w:t>为赞达尕力修复吊桥（个）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F98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6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1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7C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D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2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E30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115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C10F2">
            <w:pPr>
              <w:jc w:val="center"/>
            </w:pPr>
          </w:p>
        </w:tc>
      </w:tr>
      <w:tr w14:paraId="74611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5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2B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AE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8E9D">
            <w:pPr>
              <w:jc w:val="center"/>
            </w:pPr>
            <w:r>
              <w:rPr>
                <w:rFonts w:ascii="宋体" w:hAnsi="宋体" w:eastAsia="宋体"/>
                <w:sz w:val="16"/>
              </w:rPr>
              <w:t>为村委会、工作队购买日常办公用品及其他日常用品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10C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5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C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CA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E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5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345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5A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EFD8">
            <w:pPr>
              <w:jc w:val="center"/>
            </w:pPr>
          </w:p>
        </w:tc>
      </w:tr>
      <w:tr w14:paraId="45A9A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48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A4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EA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B057">
            <w:pPr>
              <w:jc w:val="center"/>
            </w:pPr>
            <w:r>
              <w:rPr>
                <w:rFonts w:ascii="宋体" w:hAnsi="宋体" w:eastAsia="宋体"/>
                <w:sz w:val="16"/>
              </w:rPr>
              <w:t>清理辖区道路多段泥石流区域租赁装载机械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414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7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7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FF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C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D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A25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E95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D471">
            <w:pPr>
              <w:jc w:val="center"/>
            </w:pPr>
          </w:p>
        </w:tc>
      </w:tr>
      <w:tr w14:paraId="47D6A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1C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096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539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DD3C">
            <w:pPr>
              <w:jc w:val="center"/>
            </w:pPr>
            <w:r>
              <w:rPr>
                <w:rFonts w:ascii="宋体" w:hAnsi="宋体" w:eastAsia="宋体"/>
                <w:sz w:val="16"/>
              </w:rPr>
              <w:t>房屋维护保养合格率（%）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4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B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4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74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7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F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5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83D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9640B">
            <w:pPr>
              <w:jc w:val="center"/>
            </w:pPr>
          </w:p>
        </w:tc>
      </w:tr>
      <w:tr w14:paraId="04AA0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3C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2B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77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A1CA">
            <w:pPr>
              <w:jc w:val="center"/>
            </w:pPr>
            <w:r>
              <w:rPr>
                <w:rFonts w:ascii="宋体" w:hAnsi="宋体" w:eastAsia="宋体"/>
                <w:sz w:val="16"/>
              </w:rPr>
              <w:t>赞达尕力灌溉饮水管道维修合格率（%）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3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9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96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DF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A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0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B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B8D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D3EB">
            <w:pPr>
              <w:jc w:val="center"/>
            </w:pPr>
          </w:p>
        </w:tc>
      </w:tr>
      <w:tr w14:paraId="2DE4E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68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8C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C4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CF87">
            <w:pPr>
              <w:jc w:val="center"/>
            </w:pPr>
            <w:r>
              <w:rPr>
                <w:rFonts w:ascii="宋体" w:hAnsi="宋体" w:eastAsia="宋体"/>
                <w:sz w:val="16"/>
              </w:rPr>
              <w:t>赞达尕力修复吊桥合格率（%）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B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1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44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D7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AE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F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2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D8A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77ED">
            <w:pPr>
              <w:jc w:val="center"/>
            </w:pPr>
          </w:p>
        </w:tc>
      </w:tr>
      <w:tr w14:paraId="7701F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B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E55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E23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FB10">
            <w:pPr>
              <w:jc w:val="center"/>
            </w:pPr>
            <w:r>
              <w:rPr>
                <w:rFonts w:ascii="宋体" w:hAnsi="宋体" w:eastAsia="宋体"/>
                <w:sz w:val="16"/>
              </w:rPr>
              <w:t>“四季村晚”活动开展天数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3513">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4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E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CD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E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4C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E247">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559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4680">
            <w:pPr>
              <w:jc w:val="center"/>
            </w:pPr>
          </w:p>
        </w:tc>
      </w:tr>
      <w:tr w14:paraId="7DE44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1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44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A8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5E19">
            <w:pPr>
              <w:jc w:val="center"/>
            </w:pPr>
            <w:r>
              <w:rPr>
                <w:rFonts w:ascii="宋体" w:hAnsi="宋体" w:eastAsia="宋体"/>
                <w:sz w:val="16"/>
              </w:rPr>
              <w:t>赞达尕力灌溉饮水管道维修天数（天）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A126">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C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C1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D7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5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2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CEBA">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ED4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2DCEA">
            <w:pPr>
              <w:jc w:val="center"/>
            </w:pPr>
          </w:p>
        </w:tc>
      </w:tr>
      <w:tr w14:paraId="0E3D4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6D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40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36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F7B4">
            <w:pPr>
              <w:jc w:val="center"/>
            </w:pPr>
            <w:r>
              <w:rPr>
                <w:rFonts w:ascii="宋体" w:hAnsi="宋体" w:eastAsia="宋体"/>
                <w:sz w:val="16"/>
              </w:rPr>
              <w:t>赞达尕力维修吊桥天数（天）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46F2">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A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28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5D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7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E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EC91">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4BF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8FA1">
            <w:pPr>
              <w:jc w:val="center"/>
            </w:pPr>
          </w:p>
        </w:tc>
      </w:tr>
      <w:tr w14:paraId="3C3F8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9D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695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551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FD1E">
            <w:pPr>
              <w:jc w:val="center"/>
            </w:pPr>
            <w:r>
              <w:rPr>
                <w:rFonts w:ascii="宋体" w:hAnsi="宋体" w:eastAsia="宋体"/>
                <w:sz w:val="16"/>
              </w:rPr>
              <w:t>“四季村晚”活动总成本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7B58">
            <w:pPr>
              <w:jc w:val="center"/>
            </w:pPr>
            <w:r>
              <w:rPr>
                <w:rFonts w:ascii="宋体" w:hAnsi="宋体" w:eastAsia="宋体"/>
                <w:sz w:val="16"/>
              </w:rPr>
              <w:t>&lt;=12960元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5E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E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00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F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68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C7C0">
            <w:pPr>
              <w:jc w:val="center"/>
            </w:pPr>
            <w:r>
              <w:rPr>
                <w:rFonts w:ascii="宋体" w:hAnsi="宋体" w:eastAsia="宋体"/>
                <w:sz w:val="16"/>
              </w:rPr>
              <w:t>=12960元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728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A40D">
            <w:pPr>
              <w:jc w:val="center"/>
            </w:pPr>
          </w:p>
        </w:tc>
      </w:tr>
      <w:tr w14:paraId="7CF80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B6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64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27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D559">
            <w:pPr>
              <w:jc w:val="center"/>
            </w:pPr>
            <w:r>
              <w:rPr>
                <w:rFonts w:ascii="宋体" w:hAnsi="宋体" w:eastAsia="宋体"/>
                <w:sz w:val="16"/>
              </w:rPr>
              <w:t>赞达尕力灌溉饮水管道维修总成本（元）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9B4A">
            <w:pPr>
              <w:jc w:val="center"/>
            </w:pPr>
            <w:r>
              <w:rPr>
                <w:rFonts w:ascii="宋体" w:hAnsi="宋体" w:eastAsia="宋体"/>
                <w:sz w:val="16"/>
              </w:rPr>
              <w:t>&lt;=10300元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BB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5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F0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C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1D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54CB">
            <w:pPr>
              <w:jc w:val="center"/>
            </w:pPr>
            <w:r>
              <w:rPr>
                <w:rFonts w:ascii="宋体" w:hAnsi="宋体" w:eastAsia="宋体"/>
                <w:sz w:val="16"/>
              </w:rPr>
              <w:t>=10300元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2A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A2F0">
            <w:pPr>
              <w:jc w:val="center"/>
            </w:pPr>
          </w:p>
        </w:tc>
      </w:tr>
      <w:tr w14:paraId="7BE79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44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CD8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B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D74F">
            <w:pPr>
              <w:jc w:val="center"/>
            </w:pPr>
            <w:r>
              <w:rPr>
                <w:rFonts w:ascii="宋体" w:hAnsi="宋体" w:eastAsia="宋体"/>
                <w:sz w:val="16"/>
              </w:rPr>
              <w:t>推进基层治理在积分超市购买群众常用物品总成本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4743">
            <w:pPr>
              <w:jc w:val="center"/>
            </w:pPr>
            <w:r>
              <w:rPr>
                <w:rFonts w:ascii="宋体" w:hAnsi="宋体" w:eastAsia="宋体"/>
                <w:sz w:val="16"/>
              </w:rPr>
              <w:t>&lt;=14750元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A5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B5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07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9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7A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5B93">
            <w:pPr>
              <w:jc w:val="center"/>
            </w:pPr>
            <w:r>
              <w:rPr>
                <w:rFonts w:ascii="宋体" w:hAnsi="宋体" w:eastAsia="宋体"/>
                <w:sz w:val="16"/>
              </w:rPr>
              <w:t>=14750元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870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15913">
            <w:pPr>
              <w:jc w:val="center"/>
            </w:pPr>
          </w:p>
        </w:tc>
      </w:tr>
      <w:tr w14:paraId="1695B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E1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0B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DE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6FED">
            <w:pPr>
              <w:jc w:val="center"/>
            </w:pPr>
            <w:r>
              <w:rPr>
                <w:rFonts w:ascii="宋体" w:hAnsi="宋体" w:eastAsia="宋体"/>
                <w:sz w:val="16"/>
              </w:rPr>
              <w:t>为赞达尕力修复吊桥成本（元）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0FBA">
            <w:pPr>
              <w:jc w:val="center"/>
            </w:pPr>
            <w:r>
              <w:rPr>
                <w:rFonts w:ascii="宋体" w:hAnsi="宋体" w:eastAsia="宋体"/>
                <w:sz w:val="16"/>
              </w:rPr>
              <w:t>&lt;=12700元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5C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D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F8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D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7B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4BD8">
            <w:pPr>
              <w:jc w:val="center"/>
            </w:pPr>
            <w:r>
              <w:rPr>
                <w:rFonts w:ascii="宋体" w:hAnsi="宋体" w:eastAsia="宋体"/>
                <w:sz w:val="16"/>
              </w:rPr>
              <w:t>=12700元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902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64424">
            <w:pPr>
              <w:jc w:val="center"/>
            </w:pPr>
          </w:p>
        </w:tc>
      </w:tr>
      <w:tr w14:paraId="76EFC94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BE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02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0C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0AD">
            <w:pPr>
              <w:jc w:val="center"/>
            </w:pPr>
            <w:r>
              <w:rPr>
                <w:rFonts w:ascii="宋体" w:hAnsi="宋体" w:eastAsia="宋体"/>
                <w:sz w:val="16"/>
              </w:rPr>
              <w:t>为村委会及</w:t>
            </w:r>
            <w:r>
              <w:rPr>
                <w:rFonts w:hint="eastAsia" w:ascii="宋体" w:hAnsi="宋体"/>
                <w:sz w:val="16"/>
                <w:lang w:eastAsia="zh-CN"/>
              </w:rPr>
              <w:t>为民办实事</w:t>
            </w:r>
            <w:r>
              <w:rPr>
                <w:rFonts w:ascii="宋体" w:hAnsi="宋体" w:eastAsia="宋体"/>
                <w:sz w:val="16"/>
              </w:rPr>
              <w:t>工作队购买办公用品及其他用品总成本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5D49">
            <w:pPr>
              <w:jc w:val="center"/>
            </w:pPr>
            <w:r>
              <w:rPr>
                <w:rFonts w:ascii="宋体" w:hAnsi="宋体" w:eastAsia="宋体"/>
                <w:sz w:val="16"/>
              </w:rPr>
              <w:t>&lt;=14290元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12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E1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D2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F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7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B3B7">
            <w:pPr>
              <w:jc w:val="center"/>
            </w:pPr>
            <w:r>
              <w:rPr>
                <w:rFonts w:ascii="宋体" w:hAnsi="宋体" w:eastAsia="宋体"/>
                <w:sz w:val="16"/>
              </w:rPr>
              <w:t>=14290元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BBF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CE31">
            <w:pPr>
              <w:jc w:val="center"/>
            </w:pPr>
          </w:p>
        </w:tc>
      </w:tr>
      <w:tr w14:paraId="32353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4C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0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95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83FE">
            <w:pPr>
              <w:jc w:val="center"/>
            </w:pPr>
            <w:r>
              <w:rPr>
                <w:rFonts w:ascii="宋体" w:hAnsi="宋体" w:eastAsia="宋体"/>
                <w:sz w:val="16"/>
              </w:rPr>
              <w:t>清理辖区多段道路泥石流租赁装载机及机械费用总成本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D8EF">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2C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8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E3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C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FA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6721">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DC9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82446">
            <w:pPr>
              <w:jc w:val="center"/>
            </w:pPr>
          </w:p>
        </w:tc>
      </w:tr>
      <w:tr w14:paraId="4BFF9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8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7B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7B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17EB">
            <w:pPr>
              <w:jc w:val="center"/>
            </w:pPr>
            <w:r>
              <w:rPr>
                <w:rFonts w:ascii="宋体" w:hAnsi="宋体" w:eastAsia="宋体"/>
                <w:sz w:val="16"/>
              </w:rPr>
              <w:t>维护大同乡阿依克日克村社会和谐持续年限（年）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E62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7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D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9B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C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86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715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B0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45B5">
            <w:pPr>
              <w:jc w:val="center"/>
            </w:pPr>
          </w:p>
        </w:tc>
      </w:tr>
      <w:tr w14:paraId="49023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740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1F5C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38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4B37">
            <w:pPr>
              <w:jc w:val="center"/>
            </w:pPr>
            <w:r>
              <w:rPr>
                <w:rFonts w:ascii="宋体" w:hAnsi="宋体" w:eastAsia="宋体"/>
                <w:sz w:val="16"/>
              </w:rPr>
              <w:t>困难家庭户（五保户）满意度（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DB4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0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4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00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2D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76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D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7B6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3A7D9">
            <w:pPr>
              <w:jc w:val="center"/>
            </w:pPr>
          </w:p>
        </w:tc>
      </w:tr>
      <w:tr w14:paraId="7E5C9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5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29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9D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5789">
            <w:pPr>
              <w:jc w:val="center"/>
            </w:pPr>
            <w:r>
              <w:rPr>
                <w:rFonts w:ascii="宋体" w:hAnsi="宋体" w:eastAsia="宋体"/>
                <w:sz w:val="16"/>
              </w:rPr>
              <w:t>大同乡阿依克日克村群众对灌溉饮水管道维修满意度（%）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EBB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A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6A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8D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05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BC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E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BE5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FD97">
            <w:pPr>
              <w:jc w:val="center"/>
            </w:pPr>
          </w:p>
        </w:tc>
      </w:tr>
      <w:tr w14:paraId="5177D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94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A0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B0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A4A9">
            <w:pPr>
              <w:jc w:val="center"/>
            </w:pPr>
            <w:r>
              <w:rPr>
                <w:rFonts w:ascii="宋体" w:hAnsi="宋体" w:eastAsia="宋体"/>
                <w:sz w:val="16"/>
              </w:rPr>
              <w:t>大同乡阿依克日克村群众对修复吊桥的满意度（%）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4C9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C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E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E4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F4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0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0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CD2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64E0">
            <w:pPr>
              <w:jc w:val="center"/>
            </w:pPr>
          </w:p>
        </w:tc>
      </w:tr>
      <w:tr w14:paraId="6E1B8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08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81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E8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74540">
            <w:pPr>
              <w:jc w:val="center"/>
            </w:pPr>
            <w:r>
              <w:rPr>
                <w:rFonts w:ascii="宋体" w:hAnsi="宋体" w:eastAsia="宋体"/>
                <w:sz w:val="16"/>
              </w:rPr>
              <w:t>100分</w:t>
            </w:r>
          </w:p>
        </w:tc>
      </w:tr>
    </w:tbl>
    <w:p w14:paraId="2B8038B5">
      <w:r>
        <w:br w:type="page"/>
      </w:r>
    </w:p>
    <w:p w14:paraId="2272B62E">
      <w:pPr>
        <w:spacing w:line="640" w:lineRule="exact"/>
        <w:ind w:firstLine="640"/>
        <w:jc w:val="both"/>
        <w:outlineLvl w:val="2"/>
      </w:pPr>
      <w:r>
        <w:rPr>
          <w:rFonts w:ascii="黑体" w:hAnsi="黑体" w:eastAsia="黑体"/>
          <w:sz w:val="32"/>
        </w:rPr>
        <w:t>十二、其他需说明的事项</w:t>
      </w:r>
    </w:p>
    <w:p w14:paraId="0B74AE42">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ECDE1B5">
      <w:r>
        <w:br w:type="page"/>
      </w:r>
    </w:p>
    <w:p w14:paraId="4E144090">
      <w:pPr>
        <w:spacing w:line="240" w:lineRule="auto"/>
        <w:jc w:val="center"/>
        <w:outlineLvl w:val="1"/>
      </w:pPr>
      <w:r>
        <w:rPr>
          <w:rFonts w:ascii="黑体" w:hAnsi="黑体" w:eastAsia="黑体"/>
          <w:sz w:val="32"/>
        </w:rPr>
        <w:t>第三部分 专业名词解释</w:t>
      </w:r>
    </w:p>
    <w:p w14:paraId="050342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6E8752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B8B40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BC457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9BFF3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6C116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83DF8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AC24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68D04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410D3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76C8E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204DD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7A969A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5DBB0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226062">
      <w:r>
        <w:br w:type="page"/>
      </w:r>
    </w:p>
    <w:p w14:paraId="0ECA4C55">
      <w:pPr>
        <w:spacing w:line="240" w:lineRule="auto"/>
        <w:jc w:val="center"/>
        <w:outlineLvl w:val="1"/>
      </w:pPr>
      <w:r>
        <w:rPr>
          <w:rFonts w:ascii="黑体" w:hAnsi="黑体" w:eastAsia="黑体"/>
          <w:sz w:val="32"/>
        </w:rPr>
        <w:t>第四部分 部门决算报表（见附表）</w:t>
      </w:r>
    </w:p>
    <w:p w14:paraId="53BE2C0F">
      <w:pPr>
        <w:spacing w:line="240" w:lineRule="auto"/>
        <w:ind w:firstLine="640"/>
        <w:jc w:val="both"/>
      </w:pPr>
      <w:r>
        <w:rPr>
          <w:rFonts w:ascii="仿宋_GB2312" w:hAnsi="仿宋_GB2312" w:eastAsia="仿宋_GB2312"/>
          <w:b w:val="0"/>
          <w:sz w:val="32"/>
        </w:rPr>
        <w:t>一、《收入支出决算总表》</w:t>
      </w:r>
    </w:p>
    <w:p w14:paraId="023D3916">
      <w:pPr>
        <w:spacing w:line="240" w:lineRule="auto"/>
        <w:ind w:firstLine="640"/>
        <w:jc w:val="both"/>
      </w:pPr>
      <w:r>
        <w:rPr>
          <w:rFonts w:ascii="仿宋_GB2312" w:hAnsi="仿宋_GB2312" w:eastAsia="仿宋_GB2312"/>
          <w:b w:val="0"/>
          <w:sz w:val="32"/>
        </w:rPr>
        <w:t>二、《收入决算表》</w:t>
      </w:r>
    </w:p>
    <w:p w14:paraId="4FC8E874">
      <w:pPr>
        <w:spacing w:line="240" w:lineRule="auto"/>
        <w:ind w:firstLine="640"/>
        <w:jc w:val="both"/>
      </w:pPr>
      <w:r>
        <w:rPr>
          <w:rFonts w:ascii="仿宋_GB2312" w:hAnsi="仿宋_GB2312" w:eastAsia="仿宋_GB2312"/>
          <w:b w:val="0"/>
          <w:sz w:val="32"/>
        </w:rPr>
        <w:t>三、《支出决算表》</w:t>
      </w:r>
    </w:p>
    <w:p w14:paraId="6823D0B2">
      <w:pPr>
        <w:spacing w:line="240" w:lineRule="auto"/>
        <w:ind w:firstLine="640"/>
        <w:jc w:val="both"/>
      </w:pPr>
      <w:r>
        <w:rPr>
          <w:rFonts w:ascii="仿宋_GB2312" w:hAnsi="仿宋_GB2312" w:eastAsia="仿宋_GB2312"/>
          <w:b w:val="0"/>
          <w:sz w:val="32"/>
        </w:rPr>
        <w:t>四、《财政拨款收入支出决算总表》</w:t>
      </w:r>
    </w:p>
    <w:p w14:paraId="5E4F3F7A">
      <w:pPr>
        <w:spacing w:line="240" w:lineRule="auto"/>
        <w:ind w:firstLine="640"/>
        <w:jc w:val="both"/>
      </w:pPr>
      <w:r>
        <w:rPr>
          <w:rFonts w:ascii="仿宋_GB2312" w:hAnsi="仿宋_GB2312" w:eastAsia="仿宋_GB2312"/>
          <w:b w:val="0"/>
          <w:sz w:val="32"/>
        </w:rPr>
        <w:t>五、《一般公共预算财政拨款支出决算表》</w:t>
      </w:r>
    </w:p>
    <w:p w14:paraId="7A518CD4">
      <w:pPr>
        <w:spacing w:line="240" w:lineRule="auto"/>
        <w:ind w:firstLine="640"/>
        <w:jc w:val="both"/>
      </w:pPr>
      <w:r>
        <w:rPr>
          <w:rFonts w:ascii="仿宋_GB2312" w:hAnsi="仿宋_GB2312" w:eastAsia="仿宋_GB2312"/>
          <w:b w:val="0"/>
          <w:sz w:val="32"/>
        </w:rPr>
        <w:t>六、《一般公共预算财政拨款基本支出决算表》</w:t>
      </w:r>
    </w:p>
    <w:p w14:paraId="2A30270A">
      <w:pPr>
        <w:spacing w:line="240" w:lineRule="auto"/>
        <w:ind w:firstLine="640"/>
        <w:jc w:val="both"/>
      </w:pPr>
      <w:r>
        <w:rPr>
          <w:rFonts w:ascii="仿宋_GB2312" w:hAnsi="仿宋_GB2312" w:eastAsia="仿宋_GB2312"/>
          <w:b w:val="0"/>
          <w:sz w:val="32"/>
        </w:rPr>
        <w:t>七、《政府性基金预算财政拨款收入支出决算表》</w:t>
      </w:r>
    </w:p>
    <w:p w14:paraId="30B6798A">
      <w:pPr>
        <w:spacing w:line="240" w:lineRule="auto"/>
        <w:ind w:firstLine="640"/>
        <w:jc w:val="both"/>
      </w:pPr>
      <w:r>
        <w:rPr>
          <w:rFonts w:ascii="仿宋_GB2312" w:hAnsi="仿宋_GB2312" w:eastAsia="仿宋_GB2312"/>
          <w:b w:val="0"/>
          <w:sz w:val="32"/>
        </w:rPr>
        <w:t>八、《国有资本经营预算财政拨款收入支出决算表》</w:t>
      </w:r>
    </w:p>
    <w:p w14:paraId="20ED397D">
      <w:pPr>
        <w:spacing w:line="240" w:lineRule="auto"/>
        <w:ind w:firstLine="640"/>
        <w:jc w:val="both"/>
      </w:pPr>
      <w:r>
        <w:rPr>
          <w:rFonts w:ascii="仿宋_GB2312" w:hAnsi="仿宋_GB2312" w:eastAsia="仿宋_GB2312"/>
          <w:b w:val="0"/>
          <w:sz w:val="32"/>
        </w:rPr>
        <w:t>九、《财政拨款“三公”经费支出决算表》</w:t>
      </w:r>
    </w:p>
    <w:p w14:paraId="3B34230B">
      <w:pPr>
        <w:spacing w:line="240" w:lineRule="auto"/>
        <w:ind w:firstLine="640"/>
        <w:jc w:val="both"/>
      </w:pPr>
    </w:p>
    <w:p w14:paraId="7A124CBE">
      <w:pPr>
        <w:spacing w:line="240" w:lineRule="auto"/>
        <w:ind w:firstLine="640"/>
        <w:jc w:val="both"/>
      </w:pPr>
    </w:p>
    <w:p w14:paraId="1757C72E">
      <w:pPr>
        <w:spacing w:line="240" w:lineRule="auto"/>
        <w:ind w:firstLine="640"/>
        <w:jc w:val="both"/>
      </w:pPr>
    </w:p>
    <w:p w14:paraId="0519EC8F">
      <w:pPr>
        <w:spacing w:line="240" w:lineRule="auto"/>
        <w:ind w:firstLine="640"/>
        <w:jc w:val="both"/>
      </w:pPr>
    </w:p>
    <w:p w14:paraId="76321EC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EA6E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C50CA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FC50CA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446C3"/>
    <w:rsid w:val="120E0809"/>
    <w:rsid w:val="13AE0EC7"/>
    <w:rsid w:val="15F20A15"/>
    <w:rsid w:val="19071D6C"/>
    <w:rsid w:val="19B5554D"/>
    <w:rsid w:val="1B8F2D19"/>
    <w:rsid w:val="1C317E4F"/>
    <w:rsid w:val="1C472464"/>
    <w:rsid w:val="1DAF458D"/>
    <w:rsid w:val="1E086ACE"/>
    <w:rsid w:val="1E4B5CA5"/>
    <w:rsid w:val="1EAA4A5F"/>
    <w:rsid w:val="1F395ED0"/>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1E132B8"/>
    <w:rsid w:val="322C3FF5"/>
    <w:rsid w:val="326F0A17"/>
    <w:rsid w:val="3277581B"/>
    <w:rsid w:val="33247081"/>
    <w:rsid w:val="34D50630"/>
    <w:rsid w:val="36F02EC9"/>
    <w:rsid w:val="38006E2C"/>
    <w:rsid w:val="3914510A"/>
    <w:rsid w:val="3B1220C9"/>
    <w:rsid w:val="3BE21A41"/>
    <w:rsid w:val="3D5275AC"/>
    <w:rsid w:val="3EA7725F"/>
    <w:rsid w:val="3EC014A1"/>
    <w:rsid w:val="40834692"/>
    <w:rsid w:val="41A72DD6"/>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D15589"/>
    <w:rsid w:val="5FA17648"/>
    <w:rsid w:val="5FD320BD"/>
    <w:rsid w:val="60B13688"/>
    <w:rsid w:val="60DE4D57"/>
    <w:rsid w:val="613409CB"/>
    <w:rsid w:val="61A46A97"/>
    <w:rsid w:val="6296211C"/>
    <w:rsid w:val="62DD7D21"/>
    <w:rsid w:val="653D1756"/>
    <w:rsid w:val="65D97752"/>
    <w:rsid w:val="664C500C"/>
    <w:rsid w:val="67D111AB"/>
    <w:rsid w:val="68DB0208"/>
    <w:rsid w:val="68DF36D5"/>
    <w:rsid w:val="69846A0E"/>
    <w:rsid w:val="69AD798C"/>
    <w:rsid w:val="6A4315BC"/>
    <w:rsid w:val="6B5D66AE"/>
    <w:rsid w:val="6B68175F"/>
    <w:rsid w:val="6B8B5C99"/>
    <w:rsid w:val="6CA7198F"/>
    <w:rsid w:val="6D8919A8"/>
    <w:rsid w:val="6D981C1F"/>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6314</Words>
  <Characters>7160</Characters>
  <Lines>0</Lines>
  <Paragraphs>0</Paragraphs>
  <TotalTime>13</TotalTime>
  <ScaleCrop>false</ScaleCrop>
  <LinksUpToDate>false</LinksUpToDate>
  <CharactersWithSpaces>7168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