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塔什库尔干塔吉克自治县审计局2024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E8C01B4">
      <w:r>
        <w:br w:type="page"/>
      </w:r>
    </w:p>
    <w:p w14:paraId="0B42FA0F">
      <w:pPr>
        <w:spacing w:line="640" w:lineRule="exact"/>
        <w:jc w:val="center"/>
        <w:outlineLvl w:val="1"/>
      </w:pPr>
      <w:r>
        <w:rPr>
          <w:rFonts w:ascii="黑体" w:hAnsi="黑体" w:eastAsia="黑体"/>
          <w:sz w:val="32"/>
        </w:rPr>
        <w:t>第一部分 单位概况</w:t>
      </w:r>
    </w:p>
    <w:p w14:paraId="4F517226">
      <w:pPr>
        <w:spacing w:line="640" w:lineRule="exact"/>
        <w:ind w:firstLine="640"/>
        <w:jc w:val="both"/>
        <w:outlineLvl w:val="2"/>
      </w:pPr>
      <w:r>
        <w:rPr>
          <w:rFonts w:ascii="黑体" w:hAnsi="黑体" w:eastAsia="黑体"/>
          <w:sz w:val="32"/>
        </w:rPr>
        <w:t>一、主要职能</w:t>
      </w:r>
    </w:p>
    <w:p w14:paraId="4B6DAEF9">
      <w:pPr>
        <w:spacing w:line="580" w:lineRule="exact"/>
        <w:ind w:firstLine="640"/>
        <w:jc w:val="both"/>
        <w:rPr>
          <w:rFonts w:hint="eastAsia" w:eastAsia="仿宋_GB2312"/>
          <w:lang w:eastAsia="zh-CN"/>
        </w:rPr>
      </w:pPr>
      <w:r>
        <w:rPr>
          <w:rFonts w:ascii="仿宋_GB2312" w:hAnsi="仿宋_GB2312" w:eastAsia="仿宋_GB2312"/>
          <w:sz w:val="32"/>
        </w:rPr>
        <w:t>塔什库尔干塔吉克自治县审计局（以下简称县审计局）是政府工作部门，为正科级。县委审计委员会办公室设在审计局，接受县委审计委员会的直接领导，承担县委审计委员会办公室具体工作。县审计局贯彻落实党中央、自治区党委、地委关于审计工作的方针政策和决策部署，在履行职责过程中坚持和加强党对审计工作的集中统一领导。主要职责是</w:t>
      </w:r>
      <w:r>
        <w:rPr>
          <w:rFonts w:hint="eastAsia" w:ascii="仿宋_GB2312" w:hAnsi="仿宋_GB2312" w:eastAsia="仿宋_GB2312"/>
          <w:sz w:val="32"/>
          <w:lang w:eastAsia="zh-CN"/>
        </w:rPr>
        <w:t>：</w:t>
      </w:r>
    </w:p>
    <w:p w14:paraId="3AA9E610">
      <w:pPr>
        <w:spacing w:line="580" w:lineRule="exact"/>
        <w:ind w:firstLine="640"/>
        <w:jc w:val="both"/>
      </w:pPr>
      <w:r>
        <w:rPr>
          <w:rFonts w:ascii="仿宋_GB2312" w:hAnsi="仿宋_GB2312" w:eastAsia="仿宋_GB2312"/>
          <w:sz w:val="32"/>
        </w:rPr>
        <w:t>（1）贯彻执行国家有关审计工作的方针政策，按照上级审计机关和当地党政部门的要求，确定年度审计工作重点，编制年度审计项目计划。</w:t>
      </w:r>
    </w:p>
    <w:p w14:paraId="0A03C540">
      <w:pPr>
        <w:spacing w:line="580" w:lineRule="exact"/>
        <w:ind w:firstLine="640"/>
        <w:jc w:val="both"/>
      </w:pPr>
      <w:r>
        <w:rPr>
          <w:rFonts w:ascii="仿宋_GB2312" w:hAnsi="仿宋_GB2312" w:eastAsia="仿宋_GB2312"/>
          <w:sz w:val="32"/>
        </w:rPr>
        <w:t>（2）向县领导报告和向有关单位通报审计情况，并对有关问题提出意见和建议。</w:t>
      </w:r>
    </w:p>
    <w:p w14:paraId="141C5EF2">
      <w:pPr>
        <w:spacing w:line="580" w:lineRule="exact"/>
        <w:ind w:firstLine="640"/>
        <w:jc w:val="both"/>
      </w:pPr>
      <w:r>
        <w:rPr>
          <w:rFonts w:ascii="仿宋_GB2312" w:hAnsi="仿宋_GB2312" w:eastAsia="仿宋_GB2312"/>
          <w:sz w:val="32"/>
        </w:rPr>
        <w:t>（3）依据《中华人民共和国审计法》的规定，直接审计。</w:t>
      </w:r>
    </w:p>
    <w:p w14:paraId="36BB3DFB">
      <w:pPr>
        <w:spacing w:line="580" w:lineRule="exact"/>
        <w:ind w:firstLine="640"/>
        <w:jc w:val="both"/>
      </w:pPr>
      <w:r>
        <w:rPr>
          <w:rFonts w:ascii="仿宋_GB2312" w:hAnsi="仿宋_GB2312" w:eastAsia="仿宋_GB2312"/>
          <w:sz w:val="32"/>
        </w:rPr>
        <w:t>（4）贯彻执行国家财经方针、政策和区域经济调控措施情况的行业审计、专项审计和审计调查。</w:t>
      </w:r>
    </w:p>
    <w:p w14:paraId="69D1C449">
      <w:pPr>
        <w:spacing w:line="580" w:lineRule="exact"/>
        <w:ind w:firstLine="640"/>
        <w:jc w:val="both"/>
      </w:pPr>
      <w:r>
        <w:rPr>
          <w:rFonts w:ascii="仿宋_GB2312" w:hAnsi="仿宋_GB2312" w:eastAsia="仿宋_GB2312"/>
          <w:sz w:val="32"/>
        </w:rPr>
        <w:t>（5）经国家审计署、自治区审计厅授权对对口援疆建设项目进行跟踪审计和竣工（结算）决算审计。</w:t>
      </w:r>
    </w:p>
    <w:p w14:paraId="6FFF484D">
      <w:pPr>
        <w:spacing w:line="580" w:lineRule="exact"/>
        <w:ind w:firstLine="640"/>
        <w:jc w:val="both"/>
      </w:pPr>
      <w:r>
        <w:rPr>
          <w:rFonts w:ascii="仿宋_GB2312" w:hAnsi="仿宋_GB2312" w:eastAsia="仿宋_GB2312"/>
          <w:sz w:val="32"/>
        </w:rPr>
        <w:t>（6）承办上级审计机关和当地党政交办的其他审计事项。</w:t>
      </w:r>
    </w:p>
    <w:p w14:paraId="62DF58E2">
      <w:pPr>
        <w:spacing w:line="640" w:lineRule="exact"/>
        <w:ind w:firstLine="640"/>
        <w:jc w:val="both"/>
        <w:outlineLvl w:val="2"/>
      </w:pPr>
      <w:r>
        <w:rPr>
          <w:rFonts w:ascii="黑体" w:hAnsi="黑体" w:eastAsia="黑体"/>
          <w:sz w:val="32"/>
        </w:rPr>
        <w:t>二、机构设置及人员情况</w:t>
      </w:r>
    </w:p>
    <w:p w14:paraId="6EAAFEF2">
      <w:pPr>
        <w:spacing w:line="580" w:lineRule="exact"/>
        <w:ind w:firstLine="640"/>
        <w:jc w:val="both"/>
      </w:pPr>
      <w:r>
        <w:rPr>
          <w:rFonts w:ascii="仿宋_GB2312" w:hAnsi="仿宋_GB2312" w:eastAsia="仿宋_GB2312"/>
          <w:sz w:val="32"/>
        </w:rPr>
        <w:t>塔什库尔干塔吉克自治县审计局2024年度，实有人数9人，其中：在职人员5人，减少1人；离休人员0人，增加0人；退休人员4人,增加0人。</w:t>
      </w:r>
    </w:p>
    <w:p w14:paraId="1BB4A28C">
      <w:pPr>
        <w:spacing w:line="580" w:lineRule="exact"/>
        <w:ind w:firstLine="640"/>
        <w:jc w:val="both"/>
      </w:pPr>
      <w:r>
        <w:rPr>
          <w:rFonts w:ascii="仿宋_GB2312" w:hAnsi="仿宋_GB2312" w:eastAsia="仿宋_GB2312"/>
          <w:sz w:val="32"/>
        </w:rPr>
        <w:t>单位无下属预算单位，下设3个科室，分别是：综合股、固定资产投资审计股（行政事业股）、经济责任审计股（财政金融审计股）。</w:t>
      </w:r>
    </w:p>
    <w:p w14:paraId="707DAF64">
      <w:r>
        <w:br w:type="page"/>
      </w:r>
    </w:p>
    <w:p w14:paraId="175FACD5">
      <w:pPr>
        <w:spacing w:line="240" w:lineRule="auto"/>
        <w:jc w:val="center"/>
        <w:outlineLvl w:val="1"/>
      </w:pPr>
      <w:r>
        <w:rPr>
          <w:rFonts w:ascii="黑体" w:hAnsi="黑体" w:eastAsia="黑体"/>
          <w:sz w:val="32"/>
        </w:rPr>
        <w:t>第二部分 部门决算情况说明</w:t>
      </w:r>
    </w:p>
    <w:p w14:paraId="7EE340DD">
      <w:pPr>
        <w:spacing w:line="640" w:lineRule="exact"/>
        <w:ind w:firstLine="640"/>
        <w:jc w:val="both"/>
        <w:outlineLvl w:val="2"/>
      </w:pPr>
      <w:r>
        <w:rPr>
          <w:rFonts w:ascii="黑体" w:hAnsi="黑体" w:eastAsia="黑体"/>
          <w:sz w:val="32"/>
        </w:rPr>
        <w:t>一、收入支出决算总体情况说明</w:t>
      </w:r>
    </w:p>
    <w:p w14:paraId="2E315853">
      <w:pPr>
        <w:spacing w:line="580" w:lineRule="exact"/>
        <w:ind w:firstLine="640"/>
        <w:jc w:val="both"/>
      </w:pPr>
      <w:r>
        <w:rPr>
          <w:rFonts w:ascii="仿宋_GB2312" w:hAnsi="仿宋_GB2312" w:eastAsia="仿宋_GB2312"/>
          <w:b/>
          <w:sz w:val="32"/>
        </w:rPr>
        <w:t>2024年度收入总计182.52万元，</w:t>
      </w:r>
      <w:r>
        <w:rPr>
          <w:rFonts w:ascii="仿宋_GB2312" w:hAnsi="仿宋_GB2312" w:eastAsia="仿宋_GB2312"/>
          <w:b w:val="0"/>
          <w:sz w:val="32"/>
        </w:rPr>
        <w:t>其中：本年收入合计182.52万元，使用非财政拨款结余（含专用结余）0.00万元，年初结转和结余0.00万元。</w:t>
      </w:r>
    </w:p>
    <w:p w14:paraId="1C864A3F">
      <w:pPr>
        <w:spacing w:line="580" w:lineRule="exact"/>
        <w:ind w:firstLine="640"/>
        <w:jc w:val="both"/>
      </w:pPr>
      <w:r>
        <w:rPr>
          <w:rFonts w:ascii="仿宋_GB2312" w:hAnsi="仿宋_GB2312" w:eastAsia="仿宋_GB2312"/>
          <w:b/>
          <w:sz w:val="32"/>
        </w:rPr>
        <w:t>2024年度支出总计182.52万元，</w:t>
      </w:r>
      <w:r>
        <w:rPr>
          <w:rFonts w:ascii="仿宋_GB2312" w:hAnsi="仿宋_GB2312" w:eastAsia="仿宋_GB2312"/>
          <w:b w:val="0"/>
          <w:sz w:val="32"/>
        </w:rPr>
        <w:t>其中：本年支出合计182.52万元，结余分配0.00万元，年末结转和结余0.00万元。</w:t>
      </w:r>
    </w:p>
    <w:p w14:paraId="17468E65">
      <w:pPr>
        <w:spacing w:line="580" w:lineRule="exact"/>
        <w:ind w:firstLine="640"/>
        <w:jc w:val="both"/>
      </w:pPr>
      <w:r>
        <w:rPr>
          <w:rFonts w:ascii="仿宋_GB2312" w:hAnsi="仿宋_GB2312" w:eastAsia="仿宋_GB2312"/>
          <w:b w:val="0"/>
          <w:sz w:val="32"/>
        </w:rPr>
        <w:t>收入支出总体与上年相比，减少4.85万元，下降2.59%，主要原因是：本年在职人员减少，相关人员经费减少，年度审计委派项目资金较上年减少。</w:t>
      </w:r>
    </w:p>
    <w:p w14:paraId="0C668979">
      <w:pPr>
        <w:spacing w:line="640" w:lineRule="exact"/>
        <w:ind w:firstLine="640"/>
        <w:jc w:val="both"/>
        <w:outlineLvl w:val="2"/>
      </w:pPr>
      <w:r>
        <w:rPr>
          <w:rFonts w:ascii="黑体" w:hAnsi="黑体" w:eastAsia="黑体"/>
          <w:sz w:val="32"/>
        </w:rPr>
        <w:t>二、收入决算情况说明</w:t>
      </w:r>
    </w:p>
    <w:p w14:paraId="025FB91D">
      <w:pPr>
        <w:spacing w:line="580" w:lineRule="exact"/>
        <w:ind w:firstLine="640"/>
        <w:jc w:val="both"/>
      </w:pPr>
      <w:r>
        <w:rPr>
          <w:rFonts w:ascii="仿宋_GB2312" w:hAnsi="仿宋_GB2312" w:eastAsia="仿宋_GB2312"/>
          <w:b/>
          <w:sz w:val="32"/>
        </w:rPr>
        <w:t>本年收入182.52万元，</w:t>
      </w:r>
      <w:r>
        <w:rPr>
          <w:rFonts w:ascii="仿宋_GB2312" w:hAnsi="仿宋_GB2312" w:eastAsia="仿宋_GB2312"/>
          <w:b w:val="0"/>
          <w:sz w:val="32"/>
        </w:rPr>
        <w:t>其中：财政拨款收入182.52万元，占100.00%；上级补助收入0.00万元，占0.00%；事业收入0.00万元，占0.00%；经营收入0.00万元，占0.00%；附属单位上缴收入0.00万元，占0.00%；其他收入0.00万元，占0.00%。</w:t>
      </w:r>
    </w:p>
    <w:p w14:paraId="0FED18FB">
      <w:pPr>
        <w:spacing w:line="640" w:lineRule="exact"/>
        <w:ind w:firstLine="640"/>
        <w:jc w:val="both"/>
        <w:outlineLvl w:val="2"/>
      </w:pPr>
      <w:r>
        <w:rPr>
          <w:rFonts w:ascii="黑体" w:hAnsi="黑体" w:eastAsia="黑体"/>
          <w:sz w:val="32"/>
        </w:rPr>
        <w:t>三、支出决算情况说明</w:t>
      </w:r>
    </w:p>
    <w:p w14:paraId="64E22669">
      <w:pPr>
        <w:spacing w:line="580" w:lineRule="exact"/>
        <w:ind w:firstLine="640"/>
        <w:jc w:val="both"/>
      </w:pPr>
      <w:r>
        <w:rPr>
          <w:rFonts w:ascii="仿宋_GB2312" w:hAnsi="仿宋_GB2312" w:eastAsia="仿宋_GB2312"/>
          <w:b/>
          <w:sz w:val="32"/>
        </w:rPr>
        <w:t>本年支出182.52万元，</w:t>
      </w:r>
      <w:r>
        <w:rPr>
          <w:rFonts w:ascii="仿宋_GB2312" w:hAnsi="仿宋_GB2312" w:eastAsia="仿宋_GB2312"/>
          <w:b w:val="0"/>
          <w:sz w:val="32"/>
        </w:rPr>
        <w:t>其中：基本支出158.02万元，占86.58%；项目支出24.50万元，占13.42%；上缴上级支出0.00万元，占0.00%；经营支出0.00万元，占0.00%；对附属单位补助支出0.00万元，占0.00%。</w:t>
      </w:r>
    </w:p>
    <w:p w14:paraId="1028D891">
      <w:pPr>
        <w:spacing w:line="640" w:lineRule="exact"/>
        <w:ind w:firstLine="640"/>
        <w:jc w:val="both"/>
        <w:outlineLvl w:val="2"/>
      </w:pPr>
      <w:r>
        <w:rPr>
          <w:rFonts w:ascii="黑体" w:hAnsi="黑体" w:eastAsia="黑体"/>
          <w:sz w:val="32"/>
        </w:rPr>
        <w:t>四、财政拨款收入支出决算总体情况说明</w:t>
      </w:r>
    </w:p>
    <w:p w14:paraId="028B5DB1">
      <w:pPr>
        <w:spacing w:line="580" w:lineRule="exact"/>
        <w:ind w:firstLine="640"/>
        <w:jc w:val="both"/>
      </w:pPr>
      <w:r>
        <w:rPr>
          <w:rFonts w:ascii="仿宋_GB2312" w:hAnsi="仿宋_GB2312" w:eastAsia="仿宋_GB2312"/>
          <w:b/>
          <w:sz w:val="32"/>
        </w:rPr>
        <w:t>2024年度财政拨款收入总计182.52万元，</w:t>
      </w:r>
      <w:r>
        <w:rPr>
          <w:rFonts w:ascii="仿宋_GB2312" w:hAnsi="仿宋_GB2312" w:eastAsia="仿宋_GB2312"/>
          <w:b w:val="0"/>
          <w:sz w:val="32"/>
        </w:rPr>
        <w:t>其中：年初财政拨款结转和结余0.00万元，本年财政拨款收入182.52万元。</w:t>
      </w:r>
      <w:r>
        <w:rPr>
          <w:rFonts w:ascii="仿宋_GB2312" w:hAnsi="仿宋_GB2312" w:eastAsia="仿宋_GB2312"/>
          <w:b/>
          <w:sz w:val="32"/>
        </w:rPr>
        <w:t>财政拨款支出总计182.52万元，</w:t>
      </w:r>
      <w:r>
        <w:rPr>
          <w:rFonts w:ascii="仿宋_GB2312" w:hAnsi="仿宋_GB2312" w:eastAsia="仿宋_GB2312"/>
          <w:b w:val="0"/>
          <w:sz w:val="32"/>
        </w:rPr>
        <w:t>其中：年末财政拨款结转和结余0.00万元，本年财政拨款支出182.52万元。</w:t>
      </w:r>
    </w:p>
    <w:p w14:paraId="181153D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减少4.85万元，下降2.59%，主要原因是：本年在职人员减少，相关人员经费减少，</w:t>
      </w:r>
      <w:r>
        <w:rPr>
          <w:rFonts w:hint="eastAsia" w:ascii="仿宋_GB2312" w:hAnsi="仿宋_GB2312" w:eastAsia="仿宋_GB2312"/>
          <w:b w:val="0"/>
          <w:sz w:val="32"/>
          <w:lang w:val="en-US" w:eastAsia="zh-CN"/>
        </w:rPr>
        <w:t>本年</w:t>
      </w:r>
      <w:r>
        <w:rPr>
          <w:rFonts w:ascii="仿宋_GB2312" w:hAnsi="仿宋_GB2312" w:eastAsia="仿宋_GB2312"/>
          <w:b w:val="0"/>
          <w:sz w:val="32"/>
        </w:rPr>
        <w:t>审计委派项目资金较上年减少。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年初预算数170.99万元，决算数182.52万元，预决算差异率6.74%，主要原因是：年中追加农业农村局经责项目和为民办实事工作经费项目。</w:t>
      </w:r>
    </w:p>
    <w:p w14:paraId="509C8E75">
      <w:pPr>
        <w:spacing w:line="640" w:lineRule="exact"/>
        <w:ind w:firstLine="640"/>
        <w:jc w:val="both"/>
        <w:outlineLvl w:val="2"/>
      </w:pPr>
      <w:r>
        <w:rPr>
          <w:rFonts w:ascii="黑体" w:hAnsi="黑体" w:eastAsia="黑体"/>
          <w:sz w:val="32"/>
        </w:rPr>
        <w:t>五、一般公共预算财政拨款支出决算情况说明</w:t>
      </w:r>
    </w:p>
    <w:p w14:paraId="473AC47D">
      <w:pPr>
        <w:spacing w:line="640" w:lineRule="exact"/>
        <w:ind w:firstLine="640"/>
        <w:jc w:val="both"/>
        <w:outlineLvl w:val="3"/>
      </w:pPr>
      <w:r>
        <w:rPr>
          <w:rFonts w:ascii="楷体_GB2312" w:hAnsi="楷体_GB2312" w:eastAsia="楷体_GB2312"/>
          <w:b/>
          <w:sz w:val="32"/>
        </w:rPr>
        <w:t>（一）一般公共预算财政拨款支出决算总体情况</w:t>
      </w:r>
    </w:p>
    <w:p w14:paraId="43352C71">
      <w:pPr>
        <w:spacing w:line="580" w:lineRule="exact"/>
        <w:ind w:firstLine="640"/>
        <w:jc w:val="both"/>
      </w:pPr>
      <w:r>
        <w:rPr>
          <w:rFonts w:ascii="仿宋_GB2312" w:hAnsi="仿宋_GB2312" w:eastAsia="仿宋_GB2312"/>
          <w:b/>
          <w:sz w:val="32"/>
        </w:rPr>
        <w:t>2024年度一般公共预算财政拨款支出182.52万元，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减少4.85万元，下降2.59%，主要原因是：本年在职人员减少，相关人员经费减少，</w:t>
      </w:r>
      <w:r>
        <w:rPr>
          <w:rFonts w:hint="eastAsia" w:ascii="仿宋_GB2312" w:hAnsi="仿宋_GB2312" w:eastAsia="仿宋_GB2312"/>
          <w:b w:val="0"/>
          <w:sz w:val="32"/>
          <w:lang w:val="en-US" w:eastAsia="zh-CN"/>
        </w:rPr>
        <w:t>本年</w:t>
      </w:r>
      <w:r>
        <w:rPr>
          <w:rFonts w:ascii="仿宋_GB2312" w:hAnsi="仿宋_GB2312" w:eastAsia="仿宋_GB2312"/>
          <w:b w:val="0"/>
          <w:sz w:val="32"/>
        </w:rPr>
        <w:t>审计委派项目资金较上年减少。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年初预算数170.99万元，决算数182.52万元，预决算差异率6.74%，主要原因是：年中追加农业农村局经责项目和为民办实事工作经费项目。</w:t>
      </w:r>
    </w:p>
    <w:p w14:paraId="2DDC486F">
      <w:pPr>
        <w:spacing w:line="640" w:lineRule="exact"/>
        <w:ind w:firstLine="640"/>
        <w:jc w:val="both"/>
        <w:outlineLvl w:val="3"/>
      </w:pPr>
      <w:r>
        <w:rPr>
          <w:rFonts w:ascii="楷体_GB2312" w:hAnsi="楷体_GB2312" w:eastAsia="楷体_GB2312"/>
          <w:b/>
          <w:sz w:val="32"/>
        </w:rPr>
        <w:t>（二）一般公共预算财政拨款支出决算结构情况</w:t>
      </w:r>
    </w:p>
    <w:p w14:paraId="4B67875D">
      <w:pPr>
        <w:spacing w:line="580" w:lineRule="exact"/>
        <w:ind w:firstLine="640"/>
        <w:jc w:val="both"/>
      </w:pPr>
      <w:r>
        <w:rPr>
          <w:rFonts w:ascii="仿宋_GB2312" w:hAnsi="仿宋_GB2312" w:eastAsia="仿宋_GB2312"/>
          <w:b w:val="0"/>
          <w:sz w:val="32"/>
        </w:rPr>
        <w:t>1.一般公共服务支出(类)136.82万元,占74.96%。</w:t>
      </w:r>
    </w:p>
    <w:p w14:paraId="57C1EAAA">
      <w:pPr>
        <w:spacing w:line="580" w:lineRule="exact"/>
        <w:ind w:firstLine="640"/>
        <w:jc w:val="both"/>
      </w:pPr>
      <w:r>
        <w:rPr>
          <w:rFonts w:ascii="仿宋_GB2312" w:hAnsi="仿宋_GB2312" w:eastAsia="仿宋_GB2312"/>
          <w:b w:val="0"/>
          <w:sz w:val="32"/>
        </w:rPr>
        <w:t>2.社会保障和就业支出(类)20.40万元,占11.18%。</w:t>
      </w:r>
    </w:p>
    <w:p w14:paraId="42F6AC23">
      <w:pPr>
        <w:spacing w:line="580" w:lineRule="exact"/>
        <w:ind w:firstLine="640"/>
        <w:jc w:val="both"/>
      </w:pPr>
      <w:r>
        <w:rPr>
          <w:rFonts w:ascii="仿宋_GB2312" w:hAnsi="仿宋_GB2312" w:eastAsia="仿宋_GB2312"/>
          <w:b w:val="0"/>
          <w:sz w:val="32"/>
        </w:rPr>
        <w:t>3.卫生健康支出(类)7.80万元,占4.27%。</w:t>
      </w:r>
    </w:p>
    <w:p w14:paraId="6D439D6A">
      <w:pPr>
        <w:spacing w:line="580" w:lineRule="exact"/>
        <w:ind w:firstLine="640"/>
        <w:jc w:val="both"/>
      </w:pPr>
      <w:r>
        <w:rPr>
          <w:rFonts w:ascii="仿宋_GB2312" w:hAnsi="仿宋_GB2312" w:eastAsia="仿宋_GB2312"/>
          <w:b w:val="0"/>
          <w:sz w:val="32"/>
        </w:rPr>
        <w:t>4.住房保障支出(类)12.51万元,占6.85%。</w:t>
      </w:r>
    </w:p>
    <w:p w14:paraId="729FBBAD">
      <w:pPr>
        <w:spacing w:line="580" w:lineRule="exact"/>
        <w:ind w:firstLine="640"/>
        <w:jc w:val="both"/>
      </w:pPr>
      <w:r>
        <w:rPr>
          <w:rFonts w:ascii="仿宋_GB2312" w:hAnsi="仿宋_GB2312" w:eastAsia="仿宋_GB2312"/>
          <w:b w:val="0"/>
          <w:sz w:val="32"/>
        </w:rPr>
        <w:t>5.其他支出(类)5.00万元,占2.74%。</w:t>
      </w:r>
    </w:p>
    <w:p w14:paraId="328B93E9">
      <w:pPr>
        <w:spacing w:line="640" w:lineRule="exact"/>
        <w:ind w:firstLine="640"/>
        <w:jc w:val="both"/>
        <w:outlineLvl w:val="3"/>
      </w:pPr>
      <w:r>
        <w:rPr>
          <w:rFonts w:ascii="楷体_GB2312" w:hAnsi="楷体_GB2312" w:eastAsia="楷体_GB2312"/>
          <w:b/>
          <w:sz w:val="32"/>
        </w:rPr>
        <w:t>（三）一般公共预算财政拨款支出决算具体情况</w:t>
      </w:r>
    </w:p>
    <w:p w14:paraId="04AAAA8D">
      <w:pPr>
        <w:spacing w:line="580" w:lineRule="exact"/>
        <w:ind w:firstLine="640"/>
        <w:jc w:val="both"/>
      </w:pPr>
      <w:r>
        <w:rPr>
          <w:rFonts w:ascii="仿宋_GB2312" w:hAnsi="仿宋_GB2312" w:eastAsia="仿宋_GB2312"/>
          <w:b w:val="0"/>
          <w:sz w:val="32"/>
        </w:rPr>
        <w:t>1.一般公共服务支出(类)审计事务(款)行政运行(项):支出决算数为100.56万元，比上年决算增加2.58万元，增长2.63%,主要原因是：本年在职人员工资调增，导致相关人员经费较上年有所增加。</w:t>
      </w:r>
    </w:p>
    <w:p w14:paraId="06E00764">
      <w:pPr>
        <w:spacing w:line="580" w:lineRule="exact"/>
        <w:ind w:firstLine="640"/>
        <w:jc w:val="both"/>
      </w:pPr>
      <w:r>
        <w:rPr>
          <w:rFonts w:ascii="仿宋_GB2312" w:hAnsi="仿宋_GB2312" w:eastAsia="仿宋_GB2312"/>
          <w:b w:val="0"/>
          <w:sz w:val="32"/>
        </w:rPr>
        <w:t>2.一般公共服务支出(类)审计事务(款)审计业务(项):支出决算数为19.50万元，比上年决算减少14.00万元，下降41.79%,主要原因是：本年减少审计业务委派服务费。</w:t>
      </w:r>
    </w:p>
    <w:p w14:paraId="6BF58190">
      <w:pPr>
        <w:spacing w:line="580" w:lineRule="exact"/>
        <w:ind w:firstLine="640"/>
        <w:jc w:val="both"/>
      </w:pPr>
      <w:r>
        <w:rPr>
          <w:rFonts w:ascii="仿宋_GB2312" w:hAnsi="仿宋_GB2312" w:eastAsia="仿宋_GB2312"/>
          <w:b w:val="0"/>
          <w:sz w:val="32"/>
        </w:rPr>
        <w:t>3.一般公共服务支出(类)审计事务(款)事业运行(项):支出决算数为16.76万元，比上年决算减少1.36万元，下降7.51%,主要原因是：本年在职人员减少，相应人员经费较上年减少。</w:t>
      </w:r>
    </w:p>
    <w:p w14:paraId="3B627381">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4.社会保障和就业支出(类)行政事业单位养老支出(款)行政单位离退休(项):支出决算数为5.73万元，比上年决算增加2.17万元，增长60.96%,主要原因是：本年增加退休人员基础绩效奖，退休费支出增加。</w:t>
      </w:r>
    </w:p>
    <w:p w14:paraId="003DDD50">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14.67万元，比上年决算增加1.86万元，增长14.52%,主要原因是：本年在职人员工资基数调增，养老缴费基数上涨，相应支出增加。</w:t>
      </w:r>
    </w:p>
    <w:p w14:paraId="5588C130">
      <w:pPr>
        <w:spacing w:line="580" w:lineRule="exact"/>
        <w:ind w:firstLine="640"/>
        <w:jc w:val="both"/>
      </w:pPr>
      <w:r>
        <w:rPr>
          <w:rFonts w:ascii="仿宋_GB2312" w:hAnsi="仿宋_GB2312" w:eastAsia="仿宋_GB2312"/>
          <w:b w:val="0"/>
          <w:sz w:val="32"/>
        </w:rPr>
        <w:t>6.卫生健康支出(类)行政事业单位医疗(款)行政单位医疗(项):支出决算数为6.23万元，比上年决算减少2.22万元，下降26.27%,主要原因是：本年在职人员减少，行政单位医疗较上年减少。</w:t>
      </w:r>
    </w:p>
    <w:p w14:paraId="6F61151E">
      <w:pPr>
        <w:spacing w:line="580" w:lineRule="exact"/>
        <w:ind w:firstLine="640"/>
        <w:jc w:val="both"/>
      </w:pPr>
      <w:r>
        <w:rPr>
          <w:rFonts w:ascii="仿宋_GB2312" w:hAnsi="仿宋_GB2312" w:eastAsia="仿宋_GB2312"/>
          <w:b w:val="0"/>
          <w:sz w:val="32"/>
        </w:rPr>
        <w:t>7.卫生健康支出(类)行政事业单位医疗(款)公务员医疗补助(项):支出决算数为1.57万元，比上年决算减少0.54万元，下降25.59%,主要原因是：本年在职人员减少，公务员医疗补助较上年减少。</w:t>
      </w:r>
    </w:p>
    <w:p w14:paraId="4AE1A9A9">
      <w:pPr>
        <w:spacing w:line="580" w:lineRule="exact"/>
        <w:ind w:firstLine="640"/>
        <w:jc w:val="both"/>
      </w:pPr>
      <w:r>
        <w:rPr>
          <w:rFonts w:ascii="仿宋_GB2312" w:hAnsi="仿宋_GB2312" w:eastAsia="仿宋_GB2312"/>
          <w:b w:val="0"/>
          <w:sz w:val="32"/>
        </w:rPr>
        <w:t>8.住房保障支出(类)住房改革支出(款)住房公积金(项):支出决算数为12.51万元，比上年决算增加1.67万元，增长15.41%,主要原因是：本年在职人员工资基数调增，公积金缴费基数上涨，相应支出增加。</w:t>
      </w:r>
    </w:p>
    <w:p w14:paraId="05B20483">
      <w:pPr>
        <w:spacing w:line="580" w:lineRule="exact"/>
        <w:ind w:firstLine="640"/>
        <w:jc w:val="both"/>
      </w:pPr>
      <w:r>
        <w:rPr>
          <w:rFonts w:ascii="仿宋_GB2312" w:hAnsi="仿宋_GB2312" w:eastAsia="仿宋_GB2312"/>
          <w:b w:val="0"/>
          <w:sz w:val="32"/>
        </w:rPr>
        <w:t>9.其他支出(类)其他支出(款)其他支出(项):支出决算数为5.00万元，比上年决算增加5.00万元，增长100.00%,主要原因是：增加为民办实事经费项目。</w:t>
      </w:r>
    </w:p>
    <w:p w14:paraId="03C3BED4">
      <w:pPr>
        <w:spacing w:line="640" w:lineRule="exact"/>
        <w:ind w:firstLine="640"/>
        <w:jc w:val="both"/>
        <w:outlineLvl w:val="2"/>
      </w:pPr>
      <w:r>
        <w:rPr>
          <w:rFonts w:ascii="黑体" w:hAnsi="黑体" w:eastAsia="黑体"/>
          <w:sz w:val="32"/>
        </w:rPr>
        <w:t>六、一般公共预算财政拨款基本支出决算情况说明</w:t>
      </w:r>
    </w:p>
    <w:p w14:paraId="73D8F2A0">
      <w:pPr>
        <w:spacing w:line="580" w:lineRule="exact"/>
        <w:ind w:firstLine="640"/>
        <w:jc w:val="both"/>
      </w:pPr>
      <w:r>
        <w:rPr>
          <w:rFonts w:ascii="仿宋_GB2312" w:hAnsi="仿宋_GB2312" w:eastAsia="仿宋_GB2312"/>
          <w:b w:val="0"/>
          <w:sz w:val="32"/>
        </w:rPr>
        <w:t>2024年度一般公共预算财政拨款基本支出158.02万元，其中：</w:t>
      </w:r>
      <w:r>
        <w:rPr>
          <w:rFonts w:ascii="仿宋_GB2312" w:hAnsi="仿宋_GB2312" w:eastAsia="仿宋_GB2312"/>
          <w:b/>
          <w:sz w:val="32"/>
        </w:rPr>
        <w:t>人员经费154.78万元，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w:t>
      </w:r>
    </w:p>
    <w:p w14:paraId="6EA377B6">
      <w:pPr>
        <w:spacing w:line="580" w:lineRule="exact"/>
        <w:ind w:firstLine="640"/>
        <w:jc w:val="both"/>
      </w:pPr>
      <w:r>
        <w:rPr>
          <w:rFonts w:ascii="仿宋_GB2312" w:hAnsi="仿宋_GB2312" w:eastAsia="仿宋_GB2312"/>
          <w:b/>
          <w:sz w:val="32"/>
        </w:rPr>
        <w:t>公用经费3.24万元，</w:t>
      </w:r>
      <w:r>
        <w:rPr>
          <w:rFonts w:ascii="仿宋_GB2312" w:hAnsi="仿宋_GB2312" w:eastAsia="仿宋_GB2312"/>
          <w:b w:val="0"/>
          <w:sz w:val="32"/>
        </w:rPr>
        <w:t>包括：办公费、取暖费、公务用车运行维护费。</w:t>
      </w:r>
    </w:p>
    <w:p w14:paraId="6BA12C8A">
      <w:pPr>
        <w:spacing w:line="640" w:lineRule="exact"/>
        <w:ind w:firstLine="640"/>
        <w:jc w:val="both"/>
        <w:outlineLvl w:val="2"/>
      </w:pPr>
      <w:r>
        <w:rPr>
          <w:rFonts w:ascii="黑体" w:hAnsi="黑体" w:eastAsia="黑体"/>
          <w:sz w:val="32"/>
        </w:rPr>
        <w:t>七、政府性基金预算财政拨款收入支出决算情况说明</w:t>
      </w:r>
    </w:p>
    <w:p w14:paraId="3EF7367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6B3758B">
      <w:pPr>
        <w:spacing w:line="640" w:lineRule="exact"/>
        <w:ind w:firstLine="640"/>
        <w:jc w:val="both"/>
        <w:outlineLvl w:val="2"/>
      </w:pPr>
      <w:r>
        <w:rPr>
          <w:rFonts w:ascii="黑体" w:hAnsi="黑体" w:eastAsia="黑体"/>
          <w:sz w:val="32"/>
        </w:rPr>
        <w:t>八、国有资本经营预算财政拨款收入支出决算情况说明</w:t>
      </w:r>
    </w:p>
    <w:p w14:paraId="6B2AE5B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427F70F">
      <w:pPr>
        <w:spacing w:line="640" w:lineRule="exact"/>
        <w:ind w:firstLine="640"/>
        <w:jc w:val="both"/>
        <w:outlineLvl w:val="2"/>
      </w:pPr>
      <w:r>
        <w:rPr>
          <w:rFonts w:ascii="黑体" w:hAnsi="黑体" w:eastAsia="黑体"/>
          <w:sz w:val="32"/>
        </w:rPr>
        <w:t>九、财政拨款“三公”经费支出决算情况说明</w:t>
      </w:r>
    </w:p>
    <w:p w14:paraId="45CD47DE">
      <w:pPr>
        <w:spacing w:line="580" w:lineRule="exact"/>
        <w:ind w:firstLine="640"/>
        <w:jc w:val="both"/>
      </w:pPr>
      <w:r>
        <w:rPr>
          <w:rFonts w:ascii="仿宋_GB2312" w:hAnsi="仿宋_GB2312" w:eastAsia="仿宋_GB2312"/>
          <w:b/>
          <w:sz w:val="32"/>
        </w:rPr>
        <w:t>2024年度财政拨款“三公”经费支出1.40万元，</w:t>
      </w:r>
      <w:r>
        <w:rPr>
          <w:rFonts w:ascii="仿宋_GB2312" w:hAnsi="仿宋_GB2312" w:eastAsia="仿宋_GB2312"/>
          <w:b w:val="0"/>
          <w:sz w:val="32"/>
        </w:rPr>
        <w:t>比上年增加0.36万元，增长34.62%，主要原因是：本年因开展各项审计业务工作和为民办实事工作等业务需求，用车次数增加，燃油费增加，车辆行程增加，导致公务用车运行维护费较上年增加。其中：因公出国（境）费支出0.00万元，占0.00%，比上年增加0.00万元，增长0.00%，主要原因是：2023年与2024年均未安排因公出国（境）费支出。公务用车购置及运行维护费支出1.40万元，占100.00%，比上年增加0.36万元，增长34.62%，主要原因是：本年因开展各项审计业务工作和为民办实事工作等业务需求，用车次数增加，燃油费增加，车辆行程增加，导致公务用车运行维护费较上年增加。公务接待费支出0.00万元，占0.00%，比上年增加0.00万元，增长0.00%，主要原因是：2023年与2024年均未安排公务接待费支出。</w:t>
      </w:r>
    </w:p>
    <w:p w14:paraId="6DF96B67">
      <w:pPr>
        <w:spacing w:line="580" w:lineRule="exact"/>
        <w:ind w:firstLine="640"/>
        <w:jc w:val="both"/>
      </w:pPr>
      <w:r>
        <w:rPr>
          <w:rFonts w:ascii="仿宋_GB2312" w:hAnsi="仿宋_GB2312" w:eastAsia="仿宋_GB2312"/>
          <w:b/>
          <w:sz w:val="32"/>
        </w:rPr>
        <w:t>具体情况如下：</w:t>
      </w:r>
    </w:p>
    <w:p w14:paraId="1CAA3AB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3224D68">
      <w:pPr>
        <w:spacing w:line="580" w:lineRule="exact"/>
        <w:ind w:firstLine="640"/>
        <w:jc w:val="both"/>
      </w:pPr>
      <w:r>
        <w:rPr>
          <w:rFonts w:ascii="仿宋_GB2312" w:hAnsi="仿宋_GB2312" w:eastAsia="仿宋_GB2312"/>
          <w:b w:val="0"/>
          <w:sz w:val="32"/>
        </w:rPr>
        <w:t>公务用车购置及运行维护费1.40万元，其中：公务用车购置费0.00万元，公务用车运行维护费1.40万元。公务用车运行维护费开支内容包括车辆加油费、维修费、保险费。公务用车购置数0辆，公务用车保有量1辆。国有资产占用情况中固定资产车辆1辆，与公务用车保有量差异原因是：本单位固定资产车辆与公务用车保有量一致无差异。</w:t>
      </w:r>
    </w:p>
    <w:p w14:paraId="0B2931E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E8519C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1.40万元，决算数1.40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1.40万元，决算数1.40万元，预决算差异率0.00%，主要原因是：严格按照预算执行，预决算无差异。公务接待费全年预算数0.00万元，决算数0.00万元，预决算差异率0.00%，主要原因是：本单位无公务接待费。</w:t>
      </w:r>
    </w:p>
    <w:p w14:paraId="3AF833FC">
      <w:pPr>
        <w:spacing w:line="640" w:lineRule="exact"/>
        <w:ind w:firstLine="640"/>
        <w:jc w:val="both"/>
        <w:outlineLvl w:val="2"/>
      </w:pPr>
      <w:r>
        <w:rPr>
          <w:rFonts w:ascii="黑体" w:hAnsi="黑体" w:eastAsia="黑体"/>
          <w:sz w:val="32"/>
        </w:rPr>
        <w:t>十、其他重要事项的情况说明</w:t>
      </w:r>
    </w:p>
    <w:p w14:paraId="3DC8CC9E">
      <w:pPr>
        <w:spacing w:line="640" w:lineRule="exact"/>
        <w:ind w:firstLine="640"/>
        <w:jc w:val="both"/>
        <w:outlineLvl w:val="3"/>
      </w:pPr>
      <w:r>
        <w:rPr>
          <w:rFonts w:ascii="楷体_GB2312" w:hAnsi="楷体_GB2312" w:eastAsia="楷体_GB2312"/>
          <w:b/>
          <w:sz w:val="32"/>
        </w:rPr>
        <w:t>（一）机关运行经费及公用经费支出情况</w:t>
      </w:r>
    </w:p>
    <w:p w14:paraId="1AA5809D">
      <w:pPr>
        <w:spacing w:line="580" w:lineRule="exact"/>
        <w:ind w:firstLine="640"/>
        <w:jc w:val="both"/>
      </w:pPr>
      <w:r>
        <w:rPr>
          <w:rFonts w:ascii="仿宋_GB2312" w:hAnsi="仿宋_GB2312" w:eastAsia="仿宋_GB2312"/>
          <w:b w:val="0"/>
          <w:sz w:val="32"/>
        </w:rPr>
        <w:t>2024年度塔什库尔干塔吉克自治县审计局（行政单位和参照公务员法管理事业单位）机关运行经费支出3.24万元，比上年增加0.36万元，增长12.50%，主要原因是：本年因开展各项审计业务工作和为民办实事工作等业务需求，用车次数增加，燃油费增加，车辆行程增加，导致公务用车运行维护费较上年增加。</w:t>
      </w:r>
    </w:p>
    <w:p w14:paraId="0192FA1F">
      <w:pPr>
        <w:spacing w:line="640" w:lineRule="exact"/>
        <w:ind w:firstLine="640"/>
        <w:jc w:val="both"/>
        <w:outlineLvl w:val="3"/>
      </w:pPr>
      <w:r>
        <w:rPr>
          <w:rFonts w:ascii="楷体_GB2312" w:hAnsi="楷体_GB2312" w:eastAsia="楷体_GB2312"/>
          <w:b/>
          <w:sz w:val="32"/>
        </w:rPr>
        <w:t>（二）政府采购情况</w:t>
      </w:r>
    </w:p>
    <w:p w14:paraId="297377D1">
      <w:pPr>
        <w:spacing w:line="580" w:lineRule="exact"/>
        <w:ind w:firstLine="640"/>
        <w:jc w:val="both"/>
      </w:pPr>
      <w:r>
        <w:rPr>
          <w:rFonts w:ascii="仿宋_GB2312" w:hAnsi="仿宋_GB2312" w:eastAsia="仿宋_GB2312"/>
          <w:b w:val="0"/>
          <w:sz w:val="32"/>
        </w:rPr>
        <w:t>2024年度政府采购支出总额6.35万元，其中：政府采购货物支出5.99万元、政府采购工程支出0.00万元、政府采购服务支出0.35万元。</w:t>
      </w:r>
    </w:p>
    <w:p w14:paraId="6DF96966">
      <w:pPr>
        <w:spacing w:line="580" w:lineRule="exact"/>
        <w:ind w:firstLine="640"/>
        <w:jc w:val="both"/>
      </w:pPr>
      <w:r>
        <w:rPr>
          <w:rFonts w:ascii="仿宋_GB2312" w:hAnsi="仿宋_GB2312" w:eastAsia="仿宋_GB2312"/>
          <w:b w:val="0"/>
          <w:sz w:val="32"/>
        </w:rPr>
        <w:t>授予中小企业合同金额6.35万元，占政府采购支出总额的100.00%，其中：授予小微企业合同金额6.35万元，占政府采购支出总额的100.00%。</w:t>
      </w:r>
    </w:p>
    <w:p w14:paraId="57676BAD">
      <w:pPr>
        <w:spacing w:line="640" w:lineRule="exact"/>
        <w:ind w:firstLine="640"/>
        <w:jc w:val="both"/>
        <w:outlineLvl w:val="3"/>
      </w:pPr>
      <w:r>
        <w:rPr>
          <w:rFonts w:ascii="楷体_GB2312" w:hAnsi="楷体_GB2312" w:eastAsia="楷体_GB2312"/>
          <w:b/>
          <w:sz w:val="32"/>
        </w:rPr>
        <w:t>（三）国有资产占用情况说明</w:t>
      </w:r>
    </w:p>
    <w:p w14:paraId="6F39793B">
      <w:pPr>
        <w:spacing w:line="580" w:lineRule="exact"/>
        <w:ind w:firstLine="640"/>
        <w:jc w:val="both"/>
      </w:pPr>
      <w:r>
        <w:rPr>
          <w:rFonts w:ascii="仿宋_GB2312" w:hAnsi="仿宋_GB2312" w:eastAsia="仿宋_GB2312"/>
          <w:b w:val="0"/>
          <w:sz w:val="32"/>
        </w:rPr>
        <w:t>截至2024年12月31日，房屋0.00平方米，价值0.00万元。车辆1辆，价值10.78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1684030A">
      <w:pPr>
        <w:spacing w:line="640" w:lineRule="exact"/>
        <w:ind w:firstLine="640"/>
        <w:jc w:val="both"/>
        <w:outlineLvl w:val="2"/>
      </w:pPr>
      <w:r>
        <w:rPr>
          <w:rFonts w:ascii="黑体" w:hAnsi="黑体" w:eastAsia="黑体"/>
          <w:sz w:val="32"/>
        </w:rPr>
        <w:t>十一、预算绩效的情况说明</w:t>
      </w:r>
    </w:p>
    <w:p w14:paraId="30F5DB4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182.52万元，实际执行总额182.52万元；预算绩效评价项目4个，全年预算数24.50万元，全年执行数24.50万元。预算绩效管理取得的成效：我单位应严格按照计划时间在规定的时间内完成所有项目的审计工作并且出具审计报告。紧紧围绕党中央最关心、人民群众最关切的问题</w:t>
      </w:r>
      <w:r>
        <w:rPr>
          <w:rFonts w:hint="eastAsia" w:ascii="仿宋_GB2312" w:hAnsi="仿宋_GB2312" w:eastAsia="仿宋_GB2312"/>
          <w:b w:val="0"/>
          <w:sz w:val="32"/>
          <w:lang w:eastAsia="zh-CN"/>
        </w:rPr>
        <w:t>谋划</w:t>
      </w:r>
      <w:r>
        <w:rPr>
          <w:rFonts w:ascii="仿宋_GB2312" w:hAnsi="仿宋_GB2312" w:eastAsia="仿宋_GB2312"/>
          <w:b w:val="0"/>
          <w:sz w:val="32"/>
        </w:rPr>
        <w:t>审计工作，坚持把思想和行动统一到县委、县政府和上级审计机关对审计工作的决策部署上来,把服务好县委、县政府中心工作和完成好上级审计机关部署任务有机统一起来。坚持监督与服务并重,在严肃查处和揭露违法违规问</w:t>
      </w:r>
      <w:r>
        <w:rPr>
          <w:rFonts w:hint="eastAsia" w:ascii="仿宋_GB2312" w:hAnsi="仿宋_GB2312" w:eastAsia="仿宋_GB2312"/>
          <w:b w:val="0"/>
          <w:sz w:val="32"/>
          <w:lang w:eastAsia="zh-CN"/>
        </w:rPr>
        <w:t>题的</w:t>
      </w:r>
      <w:r>
        <w:rPr>
          <w:rFonts w:ascii="仿宋_GB2312" w:hAnsi="仿宋_GB2312" w:eastAsia="仿宋_GB2312"/>
          <w:b w:val="0"/>
          <w:sz w:val="32"/>
        </w:rPr>
        <w:t>同时,帮助被审计单位查找管理漏洞,健全完善各项内控管理制度，积极拓展审计监督的广度和深度，切实提高审计监督质效。发现的问题及原因：县审计局2024 年年初在制定审计项目计划（草案）时，计划实施审计项目 14 个，对照上级审计机关下达的审计项目计划以及经县委审计委员会审议，最终确定为 19 个审计项目,导致出现偏差，在下一年设置指标时应考虑意外因素防止出现指标年底未完成。下一步改进措施：一是在下一年设置指标时，我单位将落实年初预算设置精准性，把控好资金与指标的设置问题，避免出现指标设置过高完不成或者指标设置过低。二是我局将根据全年工作实际，精准制定绩效目标指标，对目标值的设定参照历年数据制定精确数值。具体</w:t>
      </w:r>
      <w:r>
        <w:rPr>
          <w:rFonts w:hint="eastAsia" w:ascii="仿宋_GB2312" w:hAnsi="仿宋_GB2312" w:eastAsia="仿宋_GB2312"/>
          <w:b w:val="0"/>
          <w:sz w:val="32"/>
          <w:lang w:eastAsia="zh-CN"/>
        </w:rPr>
        <w:t>附整体支出</w:t>
      </w:r>
      <w:r>
        <w:rPr>
          <w:rFonts w:ascii="仿宋_GB2312" w:hAnsi="仿宋_GB2312" w:eastAsia="仿宋_GB2312"/>
          <w:b w:val="0"/>
          <w:sz w:val="32"/>
        </w:rPr>
        <w:t>绩效自评表，项目支出绩效自评表和</w:t>
      </w:r>
      <w:r>
        <w:rPr>
          <w:rFonts w:hint="eastAsia" w:ascii="仿宋_GB2312" w:hAnsi="仿宋_GB2312" w:eastAsia="仿宋_GB2312"/>
          <w:b w:val="0"/>
          <w:sz w:val="32"/>
          <w:lang w:eastAsia="zh-CN"/>
        </w:rPr>
        <w:t>评价报告</w:t>
      </w:r>
      <w:r>
        <w:rPr>
          <w:rFonts w:ascii="仿宋_GB2312" w:hAnsi="仿宋_GB2312" w:eastAsia="仿宋_GB2312"/>
          <w:b w:val="0"/>
          <w:sz w:val="32"/>
        </w:rPr>
        <w:t>。</w:t>
      </w:r>
    </w:p>
    <w:p w14:paraId="39B8F77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2467114">
        <w:tblPrEx>
          <w:tblCellMar>
            <w:top w:w="0" w:type="dxa"/>
            <w:left w:w="108" w:type="dxa"/>
            <w:bottom w:w="0" w:type="dxa"/>
            <w:right w:w="108" w:type="dxa"/>
          </w:tblCellMar>
        </w:tblPrEx>
        <w:tc>
          <w:tcPr>
            <w:tcW w:w="8847" w:type="dxa"/>
            <w:gridSpan w:val="9"/>
            <w:vAlign w:val="center"/>
          </w:tcPr>
          <w:p w14:paraId="2727A136">
            <w:pPr>
              <w:jc w:val="center"/>
            </w:pPr>
            <w:r>
              <w:rPr>
                <w:rFonts w:ascii="宋体" w:hAnsi="宋体" w:eastAsia="宋体"/>
                <w:sz w:val="24"/>
              </w:rPr>
              <w:t>单位整体支出绩效自评表</w:t>
            </w:r>
          </w:p>
        </w:tc>
      </w:tr>
      <w:tr w14:paraId="662CF52D">
        <w:tblPrEx>
          <w:tblCellMar>
            <w:top w:w="0" w:type="dxa"/>
            <w:left w:w="108" w:type="dxa"/>
            <w:bottom w:w="0" w:type="dxa"/>
            <w:right w:w="108" w:type="dxa"/>
          </w:tblCellMar>
        </w:tblPrEx>
        <w:tc>
          <w:tcPr>
            <w:tcW w:w="8847" w:type="dxa"/>
            <w:gridSpan w:val="9"/>
            <w:vAlign w:val="center"/>
          </w:tcPr>
          <w:p w14:paraId="14A82EB9">
            <w:pPr>
              <w:jc w:val="center"/>
            </w:pPr>
            <w:r>
              <w:rPr>
                <w:rFonts w:ascii="宋体" w:hAnsi="宋体" w:eastAsia="宋体"/>
                <w:sz w:val="24"/>
              </w:rPr>
              <w:t>（2024年度）</w:t>
            </w:r>
          </w:p>
        </w:tc>
      </w:tr>
      <w:tr w14:paraId="2B37AC8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A24C0">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6527849">
            <w:pPr>
              <w:jc w:val="center"/>
            </w:pPr>
            <w:r>
              <w:rPr>
                <w:rFonts w:ascii="宋体" w:hAnsi="宋体" w:eastAsia="宋体"/>
                <w:sz w:val="16"/>
              </w:rPr>
              <w:t>塔什库尔干塔吉克自治县审计局</w:t>
            </w:r>
          </w:p>
        </w:tc>
      </w:tr>
      <w:tr w14:paraId="372C402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ED51A">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0AB0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51FF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8AF6E">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6951E">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3712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76530">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4D13E">
            <w:pPr>
              <w:jc w:val="center"/>
            </w:pPr>
            <w:r>
              <w:rPr>
                <w:rFonts w:ascii="宋体" w:hAnsi="宋体" w:eastAsia="宋体"/>
                <w:sz w:val="16"/>
              </w:rPr>
              <w:t>得分</w:t>
            </w:r>
          </w:p>
        </w:tc>
      </w:tr>
      <w:tr w14:paraId="4130B4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1687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862E1">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E67D6">
            <w:pPr>
              <w:jc w:val="center"/>
            </w:pPr>
            <w:r>
              <w:rPr>
                <w:rFonts w:ascii="宋体" w:hAnsi="宋体" w:eastAsia="宋体"/>
                <w:sz w:val="16"/>
              </w:rPr>
              <w:t>170.99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05DFB">
            <w:pPr>
              <w:jc w:val="center"/>
            </w:pPr>
            <w:r>
              <w:rPr>
                <w:rFonts w:ascii="宋体" w:hAnsi="宋体" w:eastAsia="宋体"/>
                <w:sz w:val="16"/>
              </w:rPr>
              <w:t>182.52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A1B52">
            <w:pPr>
              <w:jc w:val="center"/>
            </w:pPr>
            <w:r>
              <w:rPr>
                <w:rFonts w:ascii="宋体" w:hAnsi="宋体" w:eastAsia="宋体"/>
                <w:sz w:val="16"/>
              </w:rPr>
              <w:t>182.52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D65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C37AC">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88A6B">
            <w:pPr>
              <w:jc w:val="center"/>
            </w:pPr>
            <w:r>
              <w:rPr>
                <w:rFonts w:ascii="宋体" w:hAnsi="宋体" w:eastAsia="宋体"/>
                <w:sz w:val="16"/>
              </w:rPr>
              <w:t>10</w:t>
            </w:r>
          </w:p>
        </w:tc>
      </w:tr>
      <w:tr w14:paraId="07AD8E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5FC9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B81F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CBAB8">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6E157">
            <w:pPr>
              <w:jc w:val="center"/>
            </w:pPr>
            <w:r>
              <w:rPr>
                <w:rFonts w:ascii="宋体" w:hAnsi="宋体" w:eastAsia="宋体"/>
                <w:sz w:val="16"/>
              </w:rPr>
              <w:t>34.15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C4E38">
            <w:pPr>
              <w:jc w:val="center"/>
            </w:pPr>
            <w:r>
              <w:rPr>
                <w:rFonts w:ascii="宋体" w:hAnsi="宋体" w:eastAsia="宋体"/>
                <w:sz w:val="16"/>
              </w:rPr>
              <w:t>34.15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FE8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6D88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7ADA3">
            <w:pPr>
              <w:jc w:val="center"/>
            </w:pPr>
            <w:r>
              <w:rPr>
                <w:rFonts w:ascii="宋体" w:hAnsi="宋体" w:eastAsia="宋体"/>
                <w:sz w:val="16"/>
              </w:rPr>
              <w:t>—</w:t>
            </w:r>
          </w:p>
        </w:tc>
      </w:tr>
      <w:tr w14:paraId="40AC7D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D6CC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16C99">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9EA75">
            <w:pPr>
              <w:jc w:val="center"/>
            </w:pPr>
            <w:r>
              <w:rPr>
                <w:rFonts w:ascii="宋体" w:hAnsi="宋体" w:eastAsia="宋体"/>
                <w:sz w:val="16"/>
              </w:rPr>
              <w:t>158.99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C4E57">
            <w:pPr>
              <w:jc w:val="center"/>
            </w:pPr>
            <w:r>
              <w:rPr>
                <w:rFonts w:ascii="宋体" w:hAnsi="宋体" w:eastAsia="宋体"/>
                <w:sz w:val="16"/>
              </w:rPr>
              <w:t>148.37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BB7B5">
            <w:pPr>
              <w:jc w:val="center"/>
            </w:pPr>
            <w:r>
              <w:rPr>
                <w:rFonts w:ascii="宋体" w:hAnsi="宋体" w:eastAsia="宋体"/>
                <w:sz w:val="16"/>
              </w:rPr>
              <w:t>148.37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C1A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BAD0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C741B">
            <w:pPr>
              <w:jc w:val="center"/>
            </w:pPr>
            <w:r>
              <w:rPr>
                <w:rFonts w:ascii="宋体" w:hAnsi="宋体" w:eastAsia="宋体"/>
                <w:sz w:val="16"/>
              </w:rPr>
              <w:t>—</w:t>
            </w:r>
          </w:p>
        </w:tc>
      </w:tr>
      <w:tr w14:paraId="7BB45B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52D9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2BFD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3742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06A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2C3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9AA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7507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F50B6">
            <w:pPr>
              <w:jc w:val="center"/>
            </w:pPr>
            <w:r>
              <w:rPr>
                <w:rFonts w:ascii="宋体" w:hAnsi="宋体" w:eastAsia="宋体"/>
                <w:sz w:val="16"/>
              </w:rPr>
              <w:t>—</w:t>
            </w:r>
          </w:p>
        </w:tc>
      </w:tr>
      <w:tr w14:paraId="123ACB9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90135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7D648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8245F1">
            <w:pPr>
              <w:jc w:val="center"/>
              <w:rPr>
                <w:rFonts w:hint="eastAsia" w:eastAsia="宋体"/>
                <w:lang w:eastAsia="zh-CN"/>
              </w:rPr>
            </w:pPr>
            <w:r>
              <w:rPr>
                <w:rFonts w:hint="eastAsia" w:ascii="宋体" w:hAnsi="宋体"/>
                <w:sz w:val="16"/>
                <w:lang w:eastAsia="zh-CN"/>
              </w:rPr>
              <w:t>实际完成情况</w:t>
            </w:r>
          </w:p>
        </w:tc>
      </w:tr>
      <w:tr w14:paraId="0714CE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B4ADF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C5DEF6">
            <w:pPr>
              <w:jc w:val="both"/>
            </w:pPr>
            <w:r>
              <w:rPr>
                <w:rFonts w:ascii="宋体" w:hAnsi="宋体" w:eastAsia="宋体"/>
                <w:sz w:val="16"/>
              </w:rPr>
              <w:t>深入学习贯彻习近平总书记关于审计工作的重要指示批示精神，牢牢扭住社会稳定和长治久安总目标，围绕“国之大者”，全面把握推进中国式现代化对审计工作提出的新任务新要求，按照党的工作重点是什么，审计就审什么，财政资金运行到哪里，审计监督就跟进到哪里的要求，立足审计监督首先是经济监督的职责定位，聚焦经济高质量发展，高效统筹推动依法履行好本地区审计监督职责，守正创新做好审计各项工作，做到应审尽审、凡审必严、严肃问责，切实发挥审计监督“查病、治已病、防未病”监督保障作用，积极构建集中统一、全面覆盖、权威高效的审计监督体系，为</w:t>
            </w:r>
            <w:r>
              <w:rPr>
                <w:rFonts w:hint="eastAsia" w:ascii="宋体" w:hAnsi="宋体"/>
                <w:sz w:val="16"/>
                <w:lang w:eastAsia="zh-CN"/>
              </w:rPr>
              <w:t>该县</w:t>
            </w:r>
            <w:r>
              <w:rPr>
                <w:rFonts w:ascii="宋体" w:hAnsi="宋体" w:eastAsia="宋体"/>
                <w:sz w:val="16"/>
              </w:rPr>
              <w:t>长治久安和经济高质量发展提供坚强保障。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03953A">
            <w:pPr>
              <w:jc w:val="both"/>
            </w:pPr>
            <w:r>
              <w:rPr>
                <w:rFonts w:ascii="宋体" w:hAnsi="宋体" w:eastAsia="宋体"/>
                <w:sz w:val="16"/>
              </w:rPr>
              <w:t>通过该项目实施，截止至2024年12月31日，我单位实际审计项目个数19个，并且出具15个审计报告，资金已经全部支出。我单位应严格按照计划时间在规定的时间内完成所有项目的审计工作并且出具审计报告。紧紧围绕党中央最关心、人民群众最关切的问题</w:t>
            </w:r>
            <w:r>
              <w:rPr>
                <w:rFonts w:hint="eastAsia" w:ascii="宋体" w:hAnsi="宋体"/>
                <w:sz w:val="16"/>
                <w:lang w:eastAsia="zh-CN"/>
              </w:rPr>
              <w:t>谋划</w:t>
            </w:r>
            <w:r>
              <w:rPr>
                <w:rFonts w:ascii="宋体" w:hAnsi="宋体" w:eastAsia="宋体"/>
                <w:sz w:val="16"/>
              </w:rPr>
              <w:t>审计工作，坚持把思想和行动统一到县委、县政府和上级审计机关对审计工作的决策部署上来,把服务好县委、县政府中心工作和完成好上级审计机关部署任务有机统一起来,坚持监督与服务并重,在严肃查处和揭露违法违规问</w:t>
            </w:r>
            <w:r>
              <w:rPr>
                <w:rFonts w:hint="eastAsia" w:ascii="宋体" w:hAnsi="宋体"/>
                <w:sz w:val="16"/>
                <w:lang w:eastAsia="zh-CN"/>
              </w:rPr>
              <w:t>题的</w:t>
            </w:r>
            <w:r>
              <w:rPr>
                <w:rFonts w:ascii="宋体" w:hAnsi="宋体" w:eastAsia="宋体"/>
                <w:sz w:val="16"/>
              </w:rPr>
              <w:t>同时,帮助被审计单位查找管理漏洞,健全完善各项内控管理制度，积极拓展审计监督的广度和深度，切实提高审计监督质效。</w:t>
            </w:r>
          </w:p>
        </w:tc>
      </w:tr>
      <w:tr w14:paraId="61175A4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C542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CCD0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47BD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966CE">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D570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206A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9E29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3B8E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DD11D">
            <w:pPr>
              <w:jc w:val="center"/>
            </w:pPr>
            <w:r>
              <w:rPr>
                <w:rFonts w:ascii="宋体" w:hAnsi="宋体" w:eastAsia="宋体"/>
                <w:sz w:val="16"/>
              </w:rPr>
              <w:t>得分</w:t>
            </w:r>
          </w:p>
        </w:tc>
      </w:tr>
      <w:tr w14:paraId="4B655A7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17FBF5">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822A3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A6A64">
            <w:pPr>
              <w:jc w:val="center"/>
            </w:pPr>
            <w:r>
              <w:rPr>
                <w:rFonts w:ascii="宋体" w:hAnsi="宋体" w:eastAsia="宋体"/>
                <w:sz w:val="16"/>
              </w:rPr>
              <w:t>审计项目数量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8B30F">
            <w:pPr>
              <w:jc w:val="center"/>
            </w:pPr>
            <w:r>
              <w:rPr>
                <w:rFonts w:ascii="宋体" w:hAnsi="宋体" w:eastAsia="宋体"/>
                <w:sz w:val="16"/>
              </w:rPr>
              <w:t>&gt;=14个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961D2">
            <w:pPr>
              <w:jc w:val="center"/>
            </w:pPr>
            <w:r>
              <w:rPr>
                <w:rFonts w:ascii="宋体" w:hAnsi="宋体" w:eastAsia="宋体"/>
                <w:sz w:val="16"/>
              </w:rPr>
              <w:t>2024年审计项目计划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8981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A6B8A">
            <w:pPr>
              <w:jc w:val="center"/>
            </w:pPr>
            <w:r>
              <w:rPr>
                <w:rFonts w:ascii="宋体" w:hAnsi="宋体" w:eastAsia="宋体"/>
                <w:sz w:val="16"/>
              </w:rPr>
              <w:t>19个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289B5">
            <w:pPr>
              <w:jc w:val="center"/>
              <w:rPr>
                <w:rFonts w:hint="eastAsia" w:eastAsia="宋体"/>
                <w:lang w:val="en-US" w:eastAsia="zh-CN"/>
              </w:rPr>
            </w:pPr>
            <w:r>
              <w:rPr>
                <w:rFonts w:ascii="宋体" w:hAnsi="宋体" w:eastAsia="宋体"/>
                <w:sz w:val="16"/>
              </w:rPr>
              <w:t>135.71</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9023E">
            <w:pPr>
              <w:jc w:val="center"/>
            </w:pPr>
            <w:r>
              <w:rPr>
                <w:rFonts w:ascii="宋体" w:hAnsi="宋体" w:eastAsia="宋体"/>
                <w:sz w:val="16"/>
              </w:rPr>
              <w:t>20</w:t>
            </w:r>
          </w:p>
        </w:tc>
      </w:tr>
      <w:tr w14:paraId="099B86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10BD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40B4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A2443">
            <w:pPr>
              <w:jc w:val="center"/>
            </w:pPr>
            <w:r>
              <w:rPr>
                <w:rFonts w:ascii="宋体" w:hAnsi="宋体" w:eastAsia="宋体"/>
                <w:sz w:val="16"/>
              </w:rPr>
              <w:t>提交各类审计报告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C3A71">
            <w:pPr>
              <w:jc w:val="center"/>
            </w:pPr>
            <w:r>
              <w:rPr>
                <w:rFonts w:ascii="宋体" w:hAnsi="宋体" w:eastAsia="宋体"/>
                <w:sz w:val="16"/>
              </w:rPr>
              <w:t>&gt;=14篇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B3682">
            <w:pPr>
              <w:jc w:val="center"/>
            </w:pPr>
            <w:r>
              <w:rPr>
                <w:rFonts w:ascii="宋体" w:hAnsi="宋体" w:eastAsia="宋体"/>
                <w:sz w:val="16"/>
              </w:rPr>
              <w:t>2024年审计项目计划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73AC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A9B15">
            <w:pPr>
              <w:jc w:val="center"/>
            </w:pPr>
            <w:r>
              <w:rPr>
                <w:rFonts w:ascii="宋体" w:hAnsi="宋体" w:eastAsia="宋体"/>
                <w:sz w:val="16"/>
              </w:rPr>
              <w:t>14篇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4B05B">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C760C">
            <w:pPr>
              <w:jc w:val="center"/>
            </w:pPr>
            <w:r>
              <w:rPr>
                <w:rFonts w:ascii="宋体" w:hAnsi="宋体" w:eastAsia="宋体"/>
                <w:sz w:val="16"/>
              </w:rPr>
              <w:t>20</w:t>
            </w:r>
          </w:p>
        </w:tc>
      </w:tr>
      <w:tr w14:paraId="385178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79B9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536C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021E3">
            <w:pPr>
              <w:jc w:val="center"/>
            </w:pPr>
            <w:r>
              <w:rPr>
                <w:rFonts w:ascii="宋体" w:hAnsi="宋体" w:eastAsia="宋体"/>
                <w:sz w:val="16"/>
              </w:rPr>
              <w:t>开展党组</w:t>
            </w:r>
            <w:r>
              <w:rPr>
                <w:rFonts w:hint="eastAsia" w:ascii="宋体" w:hAnsi="宋体"/>
                <w:sz w:val="16"/>
                <w:lang w:eastAsia="zh-CN"/>
              </w:rPr>
              <w:t>理论学习中心组</w:t>
            </w:r>
            <w:r>
              <w:rPr>
                <w:rFonts w:ascii="宋体" w:hAnsi="宋体" w:eastAsia="宋体"/>
                <w:sz w:val="16"/>
              </w:rPr>
              <w:t>学习次数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D50D9">
            <w:pPr>
              <w:jc w:val="center"/>
            </w:pPr>
            <w:r>
              <w:rPr>
                <w:rFonts w:ascii="宋体" w:hAnsi="宋体" w:eastAsia="宋体"/>
                <w:sz w:val="16"/>
              </w:rPr>
              <w:t>&gt;=24次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76A0B">
            <w:pPr>
              <w:jc w:val="center"/>
            </w:pPr>
            <w:r>
              <w:rPr>
                <w:rFonts w:ascii="宋体" w:hAnsi="宋体" w:eastAsia="宋体"/>
                <w:sz w:val="16"/>
              </w:rPr>
              <w:t>2024年审计工作计划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E40A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FE8CC">
            <w:pPr>
              <w:jc w:val="center"/>
            </w:pPr>
            <w:r>
              <w:rPr>
                <w:rFonts w:ascii="宋体" w:hAnsi="宋体" w:eastAsia="宋体"/>
                <w:sz w:val="16"/>
              </w:rPr>
              <w:t>26次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406F0">
            <w:pPr>
              <w:jc w:val="center"/>
              <w:rPr>
                <w:rFonts w:hint="eastAsia" w:eastAsia="宋体"/>
                <w:lang w:val="en-US" w:eastAsia="zh-CN"/>
              </w:rPr>
            </w:pPr>
            <w:r>
              <w:rPr>
                <w:rFonts w:ascii="宋体" w:hAnsi="宋体" w:eastAsia="宋体"/>
                <w:sz w:val="16"/>
              </w:rPr>
              <w:t>108.33</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C6E5E">
            <w:pPr>
              <w:jc w:val="center"/>
            </w:pPr>
            <w:r>
              <w:rPr>
                <w:rFonts w:ascii="宋体" w:hAnsi="宋体" w:eastAsia="宋体"/>
                <w:sz w:val="16"/>
              </w:rPr>
              <w:t>20</w:t>
            </w:r>
          </w:p>
        </w:tc>
      </w:tr>
      <w:tr w14:paraId="790423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B771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4826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8F494">
            <w:pPr>
              <w:jc w:val="center"/>
            </w:pPr>
            <w:r>
              <w:rPr>
                <w:rFonts w:ascii="宋体" w:hAnsi="宋体" w:eastAsia="宋体"/>
                <w:sz w:val="16"/>
              </w:rPr>
              <w:t>审计项目按时完成率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781F3">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7CC49">
            <w:pPr>
              <w:jc w:val="center"/>
            </w:pPr>
            <w:r>
              <w:rPr>
                <w:rFonts w:ascii="宋体" w:hAnsi="宋体" w:eastAsia="宋体"/>
                <w:sz w:val="16"/>
              </w:rPr>
              <w:t>2024年审计工作计划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5C47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3F3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3A7B4">
            <w:pPr>
              <w:jc w:val="center"/>
              <w:rPr>
                <w:rFonts w:hint="eastAsia" w:eastAsia="宋体"/>
                <w:lang w:val="en-US" w:eastAsia="zh-CN"/>
              </w:rPr>
            </w:pPr>
            <w:r>
              <w:rPr>
                <w:rFonts w:ascii="宋体" w:hAnsi="宋体" w:eastAsia="宋体"/>
                <w:sz w:val="16"/>
              </w:rPr>
              <w:t>111.11</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A4A2F">
            <w:pPr>
              <w:jc w:val="center"/>
            </w:pPr>
            <w:r>
              <w:rPr>
                <w:rFonts w:ascii="宋体" w:hAnsi="宋体" w:eastAsia="宋体"/>
                <w:sz w:val="16"/>
              </w:rPr>
              <w:t>20</w:t>
            </w:r>
          </w:p>
        </w:tc>
      </w:tr>
      <w:tr w14:paraId="451323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A75D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03B4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EC40D">
            <w:pPr>
              <w:jc w:val="center"/>
            </w:pPr>
            <w:r>
              <w:rPr>
                <w:rFonts w:ascii="宋体" w:hAnsi="宋体" w:eastAsia="宋体"/>
                <w:sz w:val="16"/>
              </w:rPr>
              <w:t>开展规范化审计专题培训次数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BC8DE">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EA983">
            <w:pPr>
              <w:jc w:val="center"/>
            </w:pPr>
            <w:r>
              <w:rPr>
                <w:rFonts w:ascii="宋体" w:hAnsi="宋体" w:eastAsia="宋体"/>
                <w:sz w:val="16"/>
              </w:rPr>
              <w:t>2024年审计工作计划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0B0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FA723">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9341A">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BCD26">
            <w:pPr>
              <w:jc w:val="center"/>
            </w:pPr>
            <w:r>
              <w:rPr>
                <w:rFonts w:ascii="宋体" w:hAnsi="宋体" w:eastAsia="宋体"/>
                <w:sz w:val="16"/>
              </w:rPr>
              <w:t>10</w:t>
            </w:r>
          </w:p>
        </w:tc>
      </w:tr>
    </w:tbl>
    <w:p w14:paraId="2892EA8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ACE2FDA">
        <w:tblPrEx>
          <w:tblCellMar>
            <w:top w:w="0" w:type="dxa"/>
            <w:left w:w="108" w:type="dxa"/>
            <w:bottom w:w="0" w:type="dxa"/>
            <w:right w:w="108" w:type="dxa"/>
          </w:tblCellMar>
        </w:tblPrEx>
        <w:tc>
          <w:tcPr>
            <w:tcW w:w="8848" w:type="dxa"/>
            <w:gridSpan w:val="14"/>
            <w:vAlign w:val="center"/>
          </w:tcPr>
          <w:p w14:paraId="436FE7D6">
            <w:pPr>
              <w:jc w:val="center"/>
            </w:pPr>
            <w:r>
              <w:rPr>
                <w:rFonts w:ascii="宋体" w:hAnsi="宋体" w:eastAsia="宋体"/>
                <w:sz w:val="24"/>
              </w:rPr>
              <w:t>项目支出绩效自评表</w:t>
            </w:r>
          </w:p>
        </w:tc>
      </w:tr>
      <w:tr w14:paraId="01E9F325">
        <w:tblPrEx>
          <w:tblCellMar>
            <w:top w:w="0" w:type="dxa"/>
            <w:left w:w="108" w:type="dxa"/>
            <w:bottom w:w="0" w:type="dxa"/>
            <w:right w:w="108" w:type="dxa"/>
          </w:tblCellMar>
        </w:tblPrEx>
        <w:tc>
          <w:tcPr>
            <w:tcW w:w="8848" w:type="dxa"/>
            <w:gridSpan w:val="14"/>
            <w:vAlign w:val="center"/>
          </w:tcPr>
          <w:p w14:paraId="6D28A9EA">
            <w:pPr>
              <w:jc w:val="center"/>
            </w:pPr>
            <w:r>
              <w:rPr>
                <w:rFonts w:ascii="宋体" w:hAnsi="宋体" w:eastAsia="宋体"/>
                <w:sz w:val="24"/>
              </w:rPr>
              <w:t>(2024年度)</w:t>
            </w:r>
          </w:p>
        </w:tc>
      </w:tr>
      <w:tr w14:paraId="24E2D2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1F1A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554010">
            <w:pPr>
              <w:jc w:val="center"/>
            </w:pPr>
            <w:r>
              <w:rPr>
                <w:rFonts w:ascii="宋体" w:hAnsi="宋体" w:eastAsia="宋体"/>
                <w:sz w:val="16"/>
              </w:rPr>
              <w:t>2024年为民办实事工作经费项目</w:t>
            </w:r>
          </w:p>
        </w:tc>
      </w:tr>
      <w:tr w14:paraId="3C132C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5722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250244">
            <w:pPr>
              <w:jc w:val="center"/>
            </w:pPr>
            <w:r>
              <w:rPr>
                <w:rFonts w:ascii="宋体" w:hAnsi="宋体" w:eastAsia="宋体"/>
                <w:sz w:val="16"/>
              </w:rPr>
              <w:t>塔什库尔干塔吉克自治县审计局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15E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C6CC4C">
            <w:pPr>
              <w:jc w:val="center"/>
            </w:pPr>
            <w:r>
              <w:rPr>
                <w:rFonts w:ascii="宋体" w:hAnsi="宋体" w:eastAsia="宋体"/>
                <w:sz w:val="16"/>
              </w:rPr>
              <w:t>塔什库尔干塔吉克自治县审计局</w:t>
            </w:r>
          </w:p>
        </w:tc>
      </w:tr>
      <w:tr w14:paraId="62B5C6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5AB0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21CE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28F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0EA8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8FA6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7099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21B7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663B">
            <w:pPr>
              <w:jc w:val="center"/>
            </w:pPr>
            <w:r>
              <w:rPr>
                <w:rFonts w:ascii="宋体" w:hAnsi="宋体" w:eastAsia="宋体"/>
                <w:sz w:val="16"/>
              </w:rPr>
              <w:t>得分</w:t>
            </w:r>
          </w:p>
        </w:tc>
      </w:tr>
      <w:tr w14:paraId="2B7A85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DF58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149C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A479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9DD9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3BF3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547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3597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B9712">
            <w:pPr>
              <w:jc w:val="center"/>
            </w:pPr>
            <w:r>
              <w:rPr>
                <w:rFonts w:ascii="宋体" w:hAnsi="宋体" w:eastAsia="宋体"/>
                <w:sz w:val="16"/>
              </w:rPr>
              <w:t>10.00分</w:t>
            </w:r>
          </w:p>
        </w:tc>
      </w:tr>
      <w:tr w14:paraId="6C2FCB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A53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FFE8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9053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D1F8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1133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A35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42F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CEF8">
            <w:pPr>
              <w:jc w:val="center"/>
            </w:pPr>
            <w:r>
              <w:rPr>
                <w:rFonts w:ascii="宋体" w:hAnsi="宋体" w:eastAsia="宋体"/>
                <w:sz w:val="16"/>
              </w:rPr>
              <w:t>—</w:t>
            </w:r>
          </w:p>
        </w:tc>
      </w:tr>
      <w:tr w14:paraId="56F2B2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BCA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BDA0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76B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9E5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B2D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B86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E6A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8BA3">
            <w:pPr>
              <w:jc w:val="center"/>
            </w:pPr>
            <w:r>
              <w:rPr>
                <w:rFonts w:ascii="宋体" w:hAnsi="宋体" w:eastAsia="宋体"/>
                <w:sz w:val="16"/>
              </w:rPr>
              <w:t>—</w:t>
            </w:r>
          </w:p>
        </w:tc>
      </w:tr>
      <w:tr w14:paraId="52DE2B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C74D9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66864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B23A29">
            <w:pPr>
              <w:jc w:val="center"/>
            </w:pPr>
            <w:r>
              <w:rPr>
                <w:rFonts w:ascii="宋体" w:hAnsi="宋体" w:eastAsia="宋体"/>
                <w:sz w:val="16"/>
              </w:rPr>
              <w:t>实际完成情况</w:t>
            </w:r>
          </w:p>
        </w:tc>
      </w:tr>
      <w:tr w14:paraId="77AC03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64C5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FA9620">
            <w:pPr>
              <w:jc w:val="both"/>
            </w:pPr>
            <w:r>
              <w:rPr>
                <w:rFonts w:ascii="宋体" w:hAnsi="宋体" w:eastAsia="宋体"/>
                <w:sz w:val="16"/>
              </w:rPr>
              <w:t>为深入贯彻习近平总书记关于</w:t>
            </w:r>
            <w:r>
              <w:rPr>
                <w:rFonts w:hint="eastAsia" w:ascii="宋体" w:hAnsi="宋体"/>
                <w:sz w:val="16"/>
                <w:lang w:eastAsia="zh-CN"/>
              </w:rPr>
              <w:t>为民办实事</w:t>
            </w:r>
            <w:r>
              <w:rPr>
                <w:rFonts w:ascii="宋体" w:hAnsi="宋体" w:eastAsia="宋体"/>
                <w:sz w:val="16"/>
              </w:rPr>
              <w:t>工</w:t>
            </w:r>
            <w:r>
              <w:rPr>
                <w:rFonts w:hint="eastAsia" w:ascii="宋体" w:hAnsi="宋体"/>
                <w:sz w:val="16"/>
                <w:lang w:eastAsia="zh-CN"/>
              </w:rPr>
              <w:t>作的</w:t>
            </w:r>
            <w:r>
              <w:rPr>
                <w:rFonts w:ascii="宋体" w:hAnsi="宋体" w:eastAsia="宋体"/>
                <w:sz w:val="16"/>
              </w:rPr>
              <w:t>重要指示精神，不断推动</w:t>
            </w:r>
            <w:r>
              <w:rPr>
                <w:rFonts w:hint="eastAsia" w:ascii="宋体" w:hAnsi="宋体"/>
                <w:sz w:val="16"/>
                <w:lang w:eastAsia="zh-CN"/>
              </w:rPr>
              <w:t>为民办实事</w:t>
            </w:r>
            <w:r>
              <w:rPr>
                <w:rFonts w:ascii="宋体" w:hAnsi="宋体" w:eastAsia="宋体"/>
                <w:sz w:val="16"/>
              </w:rPr>
              <w:t>工作迈上新台阶，奋力推进新时代塔什库尔干长治久安和高质量发展，根据中共中央办公厅《关于向重点乡村持续选派第一书记和工作队的意见》（中办发﹝2021﹞27号）和《张柱部长在自治区“</w:t>
            </w:r>
            <w:r>
              <w:rPr>
                <w:rFonts w:hint="eastAsia" w:ascii="宋体" w:hAnsi="宋体"/>
                <w:sz w:val="16"/>
                <w:lang w:eastAsia="zh-CN"/>
              </w:rPr>
              <w:t>为民办实事</w:t>
            </w:r>
            <w:r>
              <w:rPr>
                <w:rFonts w:ascii="宋体" w:hAnsi="宋体" w:eastAsia="宋体"/>
                <w:sz w:val="16"/>
              </w:rPr>
              <w:t>”</w:t>
            </w:r>
            <w:r>
              <w:rPr>
                <w:rFonts w:hint="eastAsia" w:ascii="宋体" w:hAnsi="宋体"/>
                <w:sz w:val="16"/>
                <w:lang w:eastAsia="zh-CN"/>
              </w:rPr>
              <w:t>为民办实事</w:t>
            </w:r>
            <w:r>
              <w:rPr>
                <w:rFonts w:ascii="宋体" w:hAnsi="宋体" w:eastAsia="宋体"/>
                <w:sz w:val="16"/>
              </w:rPr>
              <w:t>工作会议上的讲话》（新民办通报﹝2022﹞1号）相关要求，为扎实持久开展</w:t>
            </w:r>
            <w:r>
              <w:rPr>
                <w:rFonts w:hint="eastAsia" w:ascii="宋体" w:hAnsi="宋体"/>
                <w:sz w:val="16"/>
                <w:lang w:eastAsia="zh-CN"/>
              </w:rPr>
              <w:t>为民办实事</w:t>
            </w:r>
            <w:r>
              <w:rPr>
                <w:rFonts w:ascii="宋体" w:hAnsi="宋体" w:eastAsia="宋体"/>
                <w:sz w:val="16"/>
              </w:rPr>
              <w:t>工作，充分发挥为民办实事工作经费在</w:t>
            </w:r>
            <w:r>
              <w:rPr>
                <w:rFonts w:hint="eastAsia" w:ascii="宋体" w:hAnsi="宋体"/>
                <w:sz w:val="16"/>
                <w:lang w:eastAsia="zh-CN"/>
              </w:rPr>
              <w:t>为民办实事</w:t>
            </w:r>
            <w:r>
              <w:rPr>
                <w:rFonts w:ascii="宋体" w:hAnsi="宋体" w:eastAsia="宋体"/>
                <w:sz w:val="16"/>
              </w:rPr>
              <w:t>工作中的重要作用，确保为民办实事工作经费使用的安全性、规范性和实效性。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02182D">
            <w:pPr>
              <w:jc w:val="both"/>
            </w:pPr>
            <w:r>
              <w:rPr>
                <w:rFonts w:ascii="宋体" w:hAnsi="宋体" w:eastAsia="宋体"/>
                <w:sz w:val="16"/>
              </w:rPr>
              <w:t>项目支出总金额为5万元，用于支付塔什库尔干塔吉克自治县审计局在瓦恰乡库热格村的</w:t>
            </w:r>
            <w:r>
              <w:rPr>
                <w:rFonts w:hint="eastAsia" w:ascii="宋体" w:hAnsi="宋体"/>
                <w:sz w:val="16"/>
                <w:lang w:eastAsia="zh-CN"/>
              </w:rPr>
              <w:t>为民办实事</w:t>
            </w:r>
            <w:r>
              <w:rPr>
                <w:rFonts w:ascii="宋体" w:hAnsi="宋体" w:eastAsia="宋体"/>
                <w:sz w:val="16"/>
              </w:rPr>
              <w:t>工作队为民办实事费用，具体完成了保障为群众送温暖、送服务、保障提高困难群众生活水平、保障村级组织工作经费等工作任务，项目的实施保障了扎实持久</w:t>
            </w:r>
            <w:r>
              <w:rPr>
                <w:rFonts w:hint="eastAsia" w:ascii="宋体" w:hAnsi="宋体"/>
                <w:sz w:val="16"/>
                <w:lang w:eastAsia="zh-CN"/>
              </w:rPr>
              <w:t>地</w:t>
            </w:r>
            <w:r>
              <w:rPr>
                <w:rFonts w:ascii="宋体" w:hAnsi="宋体" w:eastAsia="宋体"/>
                <w:sz w:val="16"/>
              </w:rPr>
              <w:t>开展</w:t>
            </w:r>
            <w:r>
              <w:rPr>
                <w:rFonts w:hint="eastAsia" w:ascii="宋体" w:hAnsi="宋体"/>
                <w:sz w:val="16"/>
                <w:lang w:eastAsia="zh-CN"/>
              </w:rPr>
              <w:t>为民办实事</w:t>
            </w:r>
            <w:r>
              <w:rPr>
                <w:rFonts w:ascii="宋体" w:hAnsi="宋体" w:eastAsia="宋体"/>
                <w:sz w:val="16"/>
              </w:rPr>
              <w:t>工作，充分发挥了为民办实事工作经费在</w:t>
            </w:r>
            <w:r>
              <w:rPr>
                <w:rFonts w:hint="eastAsia" w:ascii="宋体" w:hAnsi="宋体"/>
                <w:sz w:val="16"/>
                <w:lang w:eastAsia="zh-CN"/>
              </w:rPr>
              <w:t>为民办实事</w:t>
            </w:r>
            <w:r>
              <w:rPr>
                <w:rFonts w:ascii="宋体" w:hAnsi="宋体" w:eastAsia="宋体"/>
                <w:sz w:val="16"/>
              </w:rPr>
              <w:t>工作中的重要作用，项目的实施有效解决了民生问题，缩小了贫富差距，促进了社会资源的公平分配；通过积极主动地为民众解决问题，展现了政府的责任担当和高效服务，提升了政府在民众心中的形象和公信力。使</w:t>
            </w:r>
            <w:r>
              <w:rPr>
                <w:rFonts w:hint="eastAsia" w:ascii="宋体" w:hAnsi="宋体"/>
                <w:sz w:val="16"/>
                <w:lang w:eastAsia="zh-CN"/>
              </w:rPr>
              <w:t>为民办实事</w:t>
            </w:r>
            <w:r>
              <w:rPr>
                <w:rFonts w:ascii="宋体" w:hAnsi="宋体" w:eastAsia="宋体"/>
                <w:sz w:val="16"/>
              </w:rPr>
              <w:t>工作队人员满意度达到了100%。</w:t>
            </w:r>
          </w:p>
        </w:tc>
      </w:tr>
      <w:tr w14:paraId="308325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8F73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932C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0B8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DF45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5CA5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C4CF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6E49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0FC2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BDC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B6F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9F9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62B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69607">
            <w:pPr>
              <w:jc w:val="center"/>
            </w:pPr>
            <w:r>
              <w:rPr>
                <w:rFonts w:ascii="宋体" w:hAnsi="宋体" w:eastAsia="宋体"/>
                <w:sz w:val="16"/>
              </w:rPr>
              <w:t>偏差原因分析及改进措施</w:t>
            </w:r>
          </w:p>
        </w:tc>
      </w:tr>
      <w:tr w14:paraId="1B61A6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074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2719A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C0D7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2545">
            <w:pPr>
              <w:jc w:val="center"/>
            </w:pPr>
            <w:r>
              <w:rPr>
                <w:rFonts w:ascii="宋体" w:hAnsi="宋体" w:eastAsia="宋体"/>
                <w:sz w:val="16"/>
              </w:rPr>
              <w:t>保障为群众送温暖、送服务（个）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726D0">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7E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6C0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4644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361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C09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44E1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C12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E8A89">
            <w:pPr>
              <w:jc w:val="center"/>
            </w:pPr>
          </w:p>
        </w:tc>
      </w:tr>
      <w:tr w14:paraId="6CD0D2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F98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266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A64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BFBD">
            <w:pPr>
              <w:jc w:val="center"/>
            </w:pPr>
            <w:r>
              <w:rPr>
                <w:rFonts w:ascii="宋体" w:hAnsi="宋体" w:eastAsia="宋体"/>
                <w:sz w:val="16"/>
              </w:rPr>
              <w:t>保障提高困难群众生活水平（个）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D6A26">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E7D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3B0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34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348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BB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5539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1228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8DD12">
            <w:pPr>
              <w:jc w:val="center"/>
            </w:pPr>
          </w:p>
        </w:tc>
      </w:tr>
      <w:tr w14:paraId="13B55F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974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448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DE1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5156E">
            <w:pPr>
              <w:jc w:val="center"/>
            </w:pPr>
            <w:r>
              <w:rPr>
                <w:rFonts w:ascii="宋体" w:hAnsi="宋体" w:eastAsia="宋体"/>
                <w:sz w:val="16"/>
              </w:rPr>
              <w:t>保障村级组织工作经费（个）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2BFE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5B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481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5B9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4F7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C1B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417D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22A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B13AD">
            <w:pPr>
              <w:jc w:val="center"/>
            </w:pPr>
          </w:p>
        </w:tc>
      </w:tr>
      <w:tr w14:paraId="51024D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2FD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BEF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B59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6311">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A1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94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9BB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52E4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203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9BE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958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5ED0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003F9">
            <w:pPr>
              <w:jc w:val="center"/>
            </w:pPr>
          </w:p>
        </w:tc>
      </w:tr>
      <w:tr w14:paraId="24A38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8F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78C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4A2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82799">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523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15E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410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427E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E1A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F93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FD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8BF7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9E9C6">
            <w:pPr>
              <w:jc w:val="center"/>
            </w:pPr>
          </w:p>
        </w:tc>
      </w:tr>
      <w:tr w14:paraId="47CA5B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15F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C437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4FE6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75510">
            <w:pPr>
              <w:jc w:val="center"/>
            </w:pPr>
            <w:r>
              <w:rPr>
                <w:rFonts w:ascii="宋体" w:hAnsi="宋体" w:eastAsia="宋体"/>
                <w:sz w:val="16"/>
              </w:rPr>
              <w:t>为群众送温暖、送服务总金额（万元）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011E2">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136F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70F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4F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CF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76B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299A6">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B45B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C50AF">
            <w:pPr>
              <w:jc w:val="center"/>
            </w:pPr>
          </w:p>
        </w:tc>
      </w:tr>
      <w:tr w14:paraId="25B72F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9CC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1A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3F1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1BF22">
            <w:pPr>
              <w:jc w:val="center"/>
            </w:pPr>
            <w:r>
              <w:rPr>
                <w:rFonts w:ascii="宋体" w:hAnsi="宋体" w:eastAsia="宋体"/>
                <w:sz w:val="16"/>
              </w:rPr>
              <w:t>提高困难群众生活水平总金额（万元）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19F01">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14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6F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E22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CE9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CF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6C3E1">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BCC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07B72">
            <w:pPr>
              <w:jc w:val="center"/>
            </w:pPr>
          </w:p>
        </w:tc>
      </w:tr>
      <w:tr w14:paraId="570E33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7FD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D9E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0FC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DBFE">
            <w:pPr>
              <w:jc w:val="center"/>
            </w:pPr>
            <w:r>
              <w:rPr>
                <w:rFonts w:ascii="宋体" w:hAnsi="宋体" w:eastAsia="宋体"/>
                <w:sz w:val="16"/>
              </w:rPr>
              <w:t>村级组织工作经费总金额（万元）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B0C4">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B3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251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DE3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E1E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BC6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13CED">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30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3D09E">
            <w:pPr>
              <w:jc w:val="center"/>
            </w:pPr>
          </w:p>
        </w:tc>
      </w:tr>
      <w:tr w14:paraId="342583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705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54D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36C8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1AD0">
            <w:pPr>
              <w:jc w:val="center"/>
            </w:pPr>
            <w:r>
              <w:rPr>
                <w:rFonts w:ascii="宋体" w:hAnsi="宋体" w:eastAsia="宋体"/>
                <w:sz w:val="16"/>
              </w:rPr>
              <w:t>有效提高为民办实事工作积极性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DB20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F2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A24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DCF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5F0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721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9E2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796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386A9">
            <w:pPr>
              <w:jc w:val="center"/>
            </w:pPr>
          </w:p>
        </w:tc>
      </w:tr>
      <w:tr w14:paraId="6F63EC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ACC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E4F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D0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A5BB">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9E6D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3CF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48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245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454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F35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46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9EB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BB7D2">
            <w:pPr>
              <w:jc w:val="center"/>
            </w:pPr>
            <w:r>
              <w:rPr>
                <w:rFonts w:ascii="宋体" w:hAnsi="宋体" w:eastAsia="宋体"/>
                <w:sz w:val="16"/>
              </w:rPr>
              <w:t>偏差原因分析：项目实施情况较好，服务对象满意度高于预期导致出现正偏差，改进措施：基于当前良好表现，重新审视绩效目标，在以后绩效目标设置时设置更具挑战性的目标，以推动业务持续发展。</w:t>
            </w:r>
          </w:p>
        </w:tc>
      </w:tr>
      <w:tr w14:paraId="367617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B182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E44B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C642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6861CD">
            <w:pPr>
              <w:jc w:val="center"/>
            </w:pPr>
            <w:r>
              <w:rPr>
                <w:rFonts w:ascii="宋体" w:hAnsi="宋体" w:eastAsia="宋体"/>
                <w:sz w:val="16"/>
              </w:rPr>
              <w:t>100分</w:t>
            </w:r>
          </w:p>
        </w:tc>
      </w:tr>
    </w:tbl>
    <w:p w14:paraId="022832D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67808F0C">
        <w:tblPrEx>
          <w:tblCellMar>
            <w:top w:w="0" w:type="dxa"/>
            <w:left w:w="108" w:type="dxa"/>
            <w:bottom w:w="0" w:type="dxa"/>
            <w:right w:w="108" w:type="dxa"/>
          </w:tblCellMar>
        </w:tblPrEx>
        <w:tc>
          <w:tcPr>
            <w:tcW w:w="8848" w:type="dxa"/>
            <w:gridSpan w:val="14"/>
            <w:vAlign w:val="center"/>
          </w:tcPr>
          <w:p w14:paraId="3356818C">
            <w:pPr>
              <w:jc w:val="center"/>
            </w:pPr>
            <w:r>
              <w:rPr>
                <w:rFonts w:ascii="宋体" w:hAnsi="宋体" w:eastAsia="宋体"/>
                <w:sz w:val="24"/>
              </w:rPr>
              <w:t>项目支出绩效自评表</w:t>
            </w:r>
          </w:p>
        </w:tc>
      </w:tr>
      <w:tr w14:paraId="60D063F5">
        <w:tblPrEx>
          <w:tblCellMar>
            <w:top w:w="0" w:type="dxa"/>
            <w:left w:w="108" w:type="dxa"/>
            <w:bottom w:w="0" w:type="dxa"/>
            <w:right w:w="108" w:type="dxa"/>
          </w:tblCellMar>
        </w:tblPrEx>
        <w:tc>
          <w:tcPr>
            <w:tcW w:w="8848" w:type="dxa"/>
            <w:gridSpan w:val="14"/>
            <w:vAlign w:val="center"/>
          </w:tcPr>
          <w:p w14:paraId="48ABB942">
            <w:pPr>
              <w:jc w:val="center"/>
            </w:pPr>
            <w:r>
              <w:rPr>
                <w:rFonts w:ascii="宋体" w:hAnsi="宋体" w:eastAsia="宋体"/>
                <w:sz w:val="24"/>
              </w:rPr>
              <w:t>(2024年度)</w:t>
            </w:r>
          </w:p>
        </w:tc>
      </w:tr>
      <w:tr w14:paraId="44A0F5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A65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8EE6BA">
            <w:pPr>
              <w:jc w:val="center"/>
            </w:pPr>
            <w:r>
              <w:rPr>
                <w:rFonts w:ascii="宋体" w:hAnsi="宋体" w:eastAsia="宋体"/>
                <w:sz w:val="16"/>
              </w:rPr>
              <w:t>2024年农业农村局经济责任审计经费</w:t>
            </w:r>
          </w:p>
        </w:tc>
      </w:tr>
      <w:tr w14:paraId="4E8CE4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A3A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EEFD37">
            <w:pPr>
              <w:jc w:val="center"/>
            </w:pPr>
            <w:r>
              <w:rPr>
                <w:rFonts w:ascii="宋体" w:hAnsi="宋体" w:eastAsia="宋体"/>
                <w:sz w:val="16"/>
              </w:rPr>
              <w:t>塔什库尔干塔吉克自治县审计局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7AF3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CAE3A3">
            <w:pPr>
              <w:jc w:val="center"/>
            </w:pPr>
            <w:r>
              <w:rPr>
                <w:rFonts w:ascii="宋体" w:hAnsi="宋体" w:eastAsia="宋体"/>
                <w:sz w:val="16"/>
              </w:rPr>
              <w:t>塔什库尔干塔吉克自治县审计局</w:t>
            </w:r>
          </w:p>
        </w:tc>
      </w:tr>
      <w:tr w14:paraId="40F277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EB88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02FE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DE43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488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7C5E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4CCE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D8FD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79175">
            <w:pPr>
              <w:jc w:val="center"/>
            </w:pPr>
            <w:r>
              <w:rPr>
                <w:rFonts w:ascii="宋体" w:hAnsi="宋体" w:eastAsia="宋体"/>
                <w:sz w:val="16"/>
              </w:rPr>
              <w:t>得分</w:t>
            </w:r>
          </w:p>
        </w:tc>
      </w:tr>
      <w:tr w14:paraId="7CA5B9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7ACEE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942F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A5423">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5951D">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5D119">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790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70FB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549C0">
            <w:pPr>
              <w:jc w:val="center"/>
            </w:pPr>
            <w:r>
              <w:rPr>
                <w:rFonts w:ascii="宋体" w:hAnsi="宋体" w:eastAsia="宋体"/>
                <w:sz w:val="16"/>
              </w:rPr>
              <w:t>10.00分</w:t>
            </w:r>
          </w:p>
        </w:tc>
      </w:tr>
      <w:tr w14:paraId="6E07E7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204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5F4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6F4EC">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2DEBC">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92E41">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0E2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70E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28543">
            <w:pPr>
              <w:jc w:val="center"/>
            </w:pPr>
            <w:r>
              <w:rPr>
                <w:rFonts w:ascii="宋体" w:hAnsi="宋体" w:eastAsia="宋体"/>
                <w:sz w:val="16"/>
              </w:rPr>
              <w:t>—</w:t>
            </w:r>
          </w:p>
        </w:tc>
      </w:tr>
      <w:tr w14:paraId="280D7B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850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E50F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3EE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799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84B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FD7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865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3035E">
            <w:pPr>
              <w:jc w:val="center"/>
            </w:pPr>
            <w:r>
              <w:rPr>
                <w:rFonts w:ascii="宋体" w:hAnsi="宋体" w:eastAsia="宋体"/>
                <w:sz w:val="16"/>
              </w:rPr>
              <w:t>—</w:t>
            </w:r>
          </w:p>
        </w:tc>
      </w:tr>
      <w:tr w14:paraId="4EDFA3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B273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D11E6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5FCE14">
            <w:pPr>
              <w:jc w:val="center"/>
            </w:pPr>
            <w:r>
              <w:rPr>
                <w:rFonts w:ascii="宋体" w:hAnsi="宋体" w:eastAsia="宋体"/>
                <w:sz w:val="16"/>
              </w:rPr>
              <w:t>实际完成情况</w:t>
            </w:r>
          </w:p>
        </w:tc>
      </w:tr>
      <w:tr w14:paraId="528CC7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D73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86A113">
            <w:pPr>
              <w:jc w:val="both"/>
            </w:pPr>
            <w:r>
              <w:rPr>
                <w:rFonts w:ascii="宋体" w:hAnsi="宋体" w:eastAsia="宋体"/>
                <w:sz w:val="16"/>
              </w:rPr>
              <w:t>本项目计划投入7.5万元，用于委托第三方审计机构对</w:t>
            </w:r>
            <w:r>
              <w:rPr>
                <w:rFonts w:hint="eastAsia" w:ascii="宋体" w:hAnsi="宋体"/>
                <w:sz w:val="16"/>
                <w:lang w:eastAsia="zh-CN"/>
              </w:rPr>
              <w:t>塔什库尔干塔吉克自治县</w:t>
            </w:r>
            <w:r>
              <w:rPr>
                <w:rFonts w:ascii="宋体" w:hAnsi="宋体" w:eastAsia="宋体"/>
                <w:sz w:val="16"/>
              </w:rPr>
              <w:t>农业农村局党委副书记、局长何首强同志开展经济责任审计，审计项目数为1个，提交审计报告1篇。通过该项目实施，加强对</w:t>
            </w:r>
            <w:r>
              <w:rPr>
                <w:rFonts w:hint="eastAsia" w:ascii="宋体" w:hAnsi="宋体"/>
                <w:sz w:val="16"/>
                <w:lang w:eastAsia="zh-CN"/>
              </w:rPr>
              <w:t>塔什库尔干塔吉克自治县</w:t>
            </w:r>
            <w:r>
              <w:rPr>
                <w:rFonts w:ascii="宋体" w:hAnsi="宋体" w:eastAsia="宋体"/>
                <w:sz w:val="16"/>
              </w:rPr>
              <w:t>党政机关、事业单位、社会团体主要领导干部和国有企业单位主要领导人员的监督，促进领导干部履职尽责、担当作为，充分发挥审计在党和国家监督体系中的重要作用，同时提高审计的质量和效率。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FCDE23">
            <w:pPr>
              <w:jc w:val="both"/>
            </w:pPr>
            <w:r>
              <w:rPr>
                <w:rFonts w:ascii="宋体" w:hAnsi="宋体" w:eastAsia="宋体"/>
                <w:sz w:val="16"/>
              </w:rPr>
              <w:t>本项目已支出总金额为7.5万元，已完成由县审计局牵头第三方审计机构配合的对</w:t>
            </w:r>
            <w:r>
              <w:rPr>
                <w:rFonts w:hint="eastAsia" w:ascii="宋体" w:hAnsi="宋体"/>
                <w:sz w:val="16"/>
                <w:lang w:eastAsia="zh-CN"/>
              </w:rPr>
              <w:t>塔什库尔干塔吉克自治县</w:t>
            </w:r>
            <w:r>
              <w:rPr>
                <w:rFonts w:ascii="宋体" w:hAnsi="宋体" w:eastAsia="宋体"/>
                <w:sz w:val="16"/>
              </w:rPr>
              <w:t>农业农村局党委副书记、局长何首强同志开展经济责任审计的工作，已提交审计报告1篇。审计过程合规率达100%，审计报告合规率达100%，审计项目按时完成率达100%，通过该项目的实施，提高了审计质量和效率，加强了对</w:t>
            </w:r>
            <w:r>
              <w:rPr>
                <w:rFonts w:hint="eastAsia" w:ascii="宋体" w:hAnsi="宋体"/>
                <w:sz w:val="16"/>
                <w:lang w:eastAsia="zh-CN"/>
              </w:rPr>
              <w:t>塔什库尔干塔吉克自治县</w:t>
            </w:r>
            <w:r>
              <w:rPr>
                <w:rFonts w:ascii="宋体" w:hAnsi="宋体" w:eastAsia="宋体"/>
                <w:sz w:val="16"/>
              </w:rPr>
              <w:t>党政机关、事业单位、社会团体主要领导干部和国有企业单位主要领导人员的监督，促进了领导干部履职尽责、担当作为，充分发挥了审计在党和国家监督体系中的重要作用。</w:t>
            </w:r>
          </w:p>
        </w:tc>
      </w:tr>
      <w:tr w14:paraId="20AE4A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BDAC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D4D6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46A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8DD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0FE8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8D1B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8AC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E2CC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42AC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D4D3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071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966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1C13D">
            <w:pPr>
              <w:jc w:val="center"/>
            </w:pPr>
            <w:r>
              <w:rPr>
                <w:rFonts w:ascii="宋体" w:hAnsi="宋体" w:eastAsia="宋体"/>
                <w:sz w:val="16"/>
              </w:rPr>
              <w:t>偏差原因分析及改进措施</w:t>
            </w:r>
          </w:p>
        </w:tc>
      </w:tr>
      <w:tr w14:paraId="3EB5B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F83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A19E5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30B3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DB43F">
            <w:pPr>
              <w:jc w:val="center"/>
            </w:pPr>
            <w:r>
              <w:rPr>
                <w:rFonts w:ascii="宋体" w:hAnsi="宋体" w:eastAsia="宋体"/>
                <w:sz w:val="16"/>
              </w:rPr>
              <w:t>审计项目数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0C7E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23F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BB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7F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B7E1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480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24BA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400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A2B51">
            <w:pPr>
              <w:jc w:val="center"/>
            </w:pPr>
          </w:p>
        </w:tc>
      </w:tr>
      <w:tr w14:paraId="13A583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5A1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DF7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54D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81CB">
            <w:pPr>
              <w:jc w:val="center"/>
            </w:pPr>
            <w:r>
              <w:rPr>
                <w:rFonts w:ascii="宋体" w:hAnsi="宋体" w:eastAsia="宋体"/>
                <w:sz w:val="16"/>
              </w:rPr>
              <w:t>提交审计报告数量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D0C1">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79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840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9F3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DED3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7E0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66A3">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21E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76562">
            <w:pPr>
              <w:jc w:val="center"/>
            </w:pPr>
          </w:p>
        </w:tc>
      </w:tr>
      <w:tr w14:paraId="31C8BE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BCF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B4A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3DA5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8E1BB">
            <w:pPr>
              <w:jc w:val="center"/>
            </w:pPr>
            <w:r>
              <w:rPr>
                <w:rFonts w:ascii="宋体" w:hAnsi="宋体" w:eastAsia="宋体"/>
                <w:sz w:val="16"/>
              </w:rPr>
              <w:t>审计过程合规率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57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19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A9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BD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6E10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6EEB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5CC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238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E553B">
            <w:pPr>
              <w:jc w:val="center"/>
            </w:pPr>
          </w:p>
        </w:tc>
      </w:tr>
      <w:tr w14:paraId="0B770E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6DE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84B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ABF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32253">
            <w:pPr>
              <w:jc w:val="center"/>
            </w:pPr>
            <w:r>
              <w:rPr>
                <w:rFonts w:ascii="宋体" w:hAnsi="宋体" w:eastAsia="宋体"/>
                <w:sz w:val="16"/>
              </w:rPr>
              <w:t>审计报告合规率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B0F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AFA4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9F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32A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DDCD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49A8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58B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1F9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D7B7B">
            <w:pPr>
              <w:jc w:val="center"/>
            </w:pPr>
          </w:p>
        </w:tc>
      </w:tr>
      <w:tr w14:paraId="261AC2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CF5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2F2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6E22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D3A28">
            <w:pPr>
              <w:jc w:val="center"/>
            </w:pPr>
            <w:r>
              <w:rPr>
                <w:rFonts w:ascii="宋体" w:hAnsi="宋体" w:eastAsia="宋体"/>
                <w:sz w:val="16"/>
              </w:rPr>
              <w:t>审计项目按时完成率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951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863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F57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038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97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F2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C33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893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763D4">
            <w:pPr>
              <w:jc w:val="center"/>
            </w:pPr>
          </w:p>
        </w:tc>
      </w:tr>
      <w:tr w14:paraId="4F66CA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51D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CCD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64E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03AD7">
            <w:pPr>
              <w:jc w:val="center"/>
            </w:pPr>
            <w:r>
              <w:rPr>
                <w:rFonts w:ascii="宋体" w:hAnsi="宋体" w:eastAsia="宋体"/>
                <w:sz w:val="16"/>
              </w:rPr>
              <w:t>审计报告出具及时率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DEF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61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DA8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647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BE6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104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AD0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9EA7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BF582">
            <w:pPr>
              <w:jc w:val="center"/>
            </w:pPr>
          </w:p>
        </w:tc>
      </w:tr>
      <w:tr w14:paraId="2447F3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C80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8345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ADB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CD86A">
            <w:pPr>
              <w:jc w:val="center"/>
            </w:pPr>
            <w:r>
              <w:rPr>
                <w:rFonts w:ascii="宋体" w:hAnsi="宋体" w:eastAsia="宋体"/>
                <w:sz w:val="16"/>
              </w:rPr>
              <w:t>审计成本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C7D5A">
            <w:pPr>
              <w:jc w:val="center"/>
            </w:pPr>
            <w:r>
              <w:rPr>
                <w:rFonts w:ascii="宋体" w:hAnsi="宋体" w:eastAsia="宋体"/>
                <w:sz w:val="16"/>
              </w:rPr>
              <w:t>&lt;=7.50万元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F489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0BC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571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62B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2E1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E6473">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579C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EF299">
            <w:pPr>
              <w:jc w:val="center"/>
            </w:pPr>
          </w:p>
        </w:tc>
      </w:tr>
      <w:tr w14:paraId="73CD38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26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4E60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B19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EB275">
            <w:pPr>
              <w:jc w:val="center"/>
            </w:pPr>
            <w:r>
              <w:rPr>
                <w:rFonts w:ascii="宋体" w:hAnsi="宋体" w:eastAsia="宋体"/>
                <w:sz w:val="16"/>
              </w:rPr>
              <w:t>提高审计质量和效率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23D4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B698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320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A68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C8C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9A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FD7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C3F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2FF19">
            <w:pPr>
              <w:jc w:val="center"/>
            </w:pPr>
          </w:p>
        </w:tc>
      </w:tr>
      <w:tr w14:paraId="117B9F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C74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B54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02C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8CEFE">
            <w:pPr>
              <w:jc w:val="center"/>
            </w:pPr>
            <w:r>
              <w:rPr>
                <w:rFonts w:ascii="宋体" w:hAnsi="宋体" w:eastAsia="宋体"/>
                <w:sz w:val="16"/>
              </w:rPr>
              <w:t>被审计单位满意度（%）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8CF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CAF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3B3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602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29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134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FF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E61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B3C38">
            <w:pPr>
              <w:jc w:val="center"/>
            </w:pPr>
            <w:r>
              <w:rPr>
                <w:rFonts w:ascii="宋体" w:hAnsi="宋体" w:eastAsia="宋体"/>
                <w:sz w:val="16"/>
              </w:rPr>
              <w:t>偏差原因分析：项目实施情况较好，被审计单位满意度高于预期导致出现正偏差，改进措施：基于当前良好表现，重新审视绩效目标，在以后绩效目标设置时设置更具挑战性的目标，以推动业务持续发展。</w:t>
            </w:r>
          </w:p>
        </w:tc>
      </w:tr>
      <w:tr w14:paraId="6C4B33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5319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2758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4ED7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BF8FE6">
            <w:pPr>
              <w:jc w:val="center"/>
            </w:pPr>
            <w:r>
              <w:rPr>
                <w:rFonts w:ascii="宋体" w:hAnsi="宋体" w:eastAsia="宋体"/>
                <w:sz w:val="16"/>
              </w:rPr>
              <w:t>100分</w:t>
            </w:r>
          </w:p>
        </w:tc>
      </w:tr>
    </w:tbl>
    <w:p w14:paraId="507EF4C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A31B5B7">
        <w:tblPrEx>
          <w:tblCellMar>
            <w:top w:w="0" w:type="dxa"/>
            <w:left w:w="108" w:type="dxa"/>
            <w:bottom w:w="0" w:type="dxa"/>
            <w:right w:w="108" w:type="dxa"/>
          </w:tblCellMar>
        </w:tblPrEx>
        <w:tc>
          <w:tcPr>
            <w:tcW w:w="8848" w:type="dxa"/>
            <w:gridSpan w:val="14"/>
            <w:vAlign w:val="center"/>
          </w:tcPr>
          <w:p w14:paraId="56CBBD10">
            <w:pPr>
              <w:jc w:val="center"/>
            </w:pPr>
            <w:r>
              <w:rPr>
                <w:rFonts w:ascii="宋体" w:hAnsi="宋体" w:eastAsia="宋体"/>
                <w:sz w:val="24"/>
              </w:rPr>
              <w:t>项目支出绩效自评表</w:t>
            </w:r>
          </w:p>
        </w:tc>
      </w:tr>
      <w:tr w14:paraId="19DB51FB">
        <w:tblPrEx>
          <w:tblCellMar>
            <w:top w:w="0" w:type="dxa"/>
            <w:left w:w="108" w:type="dxa"/>
            <w:bottom w:w="0" w:type="dxa"/>
            <w:right w:w="108" w:type="dxa"/>
          </w:tblCellMar>
        </w:tblPrEx>
        <w:tc>
          <w:tcPr>
            <w:tcW w:w="8848" w:type="dxa"/>
            <w:gridSpan w:val="14"/>
            <w:vAlign w:val="center"/>
          </w:tcPr>
          <w:p w14:paraId="4779F3F2">
            <w:pPr>
              <w:jc w:val="center"/>
            </w:pPr>
            <w:r>
              <w:rPr>
                <w:rFonts w:ascii="宋体" w:hAnsi="宋体" w:eastAsia="宋体"/>
                <w:sz w:val="24"/>
              </w:rPr>
              <w:t>(2024年度)</w:t>
            </w:r>
          </w:p>
        </w:tc>
      </w:tr>
      <w:tr w14:paraId="7DF327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0E5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15AB55">
            <w:pPr>
              <w:jc w:val="center"/>
            </w:pPr>
            <w:r>
              <w:rPr>
                <w:rFonts w:ascii="宋体" w:hAnsi="宋体" w:eastAsia="宋体"/>
                <w:sz w:val="16"/>
              </w:rPr>
              <w:t>2024年度乡村振兴专项审计经费项目</w:t>
            </w:r>
          </w:p>
        </w:tc>
      </w:tr>
      <w:tr w14:paraId="4CC3EE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BF6A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675DF2">
            <w:pPr>
              <w:jc w:val="center"/>
            </w:pPr>
            <w:r>
              <w:rPr>
                <w:rFonts w:ascii="宋体" w:hAnsi="宋体" w:eastAsia="宋体"/>
                <w:sz w:val="16"/>
              </w:rPr>
              <w:t>塔什库尔干塔吉克自治县人民政府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CC7A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626110">
            <w:pPr>
              <w:jc w:val="center"/>
            </w:pPr>
            <w:r>
              <w:rPr>
                <w:rFonts w:ascii="宋体" w:hAnsi="宋体" w:eastAsia="宋体"/>
                <w:sz w:val="16"/>
              </w:rPr>
              <w:t>塔什库尔干塔吉克自治县审计局</w:t>
            </w:r>
          </w:p>
        </w:tc>
      </w:tr>
      <w:tr w14:paraId="1B25CF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32F0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BAAE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21B0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622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55AD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9318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DC2E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F497A">
            <w:pPr>
              <w:jc w:val="center"/>
            </w:pPr>
            <w:r>
              <w:rPr>
                <w:rFonts w:ascii="宋体" w:hAnsi="宋体" w:eastAsia="宋体"/>
                <w:sz w:val="16"/>
              </w:rPr>
              <w:t>得分</w:t>
            </w:r>
          </w:p>
        </w:tc>
      </w:tr>
      <w:tr w14:paraId="73A1B0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7F922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F8F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DBA1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DA8C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A202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A16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949F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162C">
            <w:pPr>
              <w:jc w:val="center"/>
            </w:pPr>
            <w:r>
              <w:rPr>
                <w:rFonts w:ascii="宋体" w:hAnsi="宋体" w:eastAsia="宋体"/>
                <w:sz w:val="16"/>
              </w:rPr>
              <w:t>10.00分</w:t>
            </w:r>
          </w:p>
        </w:tc>
      </w:tr>
      <w:tr w14:paraId="4B206F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8AF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E3D5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6847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615F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A0FB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A16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93E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7F4E1">
            <w:pPr>
              <w:jc w:val="center"/>
            </w:pPr>
            <w:r>
              <w:rPr>
                <w:rFonts w:ascii="宋体" w:hAnsi="宋体" w:eastAsia="宋体"/>
                <w:sz w:val="16"/>
              </w:rPr>
              <w:t>—</w:t>
            </w:r>
          </w:p>
        </w:tc>
      </w:tr>
      <w:tr w14:paraId="40373B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B41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CAD1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356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833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309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458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C8B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4E91F">
            <w:pPr>
              <w:jc w:val="center"/>
            </w:pPr>
            <w:r>
              <w:rPr>
                <w:rFonts w:ascii="宋体" w:hAnsi="宋体" w:eastAsia="宋体"/>
                <w:sz w:val="16"/>
              </w:rPr>
              <w:t>—</w:t>
            </w:r>
          </w:p>
        </w:tc>
      </w:tr>
      <w:tr w14:paraId="573045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1F058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309EC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C61014">
            <w:pPr>
              <w:jc w:val="center"/>
            </w:pPr>
            <w:r>
              <w:rPr>
                <w:rFonts w:ascii="宋体" w:hAnsi="宋体" w:eastAsia="宋体"/>
                <w:sz w:val="16"/>
              </w:rPr>
              <w:t>实际完成情况</w:t>
            </w:r>
          </w:p>
        </w:tc>
      </w:tr>
      <w:tr w14:paraId="1A90C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9F09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68090E">
            <w:pPr>
              <w:jc w:val="both"/>
            </w:pPr>
            <w:r>
              <w:rPr>
                <w:rFonts w:ascii="宋体" w:hAnsi="宋体" w:eastAsia="宋体"/>
                <w:sz w:val="16"/>
              </w:rPr>
              <w:t>本项目用于审计项目数为1个，提交各类审计报告1篇，审计经费成本为10万元。通过该项目实施，有针对性地提出优化和完善帮扶政策的意见建议，促进脱贫群众稳定增收，夯实脱贫基础，坚决防止出现整村整乡返贫现象，确保被审计单位满意度在95%以上，对审计人员投诉率控制在5%以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CFB005">
            <w:pPr>
              <w:jc w:val="both"/>
            </w:pPr>
            <w:r>
              <w:rPr>
                <w:rFonts w:ascii="宋体" w:hAnsi="宋体" w:eastAsia="宋体"/>
                <w:sz w:val="16"/>
              </w:rPr>
              <w:t>本项目已支付乡村振兴专项审计（交叉审计）服务费10万元,提交各类审计报告和信息简报数量各1篇，审计查出问题整改率达100%，审计项目按时完成率达100%，督促被审计单位制定整改措施3项，审计报告质量达标率达100%，通过该项目实施，不间断开展审计监督，促进巩固提升了脱贫地区特色产业，提高了脱贫人口收入，进一步巩固了脱贫成果，提高了脱贫人口生活的幸福感和安全感。使被审计单位满意度达到了100%。</w:t>
            </w:r>
          </w:p>
        </w:tc>
      </w:tr>
      <w:tr w14:paraId="6CD5F9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899B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E760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1D2B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C962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966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50C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A4A3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5D3E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ABE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4455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577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065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7D756">
            <w:pPr>
              <w:jc w:val="center"/>
            </w:pPr>
            <w:r>
              <w:rPr>
                <w:rFonts w:ascii="宋体" w:hAnsi="宋体" w:eastAsia="宋体"/>
                <w:sz w:val="16"/>
              </w:rPr>
              <w:t>偏差原因分析及改进措施</w:t>
            </w:r>
          </w:p>
        </w:tc>
      </w:tr>
      <w:tr w14:paraId="44AFD3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D0E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68272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2222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479E0">
            <w:pPr>
              <w:jc w:val="center"/>
            </w:pPr>
            <w:r>
              <w:rPr>
                <w:rFonts w:ascii="宋体" w:hAnsi="宋体" w:eastAsia="宋体"/>
                <w:sz w:val="16"/>
              </w:rPr>
              <w:t>审计项目数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5CE1">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C30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2131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15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4E3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9D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C5CC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5A6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FA7CE">
            <w:pPr>
              <w:jc w:val="center"/>
            </w:pPr>
          </w:p>
        </w:tc>
      </w:tr>
      <w:tr w14:paraId="1DC876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DBB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9DC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96A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B970">
            <w:pPr>
              <w:jc w:val="center"/>
            </w:pPr>
            <w:r>
              <w:rPr>
                <w:rFonts w:ascii="宋体" w:hAnsi="宋体" w:eastAsia="宋体"/>
                <w:sz w:val="16"/>
              </w:rPr>
              <w:t>提交各类审计报告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7A87D">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15F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8A2F">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477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D91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F16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51C54">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8B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1C899">
            <w:pPr>
              <w:jc w:val="center"/>
            </w:pPr>
          </w:p>
        </w:tc>
      </w:tr>
      <w:tr w14:paraId="240158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B22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579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AF38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F6D52">
            <w:pPr>
              <w:jc w:val="center"/>
            </w:pPr>
            <w:r>
              <w:rPr>
                <w:rFonts w:ascii="宋体" w:hAnsi="宋体" w:eastAsia="宋体"/>
                <w:sz w:val="16"/>
              </w:rPr>
              <w:t>审计查出问题整改率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2DE9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7DA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BB6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23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118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EE7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70B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FF37">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9B114">
            <w:pPr>
              <w:jc w:val="center"/>
            </w:pPr>
            <w:r>
              <w:rPr>
                <w:rFonts w:ascii="宋体" w:hAnsi="宋体" w:eastAsia="宋体"/>
                <w:sz w:val="16"/>
              </w:rPr>
              <w:t>偏差原因分析：项目完成情况较好，审计查出问题整改率高于预期值，所以出现正偏差；改进措施：基于当前良好表现，重新审视绩效目标，在以后绩效目标设置时设置更具挑战性的目标，以推动业务持续发展。</w:t>
            </w:r>
          </w:p>
        </w:tc>
      </w:tr>
      <w:tr w14:paraId="41681E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D31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0BF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C1E04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13DA6">
            <w:pPr>
              <w:jc w:val="center"/>
            </w:pPr>
            <w:r>
              <w:rPr>
                <w:rFonts w:ascii="宋体" w:hAnsi="宋体" w:eastAsia="宋体"/>
                <w:sz w:val="16"/>
              </w:rPr>
              <w:t>审计项目按时完成率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2A1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2DF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C29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FD2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1FC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361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5FC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5429">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1D602">
            <w:pPr>
              <w:jc w:val="center"/>
            </w:pPr>
            <w:r>
              <w:rPr>
                <w:rFonts w:ascii="宋体" w:hAnsi="宋体" w:eastAsia="宋体"/>
                <w:sz w:val="16"/>
              </w:rPr>
              <w:t>偏差原因分析：项目完成情况较好，审计项目按时完成率指标高于预期值，所以出现正偏差；改进措施：基于当前良好表现，重新审视绩效目标，在以后绩效目标设置时设置更具挑战性的目标，以推动业务持续发展。</w:t>
            </w:r>
          </w:p>
        </w:tc>
      </w:tr>
      <w:tr w14:paraId="1B4457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D5B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1E6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A06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8D9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1FA4F">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1B2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250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939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A2E9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B44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0F12">
            <w:pPr>
              <w:jc w:val="center"/>
            </w:pPr>
            <w:r>
              <w:rPr>
                <w:rFonts w:ascii="宋体" w:hAnsi="宋体" w:eastAsia="宋体"/>
                <w:sz w:val="16"/>
              </w:rPr>
              <w:t>=2024年9月13日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86A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84C03">
            <w:pPr>
              <w:jc w:val="center"/>
            </w:pPr>
          </w:p>
        </w:tc>
      </w:tr>
      <w:tr w14:paraId="141DB9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8B7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B2E4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A38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0BEBE">
            <w:pPr>
              <w:jc w:val="center"/>
            </w:pPr>
            <w:r>
              <w:rPr>
                <w:rFonts w:ascii="宋体" w:hAnsi="宋体" w:eastAsia="宋体"/>
                <w:sz w:val="16"/>
              </w:rPr>
              <w:t>乡村振兴专项审计经费成本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4235">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7B6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F60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75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4C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5B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70D33">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0C3C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AEF5B">
            <w:pPr>
              <w:jc w:val="center"/>
            </w:pPr>
          </w:p>
        </w:tc>
      </w:tr>
      <w:tr w14:paraId="289FB5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DD6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9F40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C9F7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52CB5">
            <w:pPr>
              <w:jc w:val="center"/>
            </w:pPr>
            <w:r>
              <w:rPr>
                <w:rFonts w:ascii="宋体" w:hAnsi="宋体" w:eastAsia="宋体"/>
                <w:sz w:val="16"/>
              </w:rPr>
              <w:t>督促被审计单位制定整改措施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10666">
            <w:pPr>
              <w:jc w:val="center"/>
            </w:pPr>
            <w:r>
              <w:rPr>
                <w:rFonts w:ascii="宋体" w:hAnsi="宋体" w:eastAsia="宋体"/>
                <w:sz w:val="16"/>
              </w:rPr>
              <w:t>&gt;=2项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262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8C632">
            <w:pPr>
              <w:jc w:val="center"/>
            </w:pPr>
            <w:r>
              <w:rPr>
                <w:rFonts w:ascii="宋体" w:hAnsi="宋体" w:eastAsia="宋体"/>
                <w:sz w:val="16"/>
              </w:rPr>
              <w: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4D1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F6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DC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1734">
            <w:pPr>
              <w:jc w:val="center"/>
            </w:pPr>
            <w:r>
              <w:rPr>
                <w:rFonts w:ascii="宋体" w:hAnsi="宋体" w:eastAsia="宋体"/>
                <w:sz w:val="16"/>
              </w:rPr>
              <w:t>=3项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9CA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738EF">
            <w:pPr>
              <w:jc w:val="center"/>
            </w:pPr>
            <w:r>
              <w:rPr>
                <w:rFonts w:ascii="宋体" w:hAnsi="宋体" w:eastAsia="宋体"/>
                <w:sz w:val="16"/>
              </w:rPr>
              <w:t>偏差原因分析：项目实施情况较好，被审计单位对提出的问题认可度高于预期导致出现正偏差，改进措施：基于当前良好表现，重新审视绩效目标，在以后绩效目标设置时设置更具挑战性的目标，以推动业务持续发展。</w:t>
            </w:r>
          </w:p>
        </w:tc>
      </w:tr>
      <w:tr w14:paraId="40988B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7FF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EDF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213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96E91">
            <w:pPr>
              <w:jc w:val="center"/>
            </w:pPr>
            <w:r>
              <w:rPr>
                <w:rFonts w:ascii="宋体" w:hAnsi="宋体" w:eastAsia="宋体"/>
                <w:sz w:val="16"/>
              </w:rPr>
              <w:t>审计报告质量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301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E4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8CAD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B57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133F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C89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55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56A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2365E">
            <w:pPr>
              <w:jc w:val="center"/>
            </w:pPr>
            <w:r>
              <w:rPr>
                <w:rFonts w:ascii="宋体" w:hAnsi="宋体" w:eastAsia="宋体"/>
                <w:sz w:val="16"/>
              </w:rPr>
              <w:t>偏差原因分析：项目完成情况较好，审计报告质量满意度高于预期值，所以出现正偏差；改进措施：基于当前良好表现，重新审视绩效目标，在以后绩效目标设置时设置更具挑战性的目标，以推动业务持续发展。</w:t>
            </w:r>
          </w:p>
        </w:tc>
      </w:tr>
      <w:tr w14:paraId="4036C4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14A7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5EBF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1D85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749A3E">
            <w:pPr>
              <w:jc w:val="center"/>
            </w:pPr>
            <w:r>
              <w:rPr>
                <w:rFonts w:ascii="宋体" w:hAnsi="宋体" w:eastAsia="宋体"/>
                <w:sz w:val="16"/>
              </w:rPr>
              <w:t>89.21分</w:t>
            </w:r>
          </w:p>
        </w:tc>
      </w:tr>
    </w:tbl>
    <w:p w14:paraId="20DE00B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1AD28F9">
        <w:tblPrEx>
          <w:tblCellMar>
            <w:top w:w="0" w:type="dxa"/>
            <w:left w:w="108" w:type="dxa"/>
            <w:bottom w:w="0" w:type="dxa"/>
            <w:right w:w="108" w:type="dxa"/>
          </w:tblCellMar>
        </w:tblPrEx>
        <w:tc>
          <w:tcPr>
            <w:tcW w:w="8848" w:type="dxa"/>
            <w:gridSpan w:val="14"/>
            <w:vAlign w:val="center"/>
          </w:tcPr>
          <w:p w14:paraId="557D24AF">
            <w:pPr>
              <w:jc w:val="center"/>
            </w:pPr>
            <w:r>
              <w:rPr>
                <w:rFonts w:ascii="宋体" w:hAnsi="宋体" w:eastAsia="宋体"/>
                <w:sz w:val="24"/>
              </w:rPr>
              <w:t>项目支出绩效自评表</w:t>
            </w:r>
          </w:p>
        </w:tc>
      </w:tr>
      <w:tr w14:paraId="6FA4C6AF">
        <w:tblPrEx>
          <w:tblCellMar>
            <w:top w:w="0" w:type="dxa"/>
            <w:left w:w="108" w:type="dxa"/>
            <w:bottom w:w="0" w:type="dxa"/>
            <w:right w:w="108" w:type="dxa"/>
          </w:tblCellMar>
        </w:tblPrEx>
        <w:tc>
          <w:tcPr>
            <w:tcW w:w="8848" w:type="dxa"/>
            <w:gridSpan w:val="14"/>
            <w:vAlign w:val="center"/>
          </w:tcPr>
          <w:p w14:paraId="1BE2587B">
            <w:pPr>
              <w:jc w:val="center"/>
            </w:pPr>
            <w:r>
              <w:rPr>
                <w:rFonts w:ascii="宋体" w:hAnsi="宋体" w:eastAsia="宋体"/>
                <w:sz w:val="24"/>
              </w:rPr>
              <w:t>(2024年度)</w:t>
            </w:r>
          </w:p>
        </w:tc>
      </w:tr>
      <w:tr w14:paraId="4795A1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09DC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F43A5B">
            <w:pPr>
              <w:jc w:val="center"/>
            </w:pPr>
            <w:r>
              <w:rPr>
                <w:rFonts w:ascii="宋体" w:hAnsi="宋体" w:eastAsia="宋体"/>
                <w:sz w:val="16"/>
              </w:rPr>
              <w:t>2024年经济责任和自然资源资产离任审计专项经费项目</w:t>
            </w:r>
          </w:p>
        </w:tc>
      </w:tr>
      <w:tr w14:paraId="5409E1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B3BE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EFADE7">
            <w:pPr>
              <w:jc w:val="center"/>
            </w:pPr>
            <w:r>
              <w:rPr>
                <w:rFonts w:ascii="宋体" w:hAnsi="宋体" w:eastAsia="宋体"/>
                <w:sz w:val="16"/>
              </w:rPr>
              <w:t>塔什库尔干塔吉克自治县人民政府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E0A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CDF9FF">
            <w:pPr>
              <w:jc w:val="center"/>
            </w:pPr>
            <w:r>
              <w:rPr>
                <w:rFonts w:ascii="宋体" w:hAnsi="宋体" w:eastAsia="宋体"/>
                <w:sz w:val="16"/>
              </w:rPr>
              <w:t>塔什库尔干塔吉克自治县审计局</w:t>
            </w:r>
          </w:p>
        </w:tc>
      </w:tr>
      <w:tr w14:paraId="0B7F1E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043C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95B5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BD8A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5AE5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4BA7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155E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3713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2764">
            <w:pPr>
              <w:jc w:val="center"/>
            </w:pPr>
            <w:r>
              <w:rPr>
                <w:rFonts w:ascii="宋体" w:hAnsi="宋体" w:eastAsia="宋体"/>
                <w:sz w:val="16"/>
              </w:rPr>
              <w:t>得分</w:t>
            </w:r>
          </w:p>
        </w:tc>
      </w:tr>
      <w:tr w14:paraId="5DED5A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D5E92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88FD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56F73">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4213E">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517A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BC0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89C5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8BAD9">
            <w:pPr>
              <w:jc w:val="center"/>
            </w:pPr>
            <w:r>
              <w:rPr>
                <w:rFonts w:ascii="宋体" w:hAnsi="宋体" w:eastAsia="宋体"/>
                <w:sz w:val="16"/>
              </w:rPr>
              <w:t>10.00分</w:t>
            </w:r>
          </w:p>
        </w:tc>
      </w:tr>
      <w:tr w14:paraId="532264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8CC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792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9956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A351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9FA86">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3BA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423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0858C">
            <w:pPr>
              <w:jc w:val="center"/>
            </w:pPr>
            <w:r>
              <w:rPr>
                <w:rFonts w:ascii="宋体" w:hAnsi="宋体" w:eastAsia="宋体"/>
                <w:sz w:val="16"/>
              </w:rPr>
              <w:t>—</w:t>
            </w:r>
          </w:p>
        </w:tc>
      </w:tr>
      <w:tr w14:paraId="0F5F5B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1A6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231A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A0E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EB3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495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963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1FC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41416">
            <w:pPr>
              <w:jc w:val="center"/>
            </w:pPr>
            <w:r>
              <w:rPr>
                <w:rFonts w:ascii="宋体" w:hAnsi="宋体" w:eastAsia="宋体"/>
                <w:sz w:val="16"/>
              </w:rPr>
              <w:t>—</w:t>
            </w:r>
          </w:p>
        </w:tc>
      </w:tr>
      <w:tr w14:paraId="3D4E7D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DDA3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3E364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3BDED7">
            <w:pPr>
              <w:jc w:val="center"/>
            </w:pPr>
            <w:r>
              <w:rPr>
                <w:rFonts w:ascii="宋体" w:hAnsi="宋体" w:eastAsia="宋体"/>
                <w:sz w:val="16"/>
              </w:rPr>
              <w:t>实际完成情况</w:t>
            </w:r>
          </w:p>
        </w:tc>
      </w:tr>
      <w:tr w14:paraId="0DAC89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CAD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A1AACC">
            <w:pPr>
              <w:jc w:val="both"/>
            </w:pPr>
            <w:r>
              <w:rPr>
                <w:rFonts w:ascii="宋体" w:hAnsi="宋体" w:eastAsia="宋体"/>
                <w:sz w:val="16"/>
              </w:rPr>
              <w:t>本项目审计项目数为1个，审计经费成本为2万元。通过该项目实施，履行自身职责、落实目标责任，重大经济事项决策、重大投资项目安排、建设和管理情况，大额资金使用情况，内部管理制度建立和执行情况，对下属单位财政财务收支及有关经营活动的管理和监督情况。确保被审计单位满意度在95%以上，对审计人员投诉率控制在5%以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EA9D33">
            <w:pPr>
              <w:jc w:val="both"/>
            </w:pPr>
            <w:r>
              <w:rPr>
                <w:rFonts w:ascii="宋体" w:hAnsi="宋体" w:eastAsia="宋体"/>
                <w:sz w:val="16"/>
              </w:rPr>
              <w:t>该项目实际支出2万元，用于对班迪尔乡党委书记岳士芳和乡党委副书记、乡长阿孜别克·加发尔库力任职期间履行经济责任情况进行审计，主要内容包含：履行自身职责、落实目标责任，重大经济事项决策、重大投资项目安排、建设和管理情况，大额资金使用情况，内部管理制度建立和执行情况，对下属单位财政财务收支及有关经营活动的管理和监督情况，出具审计报告1个。方案内容完成率达100%，审计项目按时完成率达100%，审计报告质量达标率达100%，通过该项目实施，推动了党风廉政建设，营造了风清气正的政治生态，为被审计单位提供了改进管理的建议和方向，促进其完善了内部管理制度。</w:t>
            </w:r>
          </w:p>
        </w:tc>
      </w:tr>
      <w:tr w14:paraId="7D1238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645D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FA7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BEF6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A25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24E0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EB7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D15B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61ED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9F1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BE7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8DB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93B2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32829">
            <w:pPr>
              <w:jc w:val="center"/>
            </w:pPr>
            <w:r>
              <w:rPr>
                <w:rFonts w:ascii="宋体" w:hAnsi="宋体" w:eastAsia="宋体"/>
                <w:sz w:val="16"/>
              </w:rPr>
              <w:t>偏差原因分析及改进措施</w:t>
            </w:r>
          </w:p>
        </w:tc>
      </w:tr>
      <w:tr w14:paraId="50FEB2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C9A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B0274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05B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BFB7E">
            <w:pPr>
              <w:jc w:val="center"/>
            </w:pPr>
            <w:r>
              <w:rPr>
                <w:rFonts w:ascii="宋体" w:hAnsi="宋体" w:eastAsia="宋体"/>
                <w:sz w:val="16"/>
              </w:rPr>
              <w:t>审计项目数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3FD0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30D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835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E17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91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5B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BDF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B24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9D0BE">
            <w:pPr>
              <w:jc w:val="center"/>
            </w:pPr>
          </w:p>
        </w:tc>
      </w:tr>
      <w:tr w14:paraId="32BEC8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BBD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792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56C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A3D5E">
            <w:pPr>
              <w:jc w:val="center"/>
            </w:pPr>
            <w:r>
              <w:rPr>
                <w:rFonts w:ascii="宋体" w:hAnsi="宋体" w:eastAsia="宋体"/>
                <w:sz w:val="16"/>
              </w:rPr>
              <w:t>提交各类审计报告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AC7D9">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88D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07B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015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9A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FDD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B0B1B">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0BC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6D236">
            <w:pPr>
              <w:jc w:val="center"/>
            </w:pPr>
          </w:p>
        </w:tc>
      </w:tr>
      <w:tr w14:paraId="08D00D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9C5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DA8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2E7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7340">
            <w:pPr>
              <w:jc w:val="center"/>
            </w:pPr>
            <w:r>
              <w:rPr>
                <w:rFonts w:ascii="宋体" w:hAnsi="宋体" w:eastAsia="宋体"/>
                <w:sz w:val="16"/>
              </w:rPr>
              <w:t>方案内容完成率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D7BF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B83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9B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DD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BC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D6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2A2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FC059">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5C4B4">
            <w:pPr>
              <w:jc w:val="center"/>
            </w:pPr>
            <w:r>
              <w:rPr>
                <w:rFonts w:ascii="宋体" w:hAnsi="宋体" w:eastAsia="宋体"/>
                <w:sz w:val="16"/>
              </w:rPr>
              <w:t>偏差原因分析：项目实施情况较好，方案内容完成率高于预期导致出现正偏差，改进措施：基于当前良好表现，重新审视绩效目标，在以后绩效目标设置时设置更具挑战性的目标，以推动业务持续发展。</w:t>
            </w:r>
          </w:p>
        </w:tc>
      </w:tr>
      <w:tr w14:paraId="07416F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EEA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646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D78D5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21F2">
            <w:pPr>
              <w:jc w:val="center"/>
            </w:pPr>
            <w:r>
              <w:rPr>
                <w:rFonts w:ascii="宋体" w:hAnsi="宋体" w:eastAsia="宋体"/>
                <w:sz w:val="16"/>
              </w:rPr>
              <w:t>审计项目按时完成率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55F9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1D9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38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A83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C56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5A7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5E0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7DBE">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247EE">
            <w:pPr>
              <w:jc w:val="center"/>
            </w:pPr>
            <w:r>
              <w:rPr>
                <w:rFonts w:ascii="宋体" w:hAnsi="宋体" w:eastAsia="宋体"/>
                <w:sz w:val="16"/>
              </w:rPr>
              <w:t>偏差原因分析：项目实施情况较好，审计项目按时完成率高于预期导致出现正偏差，改进措施：基于当前良好表现，重新审视绩效目标，在以后绩效目标设置时设置更具挑战性的目标，以推动业务持续发展。</w:t>
            </w:r>
          </w:p>
        </w:tc>
      </w:tr>
      <w:tr w14:paraId="70FD45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889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71C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3DD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A36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FD30">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15B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A2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669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433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4C94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CEE2">
            <w:pPr>
              <w:jc w:val="center"/>
            </w:pPr>
            <w:r>
              <w:rPr>
                <w:rFonts w:ascii="宋体" w:hAnsi="宋体" w:eastAsia="宋体"/>
                <w:sz w:val="16"/>
              </w:rPr>
              <w:t>=2024年9月25日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6689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627DF">
            <w:pPr>
              <w:jc w:val="center"/>
            </w:pPr>
          </w:p>
        </w:tc>
      </w:tr>
      <w:tr w14:paraId="2FFDE0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549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3591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55D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8E03D">
            <w:pPr>
              <w:jc w:val="center"/>
            </w:pPr>
            <w:r>
              <w:rPr>
                <w:rFonts w:ascii="宋体" w:hAnsi="宋体" w:eastAsia="宋体"/>
                <w:sz w:val="16"/>
              </w:rPr>
              <w:t>审计专项审计经费控制率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21AD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73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9B0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D197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41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5FA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C2E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95A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48D62">
            <w:pPr>
              <w:jc w:val="center"/>
            </w:pPr>
          </w:p>
        </w:tc>
      </w:tr>
      <w:tr w14:paraId="6CB3F9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464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CDEA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E15C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81226">
            <w:pPr>
              <w:jc w:val="center"/>
            </w:pPr>
            <w:r>
              <w:rPr>
                <w:rFonts w:ascii="宋体" w:hAnsi="宋体" w:eastAsia="宋体"/>
                <w:sz w:val="16"/>
              </w:rPr>
              <w:t>审计查处主要问题金额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43A7F">
            <w:pPr>
              <w:jc w:val="center"/>
            </w:pPr>
            <w:r>
              <w:rPr>
                <w:rFonts w:ascii="宋体" w:hAnsi="宋体" w:eastAsia="宋体"/>
                <w:sz w:val="16"/>
              </w:rPr>
              <w:t>&gt;=1万元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EA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90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40F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1F7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8B3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B1C7B">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DE52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99947">
            <w:pPr>
              <w:jc w:val="center"/>
            </w:pPr>
          </w:p>
        </w:tc>
      </w:tr>
      <w:tr w14:paraId="5B8BFC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F07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2D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16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74DF">
            <w:pPr>
              <w:jc w:val="center"/>
            </w:pPr>
            <w:r>
              <w:rPr>
                <w:rFonts w:ascii="宋体" w:hAnsi="宋体" w:eastAsia="宋体"/>
                <w:sz w:val="16"/>
              </w:rPr>
              <w:t>审计报告质量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22A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FC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D85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A70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68B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686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7F2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E82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29D1E">
            <w:pPr>
              <w:jc w:val="center"/>
            </w:pPr>
            <w:r>
              <w:rPr>
                <w:rFonts w:ascii="宋体" w:hAnsi="宋体" w:eastAsia="宋体"/>
                <w:sz w:val="16"/>
              </w:rPr>
              <w:t>偏差原因分析：项目实施情况较好，审计报告质量高于预期导致出现正偏差，改进措施：基于当前良好表现，重新审视绩效目标，在以后绩效目标设置时设置更具挑战性的目标，以推动业务持续发展。</w:t>
            </w:r>
          </w:p>
        </w:tc>
      </w:tr>
      <w:tr w14:paraId="600F48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E68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C0FC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E049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4632D2">
            <w:pPr>
              <w:jc w:val="center"/>
            </w:pPr>
            <w:r>
              <w:rPr>
                <w:rFonts w:ascii="宋体" w:hAnsi="宋体" w:eastAsia="宋体"/>
                <w:sz w:val="16"/>
              </w:rPr>
              <w:t>99.21分</w:t>
            </w:r>
          </w:p>
        </w:tc>
      </w:tr>
    </w:tbl>
    <w:p w14:paraId="760DA530">
      <w:r>
        <w:br w:type="page"/>
      </w:r>
    </w:p>
    <w:p w14:paraId="47F7A1AA">
      <w:pPr>
        <w:spacing w:line="640" w:lineRule="exact"/>
        <w:ind w:firstLine="640"/>
        <w:jc w:val="both"/>
        <w:outlineLvl w:val="2"/>
      </w:pPr>
      <w:r>
        <w:rPr>
          <w:rFonts w:ascii="黑体" w:hAnsi="黑体" w:eastAsia="黑体"/>
          <w:sz w:val="32"/>
        </w:rPr>
        <w:t>十二、其他需说明的事项</w:t>
      </w:r>
    </w:p>
    <w:p w14:paraId="0F6529EF">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088DAA18">
      <w:r>
        <w:br w:type="page"/>
      </w:r>
    </w:p>
    <w:p w14:paraId="5CB62393">
      <w:pPr>
        <w:spacing w:line="240" w:lineRule="auto"/>
        <w:jc w:val="center"/>
        <w:outlineLvl w:val="1"/>
      </w:pPr>
      <w:r>
        <w:rPr>
          <w:rFonts w:ascii="黑体" w:hAnsi="黑体" w:eastAsia="黑体"/>
          <w:sz w:val="32"/>
        </w:rPr>
        <w:t>第三部分 专业名词解释</w:t>
      </w:r>
    </w:p>
    <w:p w14:paraId="0C9853A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2A0B3F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251973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B003A6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B19825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FB08CF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6FE57E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9A9B4A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A0D848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959196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10DD6D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BED151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F68CB5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CADAD6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8F83743">
      <w:r>
        <w:br w:type="page"/>
      </w:r>
    </w:p>
    <w:p w14:paraId="6F4F4FD0">
      <w:pPr>
        <w:spacing w:line="240" w:lineRule="auto"/>
        <w:jc w:val="center"/>
        <w:outlineLvl w:val="1"/>
      </w:pPr>
      <w:r>
        <w:rPr>
          <w:rFonts w:ascii="黑体" w:hAnsi="黑体" w:eastAsia="黑体"/>
          <w:sz w:val="32"/>
        </w:rPr>
        <w:t>第四部分 部门决算报表（见附表）</w:t>
      </w:r>
    </w:p>
    <w:p w14:paraId="070E6EE8">
      <w:pPr>
        <w:spacing w:line="240" w:lineRule="auto"/>
        <w:ind w:firstLine="640"/>
        <w:jc w:val="both"/>
      </w:pPr>
      <w:r>
        <w:rPr>
          <w:rFonts w:ascii="仿宋_GB2312" w:hAnsi="仿宋_GB2312" w:eastAsia="仿宋_GB2312"/>
          <w:b w:val="0"/>
          <w:sz w:val="32"/>
        </w:rPr>
        <w:t>一、《收入支出决算总表》</w:t>
      </w:r>
    </w:p>
    <w:p w14:paraId="4443180F">
      <w:pPr>
        <w:spacing w:line="240" w:lineRule="auto"/>
        <w:ind w:firstLine="640"/>
        <w:jc w:val="both"/>
      </w:pPr>
      <w:r>
        <w:rPr>
          <w:rFonts w:ascii="仿宋_GB2312" w:hAnsi="仿宋_GB2312" w:eastAsia="仿宋_GB2312"/>
          <w:b w:val="0"/>
          <w:sz w:val="32"/>
        </w:rPr>
        <w:t>二、《收入决算表》</w:t>
      </w:r>
    </w:p>
    <w:p w14:paraId="65B2AB81">
      <w:pPr>
        <w:spacing w:line="240" w:lineRule="auto"/>
        <w:ind w:firstLine="640"/>
        <w:jc w:val="both"/>
      </w:pPr>
      <w:r>
        <w:rPr>
          <w:rFonts w:ascii="仿宋_GB2312" w:hAnsi="仿宋_GB2312" w:eastAsia="仿宋_GB2312"/>
          <w:b w:val="0"/>
          <w:sz w:val="32"/>
        </w:rPr>
        <w:t>三、《支出决算表》</w:t>
      </w:r>
    </w:p>
    <w:p w14:paraId="4314C3BF">
      <w:pPr>
        <w:spacing w:line="240" w:lineRule="auto"/>
        <w:ind w:firstLine="640"/>
        <w:jc w:val="both"/>
      </w:pPr>
      <w:r>
        <w:rPr>
          <w:rFonts w:ascii="仿宋_GB2312" w:hAnsi="仿宋_GB2312" w:eastAsia="仿宋_GB2312"/>
          <w:b w:val="0"/>
          <w:sz w:val="32"/>
        </w:rPr>
        <w:t>四、《财政拨款收入支出决算总表》</w:t>
      </w:r>
    </w:p>
    <w:p w14:paraId="6DB09FD8">
      <w:pPr>
        <w:spacing w:line="240" w:lineRule="auto"/>
        <w:ind w:firstLine="640"/>
        <w:jc w:val="both"/>
      </w:pPr>
      <w:r>
        <w:rPr>
          <w:rFonts w:ascii="仿宋_GB2312" w:hAnsi="仿宋_GB2312" w:eastAsia="仿宋_GB2312"/>
          <w:b w:val="0"/>
          <w:sz w:val="32"/>
        </w:rPr>
        <w:t>五、《一般公共预算财政拨款支出决算表》</w:t>
      </w:r>
    </w:p>
    <w:p w14:paraId="0E918ACD">
      <w:pPr>
        <w:spacing w:line="240" w:lineRule="auto"/>
        <w:ind w:firstLine="640"/>
        <w:jc w:val="both"/>
      </w:pPr>
      <w:r>
        <w:rPr>
          <w:rFonts w:ascii="仿宋_GB2312" w:hAnsi="仿宋_GB2312" w:eastAsia="仿宋_GB2312"/>
          <w:b w:val="0"/>
          <w:sz w:val="32"/>
        </w:rPr>
        <w:t>六、《一般公共预算财政拨款基本支出决算表》</w:t>
      </w:r>
    </w:p>
    <w:p w14:paraId="4A90E486">
      <w:pPr>
        <w:spacing w:line="240" w:lineRule="auto"/>
        <w:ind w:firstLine="640"/>
        <w:jc w:val="both"/>
      </w:pPr>
      <w:r>
        <w:rPr>
          <w:rFonts w:ascii="仿宋_GB2312" w:hAnsi="仿宋_GB2312" w:eastAsia="仿宋_GB2312"/>
          <w:b w:val="0"/>
          <w:sz w:val="32"/>
        </w:rPr>
        <w:t>七、《政府性基金预算财政拨款收入支出决算表》</w:t>
      </w:r>
    </w:p>
    <w:p w14:paraId="61435B7C">
      <w:pPr>
        <w:spacing w:line="240" w:lineRule="auto"/>
        <w:ind w:firstLine="640"/>
        <w:jc w:val="both"/>
      </w:pPr>
      <w:r>
        <w:rPr>
          <w:rFonts w:ascii="仿宋_GB2312" w:hAnsi="仿宋_GB2312" w:eastAsia="仿宋_GB2312"/>
          <w:b w:val="0"/>
          <w:sz w:val="32"/>
        </w:rPr>
        <w:t>八、《国有资本经营预算财政拨款收入支出决算表》</w:t>
      </w:r>
    </w:p>
    <w:p w14:paraId="7278CEFA">
      <w:pPr>
        <w:spacing w:line="240" w:lineRule="auto"/>
        <w:ind w:firstLine="640"/>
        <w:jc w:val="both"/>
      </w:pPr>
      <w:r>
        <w:rPr>
          <w:rFonts w:ascii="仿宋_GB2312" w:hAnsi="仿宋_GB2312" w:eastAsia="仿宋_GB2312"/>
          <w:b w:val="0"/>
          <w:sz w:val="32"/>
        </w:rPr>
        <w:t>九、《财政拨款“三公”经费支出决算表》</w:t>
      </w:r>
    </w:p>
    <w:p w14:paraId="40B9CE8A">
      <w:pPr>
        <w:spacing w:line="240" w:lineRule="auto"/>
        <w:ind w:firstLine="640"/>
        <w:jc w:val="both"/>
      </w:pPr>
    </w:p>
    <w:p w14:paraId="0F5E4D49">
      <w:pPr>
        <w:spacing w:line="240" w:lineRule="auto"/>
        <w:ind w:firstLine="640"/>
        <w:jc w:val="both"/>
      </w:pPr>
    </w:p>
    <w:p w14:paraId="5AECBBA6">
      <w:pPr>
        <w:spacing w:line="240" w:lineRule="auto"/>
        <w:ind w:firstLine="640"/>
        <w:jc w:val="both"/>
      </w:pPr>
    </w:p>
    <w:p w14:paraId="774449F1">
      <w:pPr>
        <w:spacing w:line="240" w:lineRule="auto"/>
        <w:ind w:firstLine="640"/>
        <w:jc w:val="both"/>
      </w:pPr>
    </w:p>
    <w:p w14:paraId="0DD466B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2F56C0A"/>
    <w:rsid w:val="23BC04D2"/>
    <w:rsid w:val="25275618"/>
    <w:rsid w:val="27CE017C"/>
    <w:rsid w:val="27CF2642"/>
    <w:rsid w:val="282459E2"/>
    <w:rsid w:val="29116777"/>
    <w:rsid w:val="2A053397"/>
    <w:rsid w:val="2A2F0835"/>
    <w:rsid w:val="2A444FB1"/>
    <w:rsid w:val="2A6064E2"/>
    <w:rsid w:val="2C1965E9"/>
    <w:rsid w:val="2D1136DF"/>
    <w:rsid w:val="2DAE0E44"/>
    <w:rsid w:val="2FD27414"/>
    <w:rsid w:val="313F1D52"/>
    <w:rsid w:val="318029AB"/>
    <w:rsid w:val="31C63837"/>
    <w:rsid w:val="326F0A17"/>
    <w:rsid w:val="3277581B"/>
    <w:rsid w:val="3704407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243675"/>
    <w:rsid w:val="4F3F074E"/>
    <w:rsid w:val="50DB5F45"/>
    <w:rsid w:val="52F92565"/>
    <w:rsid w:val="543D17CB"/>
    <w:rsid w:val="55DA564E"/>
    <w:rsid w:val="56E07045"/>
    <w:rsid w:val="583059FA"/>
    <w:rsid w:val="587E6212"/>
    <w:rsid w:val="5AFC6609"/>
    <w:rsid w:val="5CC01FD7"/>
    <w:rsid w:val="5FA17648"/>
    <w:rsid w:val="5FD320BD"/>
    <w:rsid w:val="60DE4D57"/>
    <w:rsid w:val="613409CB"/>
    <w:rsid w:val="61A46A97"/>
    <w:rsid w:val="624A086E"/>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C22D67"/>
    <w:rsid w:val="73DE4104"/>
    <w:rsid w:val="73FB6630"/>
    <w:rsid w:val="74CE04EC"/>
    <w:rsid w:val="74E76DCD"/>
    <w:rsid w:val="76660D7C"/>
    <w:rsid w:val="77ED6F44"/>
    <w:rsid w:val="795A0A34"/>
    <w:rsid w:val="7A0D3BC7"/>
    <w:rsid w:val="7A3A3CDB"/>
    <w:rsid w:val="7F0E18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5819</Words>
  <Characters>6615</Characters>
  <Lines>0</Lines>
  <Paragraphs>0</Paragraphs>
  <TotalTime>0</TotalTime>
  <ScaleCrop>false</ScaleCrop>
  <LinksUpToDate>false</LinksUpToDate>
  <CharactersWithSpaces>6628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