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FB83FE">
      <w:r>
        <w:br w:type="page"/>
      </w:r>
    </w:p>
    <w:p w14:paraId="0086A4A3">
      <w:pPr>
        <w:spacing w:line="640" w:lineRule="exact"/>
        <w:jc w:val="center"/>
        <w:outlineLvl w:val="1"/>
      </w:pPr>
      <w:r>
        <w:rPr>
          <w:rFonts w:ascii="黑体" w:hAnsi="黑体" w:eastAsia="黑体"/>
          <w:sz w:val="32"/>
        </w:rPr>
        <w:t>第一部分 单位概况</w:t>
      </w:r>
    </w:p>
    <w:p w14:paraId="45D5EFA3">
      <w:pPr>
        <w:spacing w:line="640" w:lineRule="exact"/>
        <w:ind w:firstLine="640"/>
        <w:jc w:val="both"/>
        <w:outlineLvl w:val="2"/>
      </w:pPr>
      <w:r>
        <w:rPr>
          <w:rFonts w:ascii="黑体" w:hAnsi="黑体" w:eastAsia="黑体"/>
          <w:sz w:val="32"/>
        </w:rPr>
        <w:t>一、主要职能</w:t>
      </w:r>
    </w:p>
    <w:p w14:paraId="3CF2478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贯彻执行国家、自治区人民政府和上级工商行政管理机关关于工商行政管理工作的方针、政策、法律、法规和规章制度。</w:t>
      </w:r>
    </w:p>
    <w:p w14:paraId="23E9E19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组织管理工商企业和从事经营活动的单位、个人的登记注册，依法核定注册单位名称，审定、批准、颁发有关证照，对其登记注册事项及经营活动进行监督管理。</w:t>
      </w:r>
    </w:p>
    <w:p w14:paraId="22AC883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依法组织监督管理市场竞争行为，查处垄断、不正当竞争、流通领域的走私贩私行为，打击传销和变相传销等经济违法行为。</w:t>
      </w:r>
    </w:p>
    <w:p w14:paraId="1B42A5E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依法组织监督市场交易行为，组织监督流通领域商品质量，组织查处假冒伪劣商品行为，受理消费者申诉，组织查处侵犯消费者权益案件，保护经营者、消费者合法权益。</w:t>
      </w:r>
    </w:p>
    <w:p w14:paraId="757549F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组织实施各类市场经营秩序的规范管理与监督；监督管理电子网络经营行为。</w:t>
      </w:r>
    </w:p>
    <w:p w14:paraId="0FF6711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查处商标侵权行为，保护注册商标专用权，监督管理商标的使用和印制；指导商标代理机构工作。</w:t>
      </w:r>
    </w:p>
    <w:p w14:paraId="3FE41B2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组织管理广告审批发布与广告经营活动，指导广告审查机构的工作。</w:t>
      </w:r>
    </w:p>
    <w:p w14:paraId="6E59AA41">
      <w:pPr>
        <w:spacing w:line="640" w:lineRule="exact"/>
        <w:ind w:firstLine="640"/>
        <w:jc w:val="both"/>
        <w:outlineLvl w:val="2"/>
      </w:pPr>
      <w:r>
        <w:rPr>
          <w:rFonts w:ascii="黑体" w:hAnsi="黑体" w:eastAsia="黑体"/>
          <w:sz w:val="32"/>
        </w:rPr>
        <w:t>二、机构设置及人员情况</w:t>
      </w:r>
    </w:p>
    <w:p w14:paraId="335AAF5B">
      <w:pPr>
        <w:spacing w:line="580" w:lineRule="exact"/>
        <w:ind w:firstLine="640"/>
        <w:jc w:val="both"/>
      </w:pPr>
      <w:r>
        <w:rPr>
          <w:rFonts w:ascii="仿宋_GB2312" w:hAnsi="仿宋_GB2312" w:eastAsia="仿宋_GB2312"/>
          <w:sz w:val="32"/>
        </w:rPr>
        <w:t>塔什库尔干塔吉克自治县市场监督管理局2024年度，实有人数25人，其中：在职人员13人，减少3人；离休人员0人，增加0人；退休人员12人,增加1人。</w:t>
      </w:r>
    </w:p>
    <w:p w14:paraId="61B9D361">
      <w:pPr>
        <w:spacing w:line="580" w:lineRule="exact"/>
        <w:ind w:firstLine="640"/>
        <w:jc w:val="both"/>
      </w:pPr>
      <w:r>
        <w:rPr>
          <w:rFonts w:ascii="仿宋_GB2312" w:hAnsi="仿宋_GB2312" w:eastAsia="仿宋_GB2312"/>
          <w:sz w:val="32"/>
        </w:rPr>
        <w:t>单位无下属预算单位，下设4个科室，分别是：综合办公室、行政许可审批科、食品药品科、特种设备和标准计量安全监察科。</w:t>
      </w:r>
    </w:p>
    <w:p w14:paraId="1138E4F1">
      <w:r>
        <w:br w:type="page"/>
      </w:r>
    </w:p>
    <w:p w14:paraId="285B1E10">
      <w:pPr>
        <w:spacing w:line="240" w:lineRule="auto"/>
        <w:jc w:val="center"/>
        <w:outlineLvl w:val="1"/>
      </w:pPr>
      <w:r>
        <w:rPr>
          <w:rFonts w:ascii="黑体" w:hAnsi="黑体" w:eastAsia="黑体"/>
          <w:sz w:val="32"/>
        </w:rPr>
        <w:t>第二部分 部门决算情况说明</w:t>
      </w:r>
    </w:p>
    <w:p w14:paraId="7E0A624A">
      <w:pPr>
        <w:spacing w:line="640" w:lineRule="exact"/>
        <w:ind w:firstLine="640"/>
        <w:jc w:val="both"/>
        <w:outlineLvl w:val="2"/>
      </w:pPr>
      <w:r>
        <w:rPr>
          <w:rFonts w:ascii="黑体" w:hAnsi="黑体" w:eastAsia="黑体"/>
          <w:sz w:val="32"/>
        </w:rPr>
        <w:t>一、收入支出决算总体情况说明</w:t>
      </w:r>
    </w:p>
    <w:p w14:paraId="014781FF">
      <w:pPr>
        <w:spacing w:line="580" w:lineRule="exact"/>
        <w:ind w:firstLine="640"/>
        <w:jc w:val="both"/>
      </w:pPr>
      <w:r>
        <w:rPr>
          <w:rFonts w:ascii="仿宋_GB2312" w:hAnsi="仿宋_GB2312" w:eastAsia="仿宋_GB2312"/>
          <w:b/>
          <w:sz w:val="32"/>
        </w:rPr>
        <w:t>2024年度收入总计735.59万元，</w:t>
      </w:r>
      <w:r>
        <w:rPr>
          <w:rFonts w:ascii="仿宋_GB2312" w:hAnsi="仿宋_GB2312" w:eastAsia="仿宋_GB2312"/>
          <w:b w:val="0"/>
          <w:sz w:val="32"/>
        </w:rPr>
        <w:t>其中：本年收入合计735.59万元，使用非财政拨款结余（含专用结余）0.00万元，年初结转和结余0.00万元。</w:t>
      </w:r>
    </w:p>
    <w:p w14:paraId="2CE755F7">
      <w:pPr>
        <w:spacing w:line="580" w:lineRule="exact"/>
        <w:ind w:firstLine="640"/>
        <w:jc w:val="both"/>
      </w:pPr>
      <w:r>
        <w:rPr>
          <w:rFonts w:ascii="仿宋_GB2312" w:hAnsi="仿宋_GB2312" w:eastAsia="仿宋_GB2312"/>
          <w:b/>
          <w:sz w:val="32"/>
        </w:rPr>
        <w:t>2024年度支出总计735.59万元，</w:t>
      </w:r>
      <w:r>
        <w:rPr>
          <w:rFonts w:ascii="仿宋_GB2312" w:hAnsi="仿宋_GB2312" w:eastAsia="仿宋_GB2312"/>
          <w:b w:val="0"/>
          <w:sz w:val="32"/>
        </w:rPr>
        <w:t>其中：本年支出合计735.59万元，结余分配0.00万元，年末结转和结余0.00万元。</w:t>
      </w:r>
    </w:p>
    <w:p w14:paraId="6B8D7B14">
      <w:pPr>
        <w:spacing w:line="580" w:lineRule="exact"/>
        <w:ind w:firstLine="640"/>
        <w:jc w:val="both"/>
      </w:pPr>
      <w:r>
        <w:rPr>
          <w:rFonts w:ascii="仿宋_GB2312" w:hAnsi="仿宋_GB2312" w:eastAsia="仿宋_GB2312"/>
          <w:b w:val="0"/>
          <w:sz w:val="32"/>
        </w:rPr>
        <w:t>收入支出总体与上年相比，增加319.84万元，增长76.93%，主要原因是：本年度增加食品抽检安全检测项目、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p>
    <w:p w14:paraId="5EBC2031">
      <w:pPr>
        <w:spacing w:line="640" w:lineRule="exact"/>
        <w:ind w:firstLine="640"/>
        <w:jc w:val="both"/>
        <w:outlineLvl w:val="2"/>
      </w:pPr>
      <w:r>
        <w:rPr>
          <w:rFonts w:ascii="黑体" w:hAnsi="黑体" w:eastAsia="黑体"/>
          <w:sz w:val="32"/>
        </w:rPr>
        <w:t>二、收入决算情况说明</w:t>
      </w:r>
    </w:p>
    <w:p w14:paraId="5F53817D">
      <w:pPr>
        <w:spacing w:line="580" w:lineRule="exact"/>
        <w:ind w:firstLine="640"/>
        <w:jc w:val="both"/>
      </w:pPr>
      <w:r>
        <w:rPr>
          <w:rFonts w:ascii="仿宋_GB2312" w:hAnsi="仿宋_GB2312" w:eastAsia="仿宋_GB2312"/>
          <w:b/>
          <w:sz w:val="32"/>
        </w:rPr>
        <w:t>本年收入735.59万元，</w:t>
      </w:r>
      <w:r>
        <w:rPr>
          <w:rFonts w:ascii="仿宋_GB2312" w:hAnsi="仿宋_GB2312" w:eastAsia="仿宋_GB2312"/>
          <w:b w:val="0"/>
          <w:sz w:val="32"/>
        </w:rPr>
        <w:t>其中：财政拨款收入735.59万元，占100.00%；上级补助收入0.00万元，占0.00%；事业收入0.00万元，占0.00%；经营收入0.00万元，占0.00%；附属单位上缴收入0.00万元，占0.00%；其他收入0.00万元，占0.00%。</w:t>
      </w:r>
    </w:p>
    <w:p w14:paraId="4A920917">
      <w:pPr>
        <w:spacing w:line="640" w:lineRule="exact"/>
        <w:ind w:firstLine="640"/>
        <w:jc w:val="both"/>
        <w:outlineLvl w:val="2"/>
      </w:pPr>
      <w:r>
        <w:rPr>
          <w:rFonts w:ascii="黑体" w:hAnsi="黑体" w:eastAsia="黑体"/>
          <w:sz w:val="32"/>
        </w:rPr>
        <w:t>三、支出决算情况说明</w:t>
      </w:r>
    </w:p>
    <w:p w14:paraId="62844AB6">
      <w:pPr>
        <w:spacing w:line="580" w:lineRule="exact"/>
        <w:ind w:firstLine="640"/>
        <w:jc w:val="both"/>
      </w:pPr>
      <w:r>
        <w:rPr>
          <w:rFonts w:ascii="仿宋_GB2312" w:hAnsi="仿宋_GB2312" w:eastAsia="仿宋_GB2312"/>
          <w:b/>
          <w:sz w:val="32"/>
        </w:rPr>
        <w:t>本年支出735.59万元，</w:t>
      </w:r>
      <w:r>
        <w:rPr>
          <w:rFonts w:ascii="仿宋_GB2312" w:hAnsi="仿宋_GB2312" w:eastAsia="仿宋_GB2312"/>
          <w:b w:val="0"/>
          <w:sz w:val="32"/>
        </w:rPr>
        <w:t>其中：基本支出400.52万元，占54.45%；项目支出335.08万元，占45.55%；上缴上级支出0.00万元，占0.00%；经营支出0.00万元，占0.00%；对附属单位补助支出0.00万元，占0.00%。</w:t>
      </w:r>
    </w:p>
    <w:p w14:paraId="4F21C8F1">
      <w:pPr>
        <w:spacing w:line="640" w:lineRule="exact"/>
        <w:ind w:firstLine="640"/>
        <w:jc w:val="both"/>
        <w:outlineLvl w:val="2"/>
      </w:pPr>
      <w:r>
        <w:rPr>
          <w:rFonts w:ascii="黑体" w:hAnsi="黑体" w:eastAsia="黑体"/>
          <w:sz w:val="32"/>
        </w:rPr>
        <w:t>四、财政拨款收入支出决算总体情况说明</w:t>
      </w:r>
    </w:p>
    <w:p w14:paraId="6B098C58">
      <w:pPr>
        <w:spacing w:line="580" w:lineRule="exact"/>
        <w:ind w:firstLine="640"/>
        <w:jc w:val="both"/>
      </w:pPr>
      <w:r>
        <w:rPr>
          <w:rFonts w:ascii="仿宋_GB2312" w:hAnsi="仿宋_GB2312" w:eastAsia="仿宋_GB2312"/>
          <w:b/>
          <w:sz w:val="32"/>
        </w:rPr>
        <w:t>2024年度财政拨款收入总计735.59万元，</w:t>
      </w:r>
      <w:r>
        <w:rPr>
          <w:rFonts w:ascii="仿宋_GB2312" w:hAnsi="仿宋_GB2312" w:eastAsia="仿宋_GB2312"/>
          <w:b w:val="0"/>
          <w:sz w:val="32"/>
        </w:rPr>
        <w:t>其中：年初财政拨款结转和结余0.00万元，本年财政拨款收入735.59万元。</w:t>
      </w:r>
      <w:r>
        <w:rPr>
          <w:rFonts w:ascii="仿宋_GB2312" w:hAnsi="仿宋_GB2312" w:eastAsia="仿宋_GB2312"/>
          <w:b/>
          <w:sz w:val="32"/>
        </w:rPr>
        <w:t>财政拨款支出总计735.59万元，</w:t>
      </w:r>
      <w:r>
        <w:rPr>
          <w:rFonts w:ascii="仿宋_GB2312" w:hAnsi="仿宋_GB2312" w:eastAsia="仿宋_GB2312"/>
          <w:b w:val="0"/>
          <w:sz w:val="32"/>
        </w:rPr>
        <w:t>其中：年末财政拨款结转和结余0.00万元，本年财政拨款支出735.59万元。</w:t>
      </w:r>
    </w:p>
    <w:p w14:paraId="28A0BE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增加319.84万元，增长76.93%，主要原因是：本年度增加食品抽检安全检测项目、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r>
        <w:rPr>
          <w:rFonts w:ascii="仿宋_GB2312" w:hAnsi="仿宋_GB2312" w:eastAsia="仿宋_GB2312"/>
          <w:b/>
          <w:sz w:val="32"/>
        </w:rPr>
        <w:t>与年初预算相比，</w:t>
      </w:r>
      <w:r>
        <w:rPr>
          <w:rFonts w:ascii="仿宋_GB2312" w:hAnsi="仿宋_GB2312" w:eastAsia="仿宋_GB2312"/>
          <w:b w:val="0"/>
          <w:sz w:val="32"/>
        </w:rPr>
        <w:t>年初预算数443.23万元，决算数735.59万元，预决算差异率65.96%，主要原因是：年中追加食品抽检安全检测项目、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生态环境监测设备升级改造项目等。</w:t>
      </w:r>
    </w:p>
    <w:p w14:paraId="6B0E7480">
      <w:pPr>
        <w:spacing w:line="640" w:lineRule="exact"/>
        <w:ind w:firstLine="640"/>
        <w:jc w:val="both"/>
        <w:outlineLvl w:val="2"/>
      </w:pPr>
      <w:r>
        <w:rPr>
          <w:rFonts w:ascii="黑体" w:hAnsi="黑体" w:eastAsia="黑体"/>
          <w:sz w:val="32"/>
        </w:rPr>
        <w:t>五、一般公共预算财政拨款支出决算情况说明</w:t>
      </w:r>
    </w:p>
    <w:p w14:paraId="08318531">
      <w:pPr>
        <w:spacing w:line="640" w:lineRule="exact"/>
        <w:ind w:firstLine="640"/>
        <w:jc w:val="both"/>
        <w:outlineLvl w:val="3"/>
      </w:pPr>
      <w:r>
        <w:rPr>
          <w:rFonts w:ascii="楷体_GB2312" w:hAnsi="楷体_GB2312" w:eastAsia="楷体_GB2312"/>
          <w:b/>
          <w:sz w:val="32"/>
        </w:rPr>
        <w:t>（一）一般公共预算财政拨款支出决算总体情况</w:t>
      </w:r>
    </w:p>
    <w:p w14:paraId="2609E59E">
      <w:pPr>
        <w:spacing w:line="580" w:lineRule="exact"/>
        <w:ind w:firstLine="640"/>
        <w:jc w:val="both"/>
      </w:pPr>
      <w:r>
        <w:rPr>
          <w:rFonts w:ascii="仿宋_GB2312" w:hAnsi="仿宋_GB2312" w:eastAsia="仿宋_GB2312"/>
          <w:b/>
          <w:sz w:val="32"/>
        </w:rPr>
        <w:t>2024年度一般公共预算财政拨款支出735.59万元，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增加319.84万元，增长76.93%，主要原因是：本年度增加食品抽检安全检测项目、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r>
        <w:rPr>
          <w:rFonts w:ascii="仿宋_GB2312" w:hAnsi="仿宋_GB2312" w:eastAsia="仿宋_GB2312"/>
          <w:b/>
          <w:sz w:val="32"/>
        </w:rPr>
        <w:t>与年初预算相比,</w:t>
      </w:r>
      <w:r>
        <w:rPr>
          <w:rFonts w:ascii="仿宋_GB2312" w:hAnsi="仿宋_GB2312" w:eastAsia="仿宋_GB2312"/>
          <w:b w:val="0"/>
          <w:sz w:val="32"/>
        </w:rPr>
        <w:t>年初预算数443.23万元，决算数735.59万元，预决算差异率65.96%，主要原因是：年中追加食品抽检安全检测项目、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生态环境监测设备升级改造项目等。</w:t>
      </w:r>
    </w:p>
    <w:p w14:paraId="0C0E80BE">
      <w:pPr>
        <w:spacing w:line="640" w:lineRule="exact"/>
        <w:ind w:firstLine="640"/>
        <w:jc w:val="both"/>
        <w:outlineLvl w:val="3"/>
      </w:pPr>
      <w:r>
        <w:rPr>
          <w:rFonts w:ascii="楷体_GB2312" w:hAnsi="楷体_GB2312" w:eastAsia="楷体_GB2312"/>
          <w:b/>
          <w:sz w:val="32"/>
        </w:rPr>
        <w:t>（二）一般公共预算财政拨款支出决算结构情况</w:t>
      </w:r>
    </w:p>
    <w:p w14:paraId="2E70CDE3">
      <w:pPr>
        <w:spacing w:line="580" w:lineRule="exact"/>
        <w:ind w:firstLine="640"/>
        <w:jc w:val="both"/>
      </w:pPr>
      <w:r>
        <w:rPr>
          <w:rFonts w:ascii="仿宋_GB2312" w:hAnsi="仿宋_GB2312" w:eastAsia="仿宋_GB2312"/>
          <w:b w:val="0"/>
          <w:sz w:val="32"/>
        </w:rPr>
        <w:t>1.一般公共服务支出(类)287.92万元,占39.14%。</w:t>
      </w:r>
    </w:p>
    <w:p w14:paraId="33DE9AF5">
      <w:pPr>
        <w:spacing w:line="580" w:lineRule="exact"/>
        <w:ind w:firstLine="640"/>
        <w:jc w:val="both"/>
      </w:pPr>
      <w:r>
        <w:rPr>
          <w:rFonts w:ascii="仿宋_GB2312" w:hAnsi="仿宋_GB2312" w:eastAsia="仿宋_GB2312"/>
          <w:b w:val="0"/>
          <w:sz w:val="32"/>
        </w:rPr>
        <w:t>2.社会保障和就业支出(类)63.67万元,占8.66%。</w:t>
      </w:r>
    </w:p>
    <w:p w14:paraId="3516B3BF">
      <w:pPr>
        <w:spacing w:line="580" w:lineRule="exact"/>
        <w:ind w:firstLine="640"/>
        <w:jc w:val="both"/>
      </w:pPr>
      <w:r>
        <w:rPr>
          <w:rFonts w:ascii="仿宋_GB2312" w:hAnsi="仿宋_GB2312" w:eastAsia="仿宋_GB2312"/>
          <w:b w:val="0"/>
          <w:sz w:val="32"/>
        </w:rPr>
        <w:t>3.卫生健康支出(类)18.21万元,占2.48%。</w:t>
      </w:r>
    </w:p>
    <w:p w14:paraId="31B4877E">
      <w:pPr>
        <w:spacing w:line="580" w:lineRule="exact"/>
        <w:ind w:firstLine="640"/>
        <w:jc w:val="both"/>
      </w:pPr>
      <w:r>
        <w:rPr>
          <w:rFonts w:ascii="仿宋_GB2312" w:hAnsi="仿宋_GB2312" w:eastAsia="仿宋_GB2312"/>
          <w:b w:val="0"/>
          <w:sz w:val="32"/>
        </w:rPr>
        <w:t>4.节能环保支出(类)327.60万元,占44.54%。</w:t>
      </w:r>
    </w:p>
    <w:p w14:paraId="3AEC79A1">
      <w:pPr>
        <w:spacing w:line="580" w:lineRule="exact"/>
        <w:ind w:firstLine="640"/>
        <w:jc w:val="both"/>
      </w:pPr>
      <w:r>
        <w:rPr>
          <w:rFonts w:ascii="仿宋_GB2312" w:hAnsi="仿宋_GB2312" w:eastAsia="仿宋_GB2312"/>
          <w:b w:val="0"/>
          <w:sz w:val="32"/>
        </w:rPr>
        <w:t>5.住房保障支出(类)31.19万元,占4.24%。</w:t>
      </w:r>
    </w:p>
    <w:p w14:paraId="74DB60E5">
      <w:pPr>
        <w:spacing w:line="580" w:lineRule="exact"/>
        <w:ind w:firstLine="640"/>
        <w:jc w:val="both"/>
      </w:pPr>
      <w:r>
        <w:rPr>
          <w:rFonts w:ascii="仿宋_GB2312" w:hAnsi="仿宋_GB2312" w:eastAsia="仿宋_GB2312"/>
          <w:b w:val="0"/>
          <w:sz w:val="32"/>
        </w:rPr>
        <w:t>6.其他支出(类)7.00万元,占0.95%。</w:t>
      </w:r>
    </w:p>
    <w:p w14:paraId="11B9F9C3">
      <w:pPr>
        <w:spacing w:line="640" w:lineRule="exact"/>
        <w:ind w:firstLine="640"/>
        <w:jc w:val="both"/>
        <w:outlineLvl w:val="3"/>
      </w:pPr>
      <w:r>
        <w:rPr>
          <w:rFonts w:ascii="楷体_GB2312" w:hAnsi="楷体_GB2312" w:eastAsia="楷体_GB2312"/>
          <w:b/>
          <w:sz w:val="32"/>
        </w:rPr>
        <w:t>（三）一般公共预算财政拨款支出决算具体情况</w:t>
      </w:r>
    </w:p>
    <w:p w14:paraId="322AF766">
      <w:pPr>
        <w:spacing w:line="580" w:lineRule="exact"/>
        <w:ind w:firstLine="640"/>
        <w:jc w:val="both"/>
      </w:pPr>
      <w:r>
        <w:rPr>
          <w:rFonts w:ascii="仿宋_GB2312" w:hAnsi="仿宋_GB2312" w:eastAsia="仿宋_GB2312"/>
          <w:b w:val="0"/>
          <w:sz w:val="32"/>
        </w:rPr>
        <w:t>1.一般公共服务支出(类)统计信息事务(款)行政运行(项):支出决算数为0.00万元，比上年决算减少2.94万元，下降100.00%,主要原因是：本年科目调整，人员奖金由一般公共服务支出(类)统计信息事务(款)行政运行(项)列支调整至一般公共服务支出(类)市场监督管理事务(款)行政运行(项)列支核算，导致经费较上年减少。</w:t>
      </w:r>
    </w:p>
    <w:p w14:paraId="249C78AA">
      <w:pPr>
        <w:spacing w:line="580" w:lineRule="exact"/>
        <w:ind w:firstLine="640"/>
        <w:jc w:val="both"/>
      </w:pPr>
      <w:r>
        <w:rPr>
          <w:rFonts w:ascii="仿宋_GB2312" w:hAnsi="仿宋_GB2312" w:eastAsia="仿宋_GB2312"/>
          <w:b w:val="0"/>
          <w:sz w:val="32"/>
        </w:rPr>
        <w:t>2.一般公共服务支出(类)市场监督管理事务(款)行政运行(项):支出决算数为178.22万元，比上年决算减少23.97万元，下降11.86%,主要原因是：本年在职人员减少，相应人员经费较上年减少。</w:t>
      </w:r>
    </w:p>
    <w:p w14:paraId="132687ED">
      <w:pPr>
        <w:spacing w:line="580" w:lineRule="exact"/>
        <w:ind w:firstLine="640"/>
        <w:jc w:val="both"/>
      </w:pPr>
      <w:r>
        <w:rPr>
          <w:rFonts w:ascii="仿宋_GB2312" w:hAnsi="仿宋_GB2312" w:eastAsia="仿宋_GB2312"/>
          <w:b w:val="0"/>
          <w:sz w:val="32"/>
        </w:rPr>
        <w:t>3.一般公共服务支出(类)市场监督管理事务(款)药品事务(项):支出决算数为0.48万元，比上年决算增加0.47万元，增长4,700.00%,主要原因是：本年度增加药品抽检项目。</w:t>
      </w:r>
    </w:p>
    <w:p w14:paraId="00D37705">
      <w:pPr>
        <w:spacing w:line="580" w:lineRule="exact"/>
        <w:ind w:firstLine="640"/>
        <w:jc w:val="both"/>
      </w:pPr>
      <w:r>
        <w:rPr>
          <w:rFonts w:ascii="仿宋_GB2312" w:hAnsi="仿宋_GB2312" w:eastAsia="仿宋_GB2312"/>
          <w:b w:val="0"/>
          <w:sz w:val="32"/>
        </w:rPr>
        <w:t>4.一般公共服务支出(类)市场监督管理事务(款)食品安全监管(项):支出决算数为0.00万元，比上年决算减少15.45万元，下降100.00%,主要原因是：本年度减少食品抽检项目。</w:t>
      </w:r>
    </w:p>
    <w:p w14:paraId="0F223AEF">
      <w:pPr>
        <w:spacing w:line="580" w:lineRule="exact"/>
        <w:ind w:firstLine="640"/>
        <w:jc w:val="both"/>
      </w:pPr>
      <w:r>
        <w:rPr>
          <w:rFonts w:ascii="仿宋_GB2312" w:hAnsi="仿宋_GB2312" w:eastAsia="仿宋_GB2312"/>
          <w:b w:val="0"/>
          <w:sz w:val="32"/>
        </w:rPr>
        <w:t>5.一般公共服务支出(类)市场监督管理事务(款)事业运行(项):支出决算数为109.22万元，比上年决算增加34.93万元，增长47.02%,主要原因是：本年</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，相关人员经费增加。</w:t>
      </w:r>
    </w:p>
    <w:p w14:paraId="0AFC636A">
      <w:pPr>
        <w:spacing w:line="580" w:lineRule="exact"/>
        <w:ind w:firstLine="640"/>
        <w:jc w:val="both"/>
      </w:pPr>
      <w:r>
        <w:rPr>
          <w:rFonts w:ascii="仿宋_GB2312" w:hAnsi="仿宋_GB2312" w:eastAsia="仿宋_GB2312"/>
          <w:b w:val="0"/>
          <w:sz w:val="32"/>
        </w:rPr>
        <w:t>6.一般公共服务支出(类)市场监督管理事务(款)其他市场监督管理事务(项):支出决算数为0.00万元，比上年决算减少10.00万元，下降100.00%,主要原因是：本年度减少办公楼维修项目。</w:t>
      </w:r>
    </w:p>
    <w:p w14:paraId="262CD6CD">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7.社会保障和就业支出(类)行政事业单位养老支出(款)行政单位离退休(项):支出决算数为15.10万元，比上年决算增加2.52万元，增长20.03%,主要原因是：本年增加退休人员基础绩效奖，退休费支出增加。</w:t>
      </w:r>
    </w:p>
    <w:p w14:paraId="3FE2F8A4">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36.56万元，比上年决算增加5.47万元，增长17.59%,主要原因是：本年在职人员工资基数调增，养老缴费基数上涨，相应支出增加。</w:t>
      </w:r>
    </w:p>
    <w:p w14:paraId="22AB9264">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12.01万元，比上年决算减少7.31万元，下降37.84%,主要原因是：本年新增退休人员较上年减少，职业年金缴费较上年减少。</w:t>
      </w:r>
    </w:p>
    <w:p w14:paraId="7F509377">
      <w:pPr>
        <w:spacing w:line="580" w:lineRule="exact"/>
        <w:ind w:firstLine="640"/>
        <w:jc w:val="both"/>
      </w:pPr>
      <w:r>
        <w:rPr>
          <w:rFonts w:ascii="仿宋_GB2312" w:hAnsi="仿宋_GB2312" w:eastAsia="仿宋_GB2312"/>
          <w:b w:val="0"/>
          <w:sz w:val="32"/>
        </w:rPr>
        <w:t>10.卫生健康支出(类)行政事业单位医疗(款)行政单位医疗(项):支出决算数为15.54万元，比上年决算减少1.41万元，下降8.32%,主要原因是：本年在职人员减少，行政单位医疗支出较上年减少。</w:t>
      </w:r>
    </w:p>
    <w:p w14:paraId="01347A26">
      <w:pPr>
        <w:spacing w:line="580" w:lineRule="exact"/>
        <w:ind w:firstLine="640"/>
        <w:jc w:val="both"/>
      </w:pPr>
      <w:r>
        <w:rPr>
          <w:rFonts w:ascii="仿宋_GB2312" w:hAnsi="仿宋_GB2312" w:eastAsia="仿宋_GB2312"/>
          <w:b w:val="0"/>
          <w:sz w:val="32"/>
        </w:rPr>
        <w:t>11.卫生健康支出(类)行政事业单位医疗(款)公务员医疗补助(项):支出决算数为2.67万元，比上年决算减少1.99万元，下降42.70%,主要原因是：本年在职人员减少，公务员医疗补助较上年减少。</w:t>
      </w:r>
    </w:p>
    <w:p w14:paraId="4802DDFE">
      <w:pPr>
        <w:spacing w:line="580" w:lineRule="exact"/>
        <w:ind w:firstLine="640"/>
        <w:jc w:val="both"/>
      </w:pPr>
      <w:r>
        <w:rPr>
          <w:rFonts w:ascii="仿宋_GB2312" w:hAnsi="仿宋_GB2312" w:eastAsia="仿宋_GB2312"/>
          <w:b w:val="0"/>
          <w:sz w:val="32"/>
        </w:rPr>
        <w:t>12.节能环保支出(类)环境保护管理事务(款)其他环境保护管理事务支出(项):支出决算数为66.64万元，比上年决算增加66.64万元，增长100.00%,主要原因是：本年度增加塔县生态环境局2024年项目全过程绩效管理、代理记账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生态环境保护综合行政执法提升项目,莎车县苏库恰克水库塔吉克阿巴提镇饮用水安全工程饮用水水源保护区划分项目、塔县生态环境保护综合行政执法提升项目。</w:t>
      </w:r>
    </w:p>
    <w:p w14:paraId="0A7EEF01">
      <w:pPr>
        <w:spacing w:line="580" w:lineRule="exact"/>
        <w:ind w:firstLine="640"/>
        <w:jc w:val="both"/>
      </w:pPr>
      <w:r>
        <w:rPr>
          <w:rFonts w:ascii="仿宋_GB2312" w:hAnsi="仿宋_GB2312" w:eastAsia="仿宋_GB2312"/>
          <w:b w:val="0"/>
          <w:sz w:val="32"/>
        </w:rPr>
        <w:t>13.节能环保支出(类)环境监测与监察(款)其他环境监测与监察支出(项):支出决算数为260.96万元，比上年决算增加260.96万元，增长100.00%,主要原因是：本年度增加塔县环境保护突发事件应急预案修编项目、塔县生态环境保护综合行政执法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2021年国家重点生态功能区县域生态环境质量检测及农村环境质量试点监测项目、塔县重点生态功能区、农村生态、“千吨万人”以上农村饮用水水源地及农田灌溉水环境质量监测项目、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p>
    <w:p w14:paraId="6E2FD42B">
      <w:pPr>
        <w:spacing w:line="580" w:lineRule="exact"/>
        <w:ind w:firstLine="640"/>
        <w:jc w:val="both"/>
      </w:pPr>
      <w:r>
        <w:rPr>
          <w:rFonts w:ascii="仿宋_GB2312" w:hAnsi="仿宋_GB2312" w:eastAsia="仿宋_GB2312"/>
          <w:b w:val="0"/>
          <w:sz w:val="32"/>
        </w:rPr>
        <w:t>14.住房保障支出(类)住房改革支出(款)住房公积金(项):支出决算数为31.19万元，比上年决算增加4.93万元，增长18.77%,主要原因是：本年在职人员工资基数调增，公积金缴费基数上涨，相应支出增加。</w:t>
      </w:r>
    </w:p>
    <w:p w14:paraId="5A660E9B">
      <w:pPr>
        <w:spacing w:line="580" w:lineRule="exact"/>
        <w:ind w:firstLine="640"/>
        <w:jc w:val="both"/>
      </w:pPr>
      <w:r>
        <w:rPr>
          <w:rFonts w:ascii="仿宋_GB2312" w:hAnsi="仿宋_GB2312" w:eastAsia="仿宋_GB2312"/>
          <w:b w:val="0"/>
          <w:sz w:val="32"/>
        </w:rPr>
        <w:t>15.其他支出(类)其他支出(款)其他支出(项):支出决算数为7.00万元，比上年决算增加7.00万元，增长100.00%,主要原因是：本年增加为民办实事经费项目。</w:t>
      </w:r>
    </w:p>
    <w:p w14:paraId="136C5432">
      <w:pPr>
        <w:spacing w:line="640" w:lineRule="exact"/>
        <w:ind w:firstLine="640"/>
        <w:jc w:val="both"/>
        <w:outlineLvl w:val="2"/>
      </w:pPr>
      <w:r>
        <w:rPr>
          <w:rFonts w:ascii="黑体" w:hAnsi="黑体" w:eastAsia="黑体"/>
          <w:sz w:val="32"/>
        </w:rPr>
        <w:t>六、一般公共预算财政拨款基本支出决算情况说明</w:t>
      </w:r>
    </w:p>
    <w:p w14:paraId="2B733C5B">
      <w:pPr>
        <w:spacing w:line="580" w:lineRule="exact"/>
        <w:ind w:firstLine="640"/>
        <w:jc w:val="both"/>
      </w:pPr>
      <w:r>
        <w:rPr>
          <w:rFonts w:ascii="仿宋_GB2312" w:hAnsi="仿宋_GB2312" w:eastAsia="仿宋_GB2312"/>
          <w:b w:val="0"/>
          <w:sz w:val="32"/>
        </w:rPr>
        <w:t>2024年度一般公共预算财政拨款基本支出400.52万元，其中：</w:t>
      </w:r>
      <w:r>
        <w:rPr>
          <w:rFonts w:ascii="仿宋_GB2312" w:hAnsi="仿宋_GB2312" w:eastAsia="仿宋_GB2312"/>
          <w:b/>
          <w:sz w:val="32"/>
        </w:rPr>
        <w:t>人员经费373.42万元，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631517FF">
      <w:pPr>
        <w:spacing w:line="580" w:lineRule="exact"/>
        <w:ind w:firstLine="640"/>
        <w:jc w:val="both"/>
      </w:pPr>
      <w:r>
        <w:rPr>
          <w:rFonts w:ascii="仿宋_GB2312" w:hAnsi="仿宋_GB2312" w:eastAsia="仿宋_GB2312"/>
          <w:b/>
          <w:sz w:val="32"/>
        </w:rPr>
        <w:t>公用经费27.09万元，</w:t>
      </w:r>
      <w:r>
        <w:rPr>
          <w:rFonts w:ascii="仿宋_GB2312" w:hAnsi="仿宋_GB2312" w:eastAsia="仿宋_GB2312"/>
          <w:b w:val="0"/>
          <w:sz w:val="32"/>
        </w:rPr>
        <w:t>包括：办公费、水费、电费、邮电费、取暖费、公务用车运行维护费。</w:t>
      </w:r>
    </w:p>
    <w:p w14:paraId="711264DD">
      <w:pPr>
        <w:spacing w:line="640" w:lineRule="exact"/>
        <w:ind w:firstLine="640"/>
        <w:jc w:val="both"/>
        <w:outlineLvl w:val="2"/>
      </w:pPr>
      <w:r>
        <w:rPr>
          <w:rFonts w:ascii="黑体" w:hAnsi="黑体" w:eastAsia="黑体"/>
          <w:sz w:val="32"/>
        </w:rPr>
        <w:t>七、政府性基金预算财政拨款收入支出决算情况说明</w:t>
      </w:r>
    </w:p>
    <w:p w14:paraId="2051EA6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A6E546">
      <w:pPr>
        <w:spacing w:line="640" w:lineRule="exact"/>
        <w:ind w:firstLine="640"/>
        <w:jc w:val="both"/>
        <w:outlineLvl w:val="2"/>
      </w:pPr>
      <w:r>
        <w:rPr>
          <w:rFonts w:ascii="黑体" w:hAnsi="黑体" w:eastAsia="黑体"/>
          <w:sz w:val="32"/>
        </w:rPr>
        <w:t>八、国有资本经营预算财政拨款收入支出决算情况说明</w:t>
      </w:r>
    </w:p>
    <w:p w14:paraId="52E15E1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1817AF">
      <w:pPr>
        <w:spacing w:line="640" w:lineRule="exact"/>
        <w:ind w:firstLine="640"/>
        <w:jc w:val="both"/>
        <w:outlineLvl w:val="2"/>
      </w:pPr>
      <w:r>
        <w:rPr>
          <w:rFonts w:ascii="黑体" w:hAnsi="黑体" w:eastAsia="黑体"/>
          <w:sz w:val="32"/>
        </w:rPr>
        <w:t>九、财政拨款“三公”经费支出决算情况说明</w:t>
      </w:r>
    </w:p>
    <w:p w14:paraId="43B5FCF1">
      <w:pPr>
        <w:spacing w:line="580" w:lineRule="exact"/>
        <w:ind w:firstLine="640"/>
        <w:jc w:val="both"/>
      </w:pPr>
      <w:r>
        <w:rPr>
          <w:rFonts w:ascii="仿宋_GB2312" w:hAnsi="仿宋_GB2312" w:eastAsia="仿宋_GB2312"/>
          <w:b/>
          <w:sz w:val="32"/>
        </w:rPr>
        <w:t>2024年度财政拨款“三公”经费支出4.20万元，</w:t>
      </w:r>
      <w:r>
        <w:rPr>
          <w:rFonts w:ascii="仿宋_GB2312" w:hAnsi="仿宋_GB2312" w:eastAsia="仿宋_GB2312"/>
          <w:b w:val="0"/>
          <w:sz w:val="32"/>
        </w:rPr>
        <w:t>比上年增加1.20万元，增长40.00%，主要原因是：本单位公务用车日渐老化，维修维护成本增加，用车次数增加，燃油费增加，导致公务用车运行维护费较上年增加</w:t>
      </w:r>
      <w:r>
        <w:rPr>
          <w:rFonts w:hint="eastAsia" w:ascii="仿宋_GB2312" w:hAnsi="仿宋_GB2312" w:eastAsia="仿宋_GB2312"/>
          <w:b w:val="0"/>
          <w:sz w:val="32"/>
          <w:lang w:eastAsia="zh-CN"/>
        </w:rPr>
        <w:t>。</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4.20万元，占100.00%，比上年增加1.20万元，增长40.00%，主要原因是：本单位公务用车日渐老化，维修维护成本增加，用车次数增加，燃油费增加，导致公务用车运行维护费较上年增加。公务接待费支出0.00万元，占0.00%，比上年增加0.00万元，增长0.00%，主要原因是：2023年与2024年均未安排公务接待费支出。</w:t>
      </w:r>
    </w:p>
    <w:p w14:paraId="20419983">
      <w:pPr>
        <w:spacing w:line="580" w:lineRule="exact"/>
        <w:ind w:firstLine="640"/>
        <w:jc w:val="both"/>
      </w:pPr>
      <w:r>
        <w:rPr>
          <w:rFonts w:ascii="仿宋_GB2312" w:hAnsi="仿宋_GB2312" w:eastAsia="仿宋_GB2312"/>
          <w:b/>
          <w:sz w:val="32"/>
        </w:rPr>
        <w:t>具体情况如下：</w:t>
      </w:r>
    </w:p>
    <w:p w14:paraId="3F2721C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061A94">
      <w:pPr>
        <w:spacing w:line="580" w:lineRule="exact"/>
        <w:ind w:firstLine="640"/>
        <w:jc w:val="both"/>
      </w:pPr>
      <w:r>
        <w:rPr>
          <w:rFonts w:ascii="仿宋_GB2312" w:hAnsi="仿宋_GB2312" w:eastAsia="仿宋_GB2312"/>
          <w:b w:val="0"/>
          <w:sz w:val="32"/>
        </w:rPr>
        <w:t>公务用车购置及运行维护费4.20万元，其中：公务用车购置费0.00万元，公务用车运行维护费4.20万元。公务用车运行维护费开支内容包括车辆燃油费，保险费，维修维护费等。公务用车购置数0辆，公务用车保有量3辆。国有资产占用情况中固定资产车辆3辆，与公务用车保有量差异原因是：本单位固定资产车辆与公务用车保有量一致无差异。</w:t>
      </w:r>
    </w:p>
    <w:p w14:paraId="3BA8184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5CC1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4.20万元，决算数4.20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4.20万元，决算数4.20万元，预决算差异率0.00%，主要原因是：严格按照预算执行，预决算无差异。公务接待费全年预算数0.00万元，决算数0.00万元，预决算差异率0.00%，主要原因是：本单位无公务接待费。</w:t>
      </w:r>
    </w:p>
    <w:p w14:paraId="1890950B">
      <w:pPr>
        <w:spacing w:line="640" w:lineRule="exact"/>
        <w:ind w:firstLine="640"/>
        <w:jc w:val="both"/>
        <w:outlineLvl w:val="2"/>
      </w:pPr>
      <w:r>
        <w:rPr>
          <w:rFonts w:ascii="黑体" w:hAnsi="黑体" w:eastAsia="黑体"/>
          <w:sz w:val="32"/>
        </w:rPr>
        <w:t>十、其他重要事项的情况说明</w:t>
      </w:r>
    </w:p>
    <w:p w14:paraId="3223E538">
      <w:pPr>
        <w:spacing w:line="640" w:lineRule="exact"/>
        <w:ind w:firstLine="640"/>
        <w:jc w:val="both"/>
        <w:outlineLvl w:val="3"/>
      </w:pPr>
      <w:r>
        <w:rPr>
          <w:rFonts w:ascii="楷体_GB2312" w:hAnsi="楷体_GB2312" w:eastAsia="楷体_GB2312"/>
          <w:b/>
          <w:sz w:val="32"/>
        </w:rPr>
        <w:t>（一）机关运行经费及公用经费支出情况</w:t>
      </w:r>
    </w:p>
    <w:p w14:paraId="46FDA969">
      <w:pPr>
        <w:spacing w:line="580" w:lineRule="exact"/>
        <w:ind w:firstLine="640"/>
        <w:jc w:val="both"/>
      </w:pPr>
      <w:r>
        <w:rPr>
          <w:rFonts w:ascii="仿宋_GB2312" w:hAnsi="仿宋_GB2312" w:eastAsia="仿宋_GB2312"/>
          <w:b w:val="0"/>
          <w:sz w:val="32"/>
        </w:rPr>
        <w:t>2024年度塔什库尔干塔吉克自治县市场监督管理局（行政单位和参照公务员法管理事业单位）机关运行经费支出27.09万元，比上年增加18.25万元，增长206.45%，主要原因是：本年业务量增加，办公费增加，导致公用经费增加。</w:t>
      </w:r>
    </w:p>
    <w:p w14:paraId="51A6BD5B">
      <w:pPr>
        <w:spacing w:line="640" w:lineRule="exact"/>
        <w:ind w:firstLine="640"/>
        <w:jc w:val="both"/>
        <w:outlineLvl w:val="3"/>
      </w:pPr>
      <w:r>
        <w:rPr>
          <w:rFonts w:ascii="楷体_GB2312" w:hAnsi="楷体_GB2312" w:eastAsia="楷体_GB2312"/>
          <w:b/>
          <w:sz w:val="32"/>
        </w:rPr>
        <w:t>（二）政府采购情况</w:t>
      </w:r>
    </w:p>
    <w:p w14:paraId="5642B57A">
      <w:pPr>
        <w:spacing w:line="580" w:lineRule="exact"/>
        <w:ind w:firstLine="640"/>
        <w:jc w:val="both"/>
      </w:pPr>
      <w:r>
        <w:rPr>
          <w:rFonts w:ascii="仿宋_GB2312" w:hAnsi="仿宋_GB2312" w:eastAsia="仿宋_GB2312"/>
          <w:b w:val="0"/>
          <w:sz w:val="32"/>
        </w:rPr>
        <w:t>2024年度政府采购支出总额194.34万元，其中：政府采购货物支出135.00万元、政府采购工程支出0.00万元、政府采购服务支出59.35万元。</w:t>
      </w:r>
    </w:p>
    <w:p w14:paraId="06B7052A">
      <w:pPr>
        <w:spacing w:line="580" w:lineRule="exact"/>
        <w:ind w:firstLine="640"/>
        <w:jc w:val="both"/>
      </w:pPr>
      <w:r>
        <w:rPr>
          <w:rFonts w:ascii="仿宋_GB2312" w:hAnsi="仿宋_GB2312" w:eastAsia="仿宋_GB2312"/>
          <w:b w:val="0"/>
          <w:sz w:val="32"/>
        </w:rPr>
        <w:t>授予中小企业合同金额190.90万元，占政府采购支出总额的98.23%，其中：授予小微企业合同金额59.40万元，占政府采购支出总额的30.56%。</w:t>
      </w:r>
    </w:p>
    <w:p w14:paraId="2D8EB239">
      <w:pPr>
        <w:spacing w:line="640" w:lineRule="exact"/>
        <w:ind w:firstLine="640"/>
        <w:jc w:val="both"/>
        <w:outlineLvl w:val="3"/>
      </w:pPr>
      <w:r>
        <w:rPr>
          <w:rFonts w:ascii="楷体_GB2312" w:hAnsi="楷体_GB2312" w:eastAsia="楷体_GB2312"/>
          <w:b/>
          <w:sz w:val="32"/>
        </w:rPr>
        <w:t>（三）国有资产占用情况说明</w:t>
      </w:r>
    </w:p>
    <w:p w14:paraId="1C12F8D1">
      <w:pPr>
        <w:spacing w:line="580" w:lineRule="exact"/>
        <w:ind w:firstLine="640"/>
        <w:jc w:val="both"/>
      </w:pPr>
      <w:r>
        <w:rPr>
          <w:rFonts w:ascii="仿宋_GB2312" w:hAnsi="仿宋_GB2312" w:eastAsia="仿宋_GB2312"/>
          <w:b w:val="0"/>
          <w:sz w:val="32"/>
        </w:rPr>
        <w:t>截至2024年12月31日，房屋3,195.07平方米，价值180.99万元。车辆3辆，价值45.07万元，其中：副部（省）级及以上领导用车0辆、主要负责人用车0辆、机要通信用车0辆、应急保障用车0辆、执法执勤用车1辆、特种专业技术用车0辆、离退休干部服务用车0辆、其他用车2辆，其他用车主要是：一般公务用车。单价100万元（含）以上设备（不含车辆）0台（套）。</w:t>
      </w:r>
    </w:p>
    <w:p w14:paraId="7947B207">
      <w:pPr>
        <w:spacing w:line="640" w:lineRule="exact"/>
        <w:ind w:firstLine="640"/>
        <w:jc w:val="both"/>
        <w:outlineLvl w:val="2"/>
      </w:pPr>
      <w:r>
        <w:rPr>
          <w:rFonts w:ascii="黑体" w:hAnsi="黑体" w:eastAsia="黑体"/>
          <w:sz w:val="32"/>
        </w:rPr>
        <w:t>十一、预算绩效的情况说明</w:t>
      </w:r>
    </w:p>
    <w:p w14:paraId="35AA2F5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735.59万元，实际执行总额735.59万元；预算绩效评价项目11个，全年预算数352.28万元，全年执行数352.07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7D3430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D2A326">
        <w:tblPrEx>
          <w:tblCellMar>
            <w:top w:w="0" w:type="dxa"/>
            <w:left w:w="108" w:type="dxa"/>
            <w:bottom w:w="0" w:type="dxa"/>
            <w:right w:w="108" w:type="dxa"/>
          </w:tblCellMar>
        </w:tblPrEx>
        <w:tc>
          <w:tcPr>
            <w:tcW w:w="8847" w:type="dxa"/>
            <w:gridSpan w:val="9"/>
            <w:vAlign w:val="center"/>
          </w:tcPr>
          <w:p w14:paraId="4DEAA73C">
            <w:pPr>
              <w:jc w:val="center"/>
            </w:pPr>
            <w:r>
              <w:rPr>
                <w:rFonts w:ascii="宋体" w:hAnsi="宋体" w:eastAsia="宋体"/>
                <w:sz w:val="24"/>
              </w:rPr>
              <w:t>单位整体支出绩效自评表</w:t>
            </w:r>
          </w:p>
        </w:tc>
      </w:tr>
      <w:tr w14:paraId="26AF628D">
        <w:tblPrEx>
          <w:tblCellMar>
            <w:top w:w="0" w:type="dxa"/>
            <w:left w:w="108" w:type="dxa"/>
            <w:bottom w:w="0" w:type="dxa"/>
            <w:right w:w="108" w:type="dxa"/>
          </w:tblCellMar>
        </w:tblPrEx>
        <w:tc>
          <w:tcPr>
            <w:tcW w:w="8847" w:type="dxa"/>
            <w:gridSpan w:val="9"/>
            <w:vAlign w:val="center"/>
          </w:tcPr>
          <w:p w14:paraId="3502BD1B">
            <w:pPr>
              <w:jc w:val="center"/>
            </w:pPr>
            <w:r>
              <w:rPr>
                <w:rFonts w:ascii="宋体" w:hAnsi="宋体" w:eastAsia="宋体"/>
                <w:sz w:val="24"/>
              </w:rPr>
              <w:t>（2024年度）</w:t>
            </w:r>
          </w:p>
        </w:tc>
      </w:tr>
      <w:tr w14:paraId="587976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DEF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686E43">
            <w:pPr>
              <w:jc w:val="center"/>
            </w:pPr>
            <w:r>
              <w:rPr>
                <w:rFonts w:ascii="宋体" w:hAnsi="宋体" w:eastAsia="宋体"/>
                <w:sz w:val="16"/>
              </w:rPr>
              <w:t>塔什库尔干塔吉克自治县市场监督管理局</w:t>
            </w:r>
          </w:p>
        </w:tc>
      </w:tr>
      <w:tr w14:paraId="535EE8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5727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DB8A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46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89D5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EFC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BFC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0EE2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689A">
            <w:pPr>
              <w:jc w:val="center"/>
            </w:pPr>
            <w:r>
              <w:rPr>
                <w:rFonts w:ascii="宋体" w:hAnsi="宋体" w:eastAsia="宋体"/>
                <w:sz w:val="16"/>
              </w:rPr>
              <w:t>得分</w:t>
            </w:r>
          </w:p>
        </w:tc>
      </w:tr>
      <w:tr w14:paraId="723F3C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F55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E5AE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02FC1">
            <w:pPr>
              <w:jc w:val="center"/>
            </w:pPr>
            <w:r>
              <w:rPr>
                <w:rFonts w:ascii="宋体" w:hAnsi="宋体" w:eastAsia="宋体"/>
                <w:sz w:val="16"/>
              </w:rPr>
              <w:t>443.23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E260">
            <w:pPr>
              <w:jc w:val="center"/>
            </w:pPr>
            <w:r>
              <w:rPr>
                <w:rFonts w:ascii="宋体" w:hAnsi="宋体" w:eastAsia="宋体"/>
                <w:sz w:val="16"/>
              </w:rPr>
              <w:t>735.59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ECC2">
            <w:pPr>
              <w:jc w:val="center"/>
            </w:pPr>
            <w:r>
              <w:rPr>
                <w:rFonts w:ascii="宋体" w:hAnsi="宋体" w:eastAsia="宋体"/>
                <w:sz w:val="16"/>
              </w:rPr>
              <w:t>735.59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BA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965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92B9">
            <w:pPr>
              <w:jc w:val="center"/>
            </w:pPr>
            <w:r>
              <w:rPr>
                <w:rFonts w:ascii="宋体" w:hAnsi="宋体" w:eastAsia="宋体"/>
                <w:sz w:val="16"/>
              </w:rPr>
              <w:t>10</w:t>
            </w:r>
          </w:p>
        </w:tc>
      </w:tr>
      <w:tr w14:paraId="49EE81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17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448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E7D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9F471">
            <w:pPr>
              <w:jc w:val="center"/>
            </w:pPr>
            <w:r>
              <w:rPr>
                <w:rFonts w:ascii="宋体" w:hAnsi="宋体" w:eastAsia="宋体"/>
                <w:sz w:val="16"/>
              </w:rPr>
              <w:t>338.22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C7AF">
            <w:pPr>
              <w:jc w:val="center"/>
            </w:pPr>
            <w:r>
              <w:rPr>
                <w:rFonts w:ascii="宋体" w:hAnsi="宋体" w:eastAsia="宋体"/>
                <w:sz w:val="16"/>
              </w:rPr>
              <w:t>338.22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775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DD13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0219">
            <w:pPr>
              <w:jc w:val="center"/>
            </w:pPr>
            <w:r>
              <w:rPr>
                <w:rFonts w:ascii="宋体" w:hAnsi="宋体" w:eastAsia="宋体"/>
                <w:sz w:val="16"/>
              </w:rPr>
              <w:t>—</w:t>
            </w:r>
          </w:p>
        </w:tc>
      </w:tr>
      <w:tr w14:paraId="5BE51E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E2F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0E1E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1C3FD">
            <w:pPr>
              <w:jc w:val="center"/>
            </w:pPr>
            <w:r>
              <w:rPr>
                <w:rFonts w:ascii="宋体" w:hAnsi="宋体" w:eastAsia="宋体"/>
                <w:sz w:val="16"/>
              </w:rPr>
              <w:t>442.75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2AFD">
            <w:pPr>
              <w:jc w:val="center"/>
            </w:pPr>
            <w:r>
              <w:rPr>
                <w:rFonts w:ascii="宋体" w:hAnsi="宋体" w:eastAsia="宋体"/>
                <w:sz w:val="16"/>
              </w:rPr>
              <w:t>397.37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2A04">
            <w:pPr>
              <w:jc w:val="center"/>
            </w:pPr>
            <w:r>
              <w:rPr>
                <w:rFonts w:ascii="宋体" w:hAnsi="宋体" w:eastAsia="宋体"/>
                <w:sz w:val="16"/>
              </w:rPr>
              <w:t>397.37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19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2A3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5734">
            <w:pPr>
              <w:jc w:val="center"/>
            </w:pPr>
            <w:r>
              <w:rPr>
                <w:rFonts w:ascii="宋体" w:hAnsi="宋体" w:eastAsia="宋体"/>
                <w:sz w:val="16"/>
              </w:rPr>
              <w:t>—</w:t>
            </w:r>
          </w:p>
        </w:tc>
      </w:tr>
      <w:tr w14:paraId="14CACF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B2E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404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33A30">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501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9A1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C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8E28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7210">
            <w:pPr>
              <w:jc w:val="center"/>
            </w:pPr>
            <w:r>
              <w:rPr>
                <w:rFonts w:ascii="宋体" w:hAnsi="宋体" w:eastAsia="宋体"/>
                <w:sz w:val="16"/>
              </w:rPr>
              <w:t>—</w:t>
            </w:r>
          </w:p>
        </w:tc>
      </w:tr>
      <w:tr w14:paraId="1FC159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870E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3B9E7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DD124">
            <w:pPr>
              <w:jc w:val="center"/>
              <w:rPr>
                <w:rFonts w:hint="eastAsia" w:eastAsia="宋体"/>
                <w:lang w:eastAsia="zh-CN"/>
              </w:rPr>
            </w:pPr>
            <w:r>
              <w:rPr>
                <w:rFonts w:hint="eastAsia" w:ascii="宋体" w:hAnsi="宋体"/>
                <w:sz w:val="16"/>
                <w:lang w:eastAsia="zh-CN"/>
              </w:rPr>
              <w:t>实际完成情况</w:t>
            </w:r>
          </w:p>
        </w:tc>
      </w:tr>
      <w:tr w14:paraId="5605E4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13C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6B9622">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市场监督管理局将紧紧围绕学习贯彻党的二十大，第三次中央新疆</w:t>
            </w:r>
            <w:r>
              <w:rPr>
                <w:rFonts w:hint="eastAsia" w:ascii="宋体" w:hAnsi="宋体"/>
                <w:sz w:val="16"/>
                <w:lang w:eastAsia="zh-CN"/>
              </w:rPr>
              <w:t>工作</w:t>
            </w:r>
            <w:r>
              <w:rPr>
                <w:rFonts w:ascii="宋体" w:hAnsi="宋体" w:eastAsia="宋体"/>
                <w:sz w:val="16"/>
              </w:rPr>
              <w:t>座谈会，自治区党委十届六次全会精神，以习近平新时代中国特色社会主义思想为统领，同时紧紧围绕地委提出的工作任务和地区市场监督管理局党组工作安排，坚持以人民为中心的监管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突出问题开展持续不断，行之有效的集中整治，依法查处违法行为，全方位推动市场工资再上台阶</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5A080">
            <w:pPr>
              <w:jc w:val="both"/>
            </w:pPr>
            <w:r>
              <w:rPr>
                <w:rFonts w:ascii="宋体" w:hAnsi="宋体" w:eastAsia="宋体"/>
                <w:sz w:val="16"/>
              </w:rPr>
              <w:t>截止自评节点</w:t>
            </w:r>
            <w:r>
              <w:rPr>
                <w:rFonts w:hint="eastAsia" w:ascii="宋体" w:hAnsi="宋体"/>
                <w:sz w:val="16"/>
                <w:lang w:val="en-US" w:eastAsia="zh-CN"/>
              </w:rPr>
              <w:t>本</w:t>
            </w:r>
            <w:r>
              <w:rPr>
                <w:rFonts w:ascii="宋体" w:hAnsi="宋体" w:eastAsia="宋体"/>
                <w:sz w:val="16"/>
              </w:rPr>
              <w:t>单位已完成资金的全部支付，资金执行率为100%，加强日常监管整治工作次数120次、整治市场整治工作数量830家、深入开展随机抽查55家、出动执法人员20人次、排查治理工作152次、深入县域企业走访8家，同时紧紧围绕地委提出的工作任务和地区市场监督管理局党组工作安排，坚持以人民为中心的监管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突出问题开展持续不断，行之有效的集中整治，依法查处违法行为，全方位推动市场工资再上台阶</w:t>
            </w:r>
            <w:r>
              <w:rPr>
                <w:rFonts w:hint="eastAsia" w:ascii="宋体" w:hAnsi="宋体"/>
                <w:sz w:val="16"/>
                <w:lang w:eastAsia="zh-CN"/>
              </w:rPr>
              <w:t>。</w:t>
            </w:r>
          </w:p>
        </w:tc>
      </w:tr>
      <w:tr w14:paraId="2577CE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88F3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ABB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8CE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D1B9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B0F5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669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2D7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EEE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F5B7">
            <w:pPr>
              <w:jc w:val="center"/>
            </w:pPr>
            <w:r>
              <w:rPr>
                <w:rFonts w:ascii="宋体" w:hAnsi="宋体" w:eastAsia="宋体"/>
                <w:sz w:val="16"/>
              </w:rPr>
              <w:t>得分</w:t>
            </w:r>
          </w:p>
        </w:tc>
      </w:tr>
      <w:tr w14:paraId="778939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D36D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F2A8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8061">
            <w:pPr>
              <w:jc w:val="center"/>
            </w:pPr>
            <w:r>
              <w:rPr>
                <w:rFonts w:ascii="宋体" w:hAnsi="宋体" w:eastAsia="宋体"/>
                <w:sz w:val="16"/>
              </w:rPr>
              <w:t>加强日常监管整治工作次数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3E70">
            <w:pPr>
              <w:jc w:val="center"/>
            </w:pPr>
            <w:r>
              <w:rPr>
                <w:rFonts w:ascii="宋体" w:hAnsi="宋体" w:eastAsia="宋体"/>
                <w:sz w:val="16"/>
              </w:rPr>
              <w:t>&gt;=120批次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79EC5">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4BA2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898A1">
            <w:pPr>
              <w:jc w:val="center"/>
            </w:pPr>
            <w:r>
              <w:rPr>
                <w:rFonts w:ascii="宋体" w:hAnsi="宋体" w:eastAsia="宋体"/>
                <w:sz w:val="16"/>
              </w:rPr>
              <w:t>126批次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690FE">
            <w:pPr>
              <w:jc w:val="center"/>
              <w:rPr>
                <w:rFonts w:hint="eastAsia" w:eastAsia="宋体"/>
                <w:lang w:val="en-US" w:eastAsia="zh-CN"/>
              </w:rPr>
            </w:pPr>
            <w:r>
              <w:rPr>
                <w:rFonts w:ascii="宋体" w:hAnsi="宋体" w:eastAsia="宋体"/>
                <w:sz w:val="16"/>
              </w:rPr>
              <w:t>105</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3890">
            <w:pPr>
              <w:jc w:val="center"/>
            </w:pPr>
            <w:r>
              <w:rPr>
                <w:rFonts w:ascii="宋体" w:hAnsi="宋体" w:eastAsia="宋体"/>
                <w:sz w:val="16"/>
              </w:rPr>
              <w:t>15</w:t>
            </w:r>
          </w:p>
        </w:tc>
      </w:tr>
      <w:tr w14:paraId="0F45A4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5F1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BF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DD28B">
            <w:pPr>
              <w:jc w:val="center"/>
            </w:pPr>
            <w:r>
              <w:rPr>
                <w:rFonts w:ascii="宋体" w:hAnsi="宋体" w:eastAsia="宋体"/>
                <w:sz w:val="16"/>
              </w:rPr>
              <w:t>整治市场整治工作数量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3565">
            <w:pPr>
              <w:jc w:val="center"/>
            </w:pPr>
            <w:r>
              <w:rPr>
                <w:rFonts w:ascii="宋体" w:hAnsi="宋体" w:eastAsia="宋体"/>
                <w:sz w:val="16"/>
              </w:rPr>
              <w:t>&gt;=830家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9938">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ABE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48BD">
            <w:pPr>
              <w:jc w:val="center"/>
            </w:pPr>
            <w:r>
              <w:rPr>
                <w:rFonts w:ascii="宋体" w:hAnsi="宋体" w:eastAsia="宋体"/>
                <w:sz w:val="16"/>
              </w:rPr>
              <w:t>830家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FC0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3C44">
            <w:pPr>
              <w:jc w:val="center"/>
            </w:pPr>
            <w:r>
              <w:rPr>
                <w:rFonts w:ascii="宋体" w:hAnsi="宋体" w:eastAsia="宋体"/>
                <w:sz w:val="16"/>
              </w:rPr>
              <w:t>15</w:t>
            </w:r>
          </w:p>
        </w:tc>
      </w:tr>
      <w:tr w14:paraId="35958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65C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8AD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1625">
            <w:pPr>
              <w:jc w:val="center"/>
            </w:pPr>
            <w:r>
              <w:rPr>
                <w:rFonts w:ascii="宋体" w:hAnsi="宋体" w:eastAsia="宋体"/>
                <w:sz w:val="16"/>
              </w:rPr>
              <w:t>深入开展随机抽查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A47A">
            <w:pPr>
              <w:jc w:val="center"/>
            </w:pPr>
            <w:r>
              <w:rPr>
                <w:rFonts w:ascii="宋体" w:hAnsi="宋体" w:eastAsia="宋体"/>
                <w:sz w:val="16"/>
              </w:rPr>
              <w:t>&gt;=55家次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3095">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9181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8F87F">
            <w:pPr>
              <w:jc w:val="center"/>
            </w:pPr>
            <w:r>
              <w:rPr>
                <w:rFonts w:ascii="宋体" w:hAnsi="宋体" w:eastAsia="宋体"/>
                <w:sz w:val="16"/>
              </w:rPr>
              <w:t>55家次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2C61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6B2D8">
            <w:pPr>
              <w:jc w:val="center"/>
            </w:pPr>
            <w:r>
              <w:rPr>
                <w:rFonts w:ascii="宋体" w:hAnsi="宋体" w:eastAsia="宋体"/>
                <w:sz w:val="16"/>
              </w:rPr>
              <w:t>15</w:t>
            </w:r>
          </w:p>
        </w:tc>
      </w:tr>
      <w:tr w14:paraId="66060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E86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264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B51C">
            <w:pPr>
              <w:jc w:val="center"/>
            </w:pPr>
            <w:r>
              <w:rPr>
                <w:rFonts w:ascii="宋体" w:hAnsi="宋体" w:eastAsia="宋体"/>
                <w:sz w:val="16"/>
              </w:rPr>
              <w:t>保证出动执法人员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42768">
            <w:pPr>
              <w:jc w:val="center"/>
            </w:pPr>
            <w:r>
              <w:rPr>
                <w:rFonts w:ascii="宋体" w:hAnsi="宋体" w:eastAsia="宋体"/>
                <w:sz w:val="16"/>
              </w:rPr>
              <w:t>&gt;=20人次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E8CB">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48B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B672">
            <w:pPr>
              <w:jc w:val="center"/>
            </w:pPr>
            <w:r>
              <w:rPr>
                <w:rFonts w:ascii="宋体" w:hAnsi="宋体" w:eastAsia="宋体"/>
                <w:sz w:val="16"/>
              </w:rPr>
              <w:t>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F260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CB12">
            <w:pPr>
              <w:jc w:val="center"/>
            </w:pPr>
            <w:r>
              <w:rPr>
                <w:rFonts w:ascii="宋体" w:hAnsi="宋体" w:eastAsia="宋体"/>
                <w:sz w:val="16"/>
              </w:rPr>
              <w:t>15</w:t>
            </w:r>
          </w:p>
        </w:tc>
      </w:tr>
      <w:tr w14:paraId="140449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CA9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EA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A86B">
            <w:pPr>
              <w:jc w:val="center"/>
            </w:pPr>
            <w:r>
              <w:rPr>
                <w:rFonts w:ascii="宋体" w:hAnsi="宋体" w:eastAsia="宋体"/>
                <w:sz w:val="16"/>
              </w:rPr>
              <w:t>排查治理工作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367A8">
            <w:pPr>
              <w:jc w:val="center"/>
            </w:pPr>
            <w:r>
              <w:rPr>
                <w:rFonts w:ascii="宋体" w:hAnsi="宋体" w:eastAsia="宋体"/>
                <w:sz w:val="16"/>
              </w:rPr>
              <w:t>&gt;=140家次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6EADE">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2756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C8B6">
            <w:pPr>
              <w:jc w:val="center"/>
            </w:pPr>
            <w:r>
              <w:rPr>
                <w:rFonts w:ascii="宋体" w:hAnsi="宋体" w:eastAsia="宋体"/>
                <w:sz w:val="16"/>
              </w:rPr>
              <w:t>140家次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4725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E55B0">
            <w:pPr>
              <w:jc w:val="center"/>
            </w:pPr>
            <w:r>
              <w:rPr>
                <w:rFonts w:ascii="宋体" w:hAnsi="宋体" w:eastAsia="宋体"/>
                <w:sz w:val="16"/>
              </w:rPr>
              <w:t>15</w:t>
            </w:r>
          </w:p>
        </w:tc>
      </w:tr>
      <w:tr w14:paraId="4E5BEC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3DB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CF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23DD0">
            <w:pPr>
              <w:jc w:val="center"/>
            </w:pPr>
            <w:r>
              <w:rPr>
                <w:rFonts w:ascii="宋体" w:hAnsi="宋体" w:eastAsia="宋体"/>
                <w:sz w:val="16"/>
              </w:rPr>
              <w:t>深入县域企业走访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80240">
            <w:pPr>
              <w:jc w:val="center"/>
            </w:pPr>
            <w:r>
              <w:rPr>
                <w:rFonts w:ascii="宋体" w:hAnsi="宋体" w:eastAsia="宋体"/>
                <w:sz w:val="16"/>
              </w:rPr>
              <w:t>&gt;=8家次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6B1C6">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E8D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2B1E">
            <w:pPr>
              <w:jc w:val="center"/>
            </w:pPr>
            <w:r>
              <w:rPr>
                <w:rFonts w:ascii="宋体" w:hAnsi="宋体" w:eastAsia="宋体"/>
                <w:sz w:val="16"/>
              </w:rPr>
              <w:t>8家次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BD39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61C6F">
            <w:pPr>
              <w:jc w:val="center"/>
            </w:pPr>
            <w:r>
              <w:rPr>
                <w:rFonts w:ascii="宋体" w:hAnsi="宋体" w:eastAsia="宋体"/>
                <w:sz w:val="16"/>
              </w:rPr>
              <w:t>15</w:t>
            </w:r>
          </w:p>
        </w:tc>
      </w:tr>
    </w:tbl>
    <w:p w14:paraId="0314B0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1009912">
        <w:tblPrEx>
          <w:tblCellMar>
            <w:top w:w="0" w:type="dxa"/>
            <w:left w:w="108" w:type="dxa"/>
            <w:bottom w:w="0" w:type="dxa"/>
            <w:right w:w="108" w:type="dxa"/>
          </w:tblCellMar>
        </w:tblPrEx>
        <w:tc>
          <w:tcPr>
            <w:tcW w:w="8848" w:type="dxa"/>
            <w:gridSpan w:val="14"/>
            <w:vAlign w:val="center"/>
          </w:tcPr>
          <w:p w14:paraId="104553D4">
            <w:pPr>
              <w:jc w:val="center"/>
            </w:pPr>
            <w:r>
              <w:rPr>
                <w:rFonts w:ascii="宋体" w:hAnsi="宋体" w:eastAsia="宋体"/>
                <w:sz w:val="24"/>
              </w:rPr>
              <w:t>项目支出绩效自评表</w:t>
            </w:r>
          </w:p>
        </w:tc>
      </w:tr>
      <w:tr w14:paraId="27D8904C">
        <w:tblPrEx>
          <w:tblCellMar>
            <w:top w:w="0" w:type="dxa"/>
            <w:left w:w="108" w:type="dxa"/>
            <w:bottom w:w="0" w:type="dxa"/>
            <w:right w:w="108" w:type="dxa"/>
          </w:tblCellMar>
        </w:tblPrEx>
        <w:tc>
          <w:tcPr>
            <w:tcW w:w="8848" w:type="dxa"/>
            <w:gridSpan w:val="14"/>
            <w:vAlign w:val="center"/>
          </w:tcPr>
          <w:p w14:paraId="3D5FA6FA">
            <w:pPr>
              <w:jc w:val="center"/>
            </w:pPr>
            <w:r>
              <w:rPr>
                <w:rFonts w:ascii="宋体" w:hAnsi="宋体" w:eastAsia="宋体"/>
                <w:sz w:val="24"/>
              </w:rPr>
              <w:t>(2024年度)</w:t>
            </w:r>
          </w:p>
        </w:tc>
      </w:tr>
      <w:tr w14:paraId="575D0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EB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C3C20">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工作经费项目</w:t>
            </w:r>
          </w:p>
        </w:tc>
      </w:tr>
      <w:tr w14:paraId="66E9D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1D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F4F29">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F4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0CECC">
            <w:pPr>
              <w:jc w:val="center"/>
            </w:pPr>
            <w:r>
              <w:rPr>
                <w:rFonts w:ascii="宋体" w:hAnsi="宋体" w:eastAsia="宋体"/>
                <w:sz w:val="16"/>
              </w:rPr>
              <w:t>塔什库尔干塔吉克自治县市场监督管理局</w:t>
            </w:r>
          </w:p>
        </w:tc>
      </w:tr>
      <w:tr w14:paraId="0A0DD3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11D7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B0E6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FCA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4D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85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14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D0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7148">
            <w:pPr>
              <w:jc w:val="center"/>
            </w:pPr>
            <w:r>
              <w:rPr>
                <w:rFonts w:ascii="宋体" w:hAnsi="宋体" w:eastAsia="宋体"/>
                <w:sz w:val="16"/>
              </w:rPr>
              <w:t>得分</w:t>
            </w:r>
          </w:p>
        </w:tc>
      </w:tr>
      <w:tr w14:paraId="4876EC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DE1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AD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508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E06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6F9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A8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86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5C7F">
            <w:pPr>
              <w:jc w:val="center"/>
            </w:pPr>
            <w:r>
              <w:rPr>
                <w:rFonts w:ascii="宋体" w:hAnsi="宋体" w:eastAsia="宋体"/>
                <w:sz w:val="16"/>
              </w:rPr>
              <w:t>10.00分</w:t>
            </w:r>
          </w:p>
        </w:tc>
      </w:tr>
      <w:tr w14:paraId="43C8C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2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91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747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D50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08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53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1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81E0">
            <w:pPr>
              <w:jc w:val="center"/>
            </w:pPr>
            <w:r>
              <w:rPr>
                <w:rFonts w:ascii="宋体" w:hAnsi="宋体" w:eastAsia="宋体"/>
                <w:sz w:val="16"/>
              </w:rPr>
              <w:t>—</w:t>
            </w:r>
          </w:p>
        </w:tc>
      </w:tr>
      <w:tr w14:paraId="35B1E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EAA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1A2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C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5B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94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68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E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3182">
            <w:pPr>
              <w:jc w:val="center"/>
            </w:pPr>
            <w:r>
              <w:rPr>
                <w:rFonts w:ascii="宋体" w:hAnsi="宋体" w:eastAsia="宋体"/>
                <w:sz w:val="16"/>
              </w:rPr>
              <w:t>—</w:t>
            </w:r>
          </w:p>
        </w:tc>
      </w:tr>
      <w:tr w14:paraId="76251F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624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9D5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57CDB">
            <w:pPr>
              <w:jc w:val="center"/>
            </w:pPr>
            <w:r>
              <w:rPr>
                <w:rFonts w:ascii="宋体" w:hAnsi="宋体" w:eastAsia="宋体"/>
                <w:sz w:val="16"/>
              </w:rPr>
              <w:t>实际完成情况</w:t>
            </w:r>
          </w:p>
        </w:tc>
      </w:tr>
      <w:tr w14:paraId="17D5A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501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80B1C">
            <w:pPr>
              <w:jc w:val="both"/>
            </w:pPr>
            <w:r>
              <w:rPr>
                <w:rFonts w:ascii="宋体" w:hAnsi="宋体" w:eastAsia="宋体"/>
                <w:sz w:val="16"/>
              </w:rPr>
              <w:t>项目预算安排资金7万元，其中：财政资金7万元，其他资金0万元。计划使用7</w:t>
            </w:r>
            <w:r>
              <w:rPr>
                <w:rFonts w:hint="eastAsia" w:ascii="宋体" w:hAnsi="宋体"/>
                <w:sz w:val="16"/>
                <w:lang w:eastAsia="zh-CN"/>
              </w:rPr>
              <w:t>个</w:t>
            </w: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59586">
            <w:pPr>
              <w:jc w:val="both"/>
            </w:pPr>
            <w:r>
              <w:rPr>
                <w:rFonts w:ascii="宋体" w:hAnsi="宋体" w:eastAsia="宋体"/>
                <w:sz w:val="16"/>
              </w:rPr>
              <w:t>项目实际支出7万元，用于支付塔什库尔干塔吉克自治县市场监督管理局包联的瓦恰乡夏布孜喀拉村的</w:t>
            </w:r>
            <w:r>
              <w:rPr>
                <w:rFonts w:hint="eastAsia" w:ascii="宋体" w:hAnsi="宋体"/>
                <w:sz w:val="16"/>
                <w:lang w:eastAsia="zh-CN"/>
              </w:rPr>
              <w:t>为民办实事</w:t>
            </w:r>
            <w:r>
              <w:rPr>
                <w:rFonts w:ascii="宋体" w:hAnsi="宋体" w:eastAsia="宋体"/>
                <w:sz w:val="16"/>
              </w:rPr>
              <w:t>工作队为民办实事费用，具体实施内容为举办了2场次为民办实事活动、完成了第一书记为民办实事2次、群众性文化演出活动1次、资金拨付及时率达到100%、为民办实事服务率</w:t>
            </w:r>
            <w:r>
              <w:rPr>
                <w:rFonts w:hint="eastAsia" w:ascii="宋体" w:hAnsi="宋体"/>
                <w:sz w:val="16"/>
                <w:lang w:eastAsia="zh-CN"/>
              </w:rPr>
              <w:t>达到</w:t>
            </w:r>
            <w:r>
              <w:rPr>
                <w:rFonts w:ascii="宋体" w:hAnsi="宋体" w:eastAsia="宋体"/>
                <w:sz w:val="16"/>
              </w:rPr>
              <w:t>100%，项目的实施有效解决了民生问题，缩小了贫富差距，促进了社会资源的公平分配；通过积极主动地为民众解决问题，展现了政府的责任担当和高效服务，提升了政府在民众心中的形象和公信力，为扎实持久开展</w:t>
            </w:r>
            <w:r>
              <w:rPr>
                <w:rFonts w:hint="eastAsia" w:ascii="宋体" w:hAnsi="宋体"/>
                <w:sz w:val="16"/>
                <w:lang w:eastAsia="zh-CN"/>
              </w:rPr>
              <w:t>为民办实事</w:t>
            </w:r>
            <w:r>
              <w:rPr>
                <w:rFonts w:ascii="宋体" w:hAnsi="宋体" w:eastAsia="宋体"/>
                <w:sz w:val="16"/>
              </w:rPr>
              <w:t>工作提供了保障，使受益对象满意度达到了100%。</w:t>
            </w:r>
          </w:p>
        </w:tc>
      </w:tr>
      <w:tr w14:paraId="04270E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E099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DD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CE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E8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DA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6B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8D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D7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66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5B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2D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B6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2D239">
            <w:pPr>
              <w:jc w:val="center"/>
            </w:pPr>
            <w:r>
              <w:rPr>
                <w:rFonts w:ascii="宋体" w:hAnsi="宋体" w:eastAsia="宋体"/>
                <w:sz w:val="16"/>
              </w:rPr>
              <w:t>偏差原因分析及改进措施</w:t>
            </w:r>
          </w:p>
        </w:tc>
      </w:tr>
      <w:tr w14:paraId="48FFE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DF8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1E6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121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3D42">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E7C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8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F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CC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F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8BC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A8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7DA9">
            <w:pPr>
              <w:jc w:val="center"/>
            </w:pPr>
          </w:p>
        </w:tc>
      </w:tr>
      <w:tr w14:paraId="556F3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0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3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74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B8F6">
            <w:pPr>
              <w:jc w:val="center"/>
            </w:pPr>
            <w:r>
              <w:rPr>
                <w:rFonts w:ascii="宋体" w:hAnsi="宋体" w:eastAsia="宋体"/>
                <w:sz w:val="16"/>
              </w:rPr>
              <w:t>第一书记开展为民办事次数（次）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128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D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CE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73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3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5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9DE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BE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4DC4C">
            <w:pPr>
              <w:jc w:val="center"/>
            </w:pPr>
          </w:p>
        </w:tc>
      </w:tr>
      <w:tr w14:paraId="3A673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A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5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C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AE70">
            <w:pPr>
              <w:jc w:val="center"/>
            </w:pPr>
            <w:r>
              <w:rPr>
                <w:rFonts w:ascii="宋体" w:hAnsi="宋体" w:eastAsia="宋体"/>
                <w:sz w:val="16"/>
              </w:rPr>
              <w:t>群众性文化演出活动次数（次）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632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F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69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D3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B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A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1A8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74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D8B6">
            <w:pPr>
              <w:jc w:val="center"/>
            </w:pPr>
          </w:p>
        </w:tc>
      </w:tr>
      <w:tr w14:paraId="5AD8B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AA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6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FE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025B">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19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1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4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A9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D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B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D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091C">
            <w:pPr>
              <w:jc w:val="center"/>
            </w:pPr>
            <w:r>
              <w:rPr>
                <w:rFonts w:ascii="宋体" w:hAnsi="宋体" w:eastAsia="宋体"/>
                <w:sz w:val="16"/>
              </w:rPr>
              <w:t>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6B29">
            <w:pPr>
              <w:jc w:val="center"/>
            </w:pPr>
            <w:r>
              <w:rPr>
                <w:rFonts w:ascii="宋体" w:hAnsi="宋体" w:eastAsia="宋体"/>
                <w:sz w:val="16"/>
              </w:rPr>
              <w:t>偏差原因分析：项目实施情况较好，为民办实事服务率高于预期导致出现正偏差，改进措施：基于当前良好表现，重新审视绩效目标，在以后绩效目标设置时设置更具挑战性的目标，以推动业务持续发展。</w:t>
            </w:r>
          </w:p>
        </w:tc>
      </w:tr>
      <w:tr w14:paraId="729D7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1A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8D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F43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8F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0D6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0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2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97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3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C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C9D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77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B69A">
            <w:pPr>
              <w:jc w:val="center"/>
            </w:pPr>
          </w:p>
        </w:tc>
      </w:tr>
      <w:tr w14:paraId="51095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5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5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5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693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C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A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8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0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3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F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C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C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ED32">
            <w:pPr>
              <w:jc w:val="center"/>
            </w:pPr>
          </w:p>
        </w:tc>
      </w:tr>
      <w:tr w14:paraId="46AF6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ED6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A70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494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AAF9">
            <w:pPr>
              <w:jc w:val="center"/>
            </w:pP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811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EC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4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4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1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1B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6F7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6C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D31B">
            <w:pPr>
              <w:jc w:val="center"/>
            </w:pPr>
          </w:p>
        </w:tc>
      </w:tr>
      <w:tr w14:paraId="6310E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63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E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A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131C">
            <w:pPr>
              <w:jc w:val="center"/>
            </w:pPr>
            <w:r>
              <w:rPr>
                <w:rFonts w:ascii="宋体" w:hAnsi="宋体" w:eastAsia="宋体"/>
                <w:sz w:val="16"/>
              </w:rPr>
              <w:t>第一书记为民</w:t>
            </w:r>
            <w:r>
              <w:rPr>
                <w:rFonts w:hint="eastAsia" w:ascii="宋体" w:hAnsi="宋体"/>
                <w:sz w:val="16"/>
                <w:lang w:eastAsia="zh-CN"/>
              </w:rPr>
              <w:t>办实事</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32F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01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2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89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A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C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DCC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A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0F6F">
            <w:pPr>
              <w:jc w:val="center"/>
            </w:pPr>
          </w:p>
        </w:tc>
      </w:tr>
      <w:tr w14:paraId="5255F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C8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95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1C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6CF4">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F256">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1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8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16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77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4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3B1D">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60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55A0">
            <w:pPr>
              <w:jc w:val="center"/>
            </w:pPr>
          </w:p>
        </w:tc>
      </w:tr>
      <w:tr w14:paraId="0D2C9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9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81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33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067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28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8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A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7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7B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A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4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92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ADCB">
            <w:pPr>
              <w:jc w:val="center"/>
            </w:pPr>
            <w:r>
              <w:rPr>
                <w:rFonts w:ascii="宋体" w:hAnsi="宋体" w:eastAsia="宋体"/>
                <w:sz w:val="16"/>
              </w:rPr>
              <w:t>偏差原因分析：项目实施情况较好，受益对象满意度高于预期导致出现正偏差，改进措施：基于当前良好表现，重新审视绩效目标，在以后绩效目标设置时设置更具挑战性的目标，以推动业务持续发展。</w:t>
            </w:r>
          </w:p>
        </w:tc>
      </w:tr>
      <w:tr w14:paraId="17067B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FE8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ED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39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DBADC4">
            <w:pPr>
              <w:jc w:val="center"/>
            </w:pPr>
            <w:r>
              <w:rPr>
                <w:rFonts w:ascii="宋体" w:hAnsi="宋体" w:eastAsia="宋体"/>
                <w:sz w:val="16"/>
              </w:rPr>
              <w:t>99.44分</w:t>
            </w:r>
          </w:p>
        </w:tc>
      </w:tr>
    </w:tbl>
    <w:p w14:paraId="141319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5D86915">
        <w:tblPrEx>
          <w:tblCellMar>
            <w:top w:w="0" w:type="dxa"/>
            <w:left w:w="108" w:type="dxa"/>
            <w:bottom w:w="0" w:type="dxa"/>
            <w:right w:w="108" w:type="dxa"/>
          </w:tblCellMar>
        </w:tblPrEx>
        <w:tc>
          <w:tcPr>
            <w:tcW w:w="8848" w:type="dxa"/>
            <w:gridSpan w:val="14"/>
            <w:vAlign w:val="center"/>
          </w:tcPr>
          <w:p w14:paraId="483665CE">
            <w:pPr>
              <w:jc w:val="center"/>
            </w:pPr>
            <w:r>
              <w:rPr>
                <w:rFonts w:ascii="宋体" w:hAnsi="宋体" w:eastAsia="宋体"/>
                <w:sz w:val="24"/>
              </w:rPr>
              <w:t>项目支出绩效自评表</w:t>
            </w:r>
          </w:p>
        </w:tc>
      </w:tr>
      <w:tr w14:paraId="673E9F27">
        <w:tblPrEx>
          <w:tblCellMar>
            <w:top w:w="0" w:type="dxa"/>
            <w:left w:w="108" w:type="dxa"/>
            <w:bottom w:w="0" w:type="dxa"/>
            <w:right w:w="108" w:type="dxa"/>
          </w:tblCellMar>
        </w:tblPrEx>
        <w:tc>
          <w:tcPr>
            <w:tcW w:w="8848" w:type="dxa"/>
            <w:gridSpan w:val="14"/>
            <w:vAlign w:val="center"/>
          </w:tcPr>
          <w:p w14:paraId="6AD8F5DD">
            <w:pPr>
              <w:jc w:val="center"/>
            </w:pPr>
            <w:r>
              <w:rPr>
                <w:rFonts w:ascii="宋体" w:hAnsi="宋体" w:eastAsia="宋体"/>
                <w:sz w:val="24"/>
              </w:rPr>
              <w:t>(2024年度)</w:t>
            </w:r>
          </w:p>
        </w:tc>
      </w:tr>
      <w:tr w14:paraId="125D5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AD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80BD98">
            <w:pPr>
              <w:jc w:val="center"/>
            </w:pPr>
            <w:r>
              <w:rPr>
                <w:rFonts w:ascii="宋体" w:hAnsi="宋体" w:eastAsia="宋体"/>
                <w:sz w:val="16"/>
              </w:rPr>
              <w:t>2024年食品安全抽检检测项目</w:t>
            </w:r>
          </w:p>
        </w:tc>
      </w:tr>
      <w:tr w14:paraId="7FB09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E5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6E55C">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97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AEE93">
            <w:pPr>
              <w:jc w:val="center"/>
            </w:pPr>
            <w:r>
              <w:rPr>
                <w:rFonts w:ascii="宋体" w:hAnsi="宋体" w:eastAsia="宋体"/>
                <w:sz w:val="16"/>
              </w:rPr>
              <w:t>塔什库尔干塔吉克自治县市场监督管理局</w:t>
            </w:r>
          </w:p>
        </w:tc>
      </w:tr>
      <w:tr w14:paraId="57464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862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4B3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C3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13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04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F3F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E9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119E">
            <w:pPr>
              <w:jc w:val="center"/>
            </w:pPr>
            <w:r>
              <w:rPr>
                <w:rFonts w:ascii="宋体" w:hAnsi="宋体" w:eastAsia="宋体"/>
                <w:sz w:val="16"/>
              </w:rPr>
              <w:t>得分</w:t>
            </w:r>
          </w:p>
        </w:tc>
      </w:tr>
      <w:tr w14:paraId="632850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A7B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0AE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E68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EADA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70D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2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D5A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7FF">
            <w:pPr>
              <w:jc w:val="center"/>
            </w:pPr>
            <w:r>
              <w:rPr>
                <w:rFonts w:ascii="宋体" w:hAnsi="宋体" w:eastAsia="宋体"/>
                <w:sz w:val="16"/>
              </w:rPr>
              <w:t>10.00分</w:t>
            </w:r>
          </w:p>
        </w:tc>
      </w:tr>
      <w:tr w14:paraId="73B48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28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A2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6365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85A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48FA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53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E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B57D">
            <w:pPr>
              <w:jc w:val="center"/>
            </w:pPr>
            <w:r>
              <w:rPr>
                <w:rFonts w:ascii="宋体" w:hAnsi="宋体" w:eastAsia="宋体"/>
                <w:sz w:val="16"/>
              </w:rPr>
              <w:t>—</w:t>
            </w:r>
          </w:p>
        </w:tc>
      </w:tr>
      <w:tr w14:paraId="4D2B9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C10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A54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5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277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8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A62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761F">
            <w:pPr>
              <w:jc w:val="center"/>
            </w:pPr>
            <w:r>
              <w:rPr>
                <w:rFonts w:ascii="宋体" w:hAnsi="宋体" w:eastAsia="宋体"/>
                <w:sz w:val="16"/>
              </w:rPr>
              <w:t>—</w:t>
            </w:r>
          </w:p>
        </w:tc>
      </w:tr>
      <w:tr w14:paraId="496E8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FAE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11E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6E821">
            <w:pPr>
              <w:jc w:val="center"/>
            </w:pPr>
            <w:r>
              <w:rPr>
                <w:rFonts w:ascii="宋体" w:hAnsi="宋体" w:eastAsia="宋体"/>
                <w:sz w:val="16"/>
              </w:rPr>
              <w:t>实际完成情况</w:t>
            </w:r>
          </w:p>
        </w:tc>
      </w:tr>
      <w:tr w14:paraId="569D1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823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10DC7">
            <w:pPr>
              <w:jc w:val="both"/>
            </w:pPr>
            <w:r>
              <w:rPr>
                <w:rFonts w:ascii="宋体" w:hAnsi="宋体" w:eastAsia="宋体"/>
                <w:sz w:val="16"/>
              </w:rPr>
              <w:t>促进食品日常监督检查有序开展，提高了基层监管队伍执法能力和监管能力，完成食品安全抽检检测任务125批次，达到食品安全抽检检测任务费用标准1360元/次。保障全县2024年食品安全监督业务正常开展，有效防止食品安全事故的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C0F2D5">
            <w:pPr>
              <w:jc w:val="both"/>
            </w:pPr>
            <w:r>
              <w:rPr>
                <w:rFonts w:ascii="宋体" w:hAnsi="宋体" w:eastAsia="宋体"/>
                <w:sz w:val="16"/>
              </w:rPr>
              <w:t>截至2024年12月31日，项目实际支出17万元，完成食品抽检125批次，抽检覆盖率达100%，项目完成及时率达100%，检查结果公开率达100%，项目的实施促进了食品日常监督检查工作的有序开展，提高了基层监管队伍执法能力和监管能力，有效防止了食品安全事故的发生，有效保障了人民群众食品安全。</w:t>
            </w:r>
          </w:p>
        </w:tc>
      </w:tr>
      <w:tr w14:paraId="0D550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653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5D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3E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D5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29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27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EC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BC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39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B1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FA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67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7BA91">
            <w:pPr>
              <w:jc w:val="center"/>
            </w:pPr>
            <w:r>
              <w:rPr>
                <w:rFonts w:ascii="宋体" w:hAnsi="宋体" w:eastAsia="宋体"/>
                <w:sz w:val="16"/>
              </w:rPr>
              <w:t>偏差原因分析及改进措施</w:t>
            </w:r>
          </w:p>
        </w:tc>
      </w:tr>
      <w:tr w14:paraId="2ECF6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6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BAB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21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F54A">
            <w:pPr>
              <w:jc w:val="center"/>
            </w:pPr>
            <w:r>
              <w:rPr>
                <w:rFonts w:ascii="宋体" w:hAnsi="宋体" w:eastAsia="宋体"/>
                <w:sz w:val="16"/>
              </w:rPr>
              <w:t>食品抽检任务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4A6D">
            <w:pPr>
              <w:jc w:val="center"/>
            </w:pPr>
            <w:r>
              <w:rPr>
                <w:rFonts w:ascii="宋体" w:hAnsi="宋体" w:eastAsia="宋体"/>
                <w:sz w:val="16"/>
              </w:rPr>
              <w:t>&gt;=125批次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5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BD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8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6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11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FA9C">
            <w:pPr>
              <w:jc w:val="center"/>
            </w:pPr>
            <w:r>
              <w:rPr>
                <w:rFonts w:ascii="宋体" w:hAnsi="宋体" w:eastAsia="宋体"/>
                <w:sz w:val="16"/>
              </w:rPr>
              <w:t>=125批次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60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C8A9">
            <w:pPr>
              <w:jc w:val="center"/>
            </w:pPr>
          </w:p>
        </w:tc>
      </w:tr>
      <w:tr w14:paraId="587CB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93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A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BA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E2D1">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4EA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C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1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A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A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0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B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84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37A3">
            <w:pPr>
              <w:jc w:val="center"/>
            </w:pPr>
          </w:p>
        </w:tc>
      </w:tr>
      <w:tr w14:paraId="474A8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50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23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78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D81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7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E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25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2F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7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4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9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E3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C11B6">
            <w:pPr>
              <w:jc w:val="center"/>
            </w:pPr>
          </w:p>
        </w:tc>
      </w:tr>
      <w:tr w14:paraId="0FD1E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1D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9E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5C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6F6E">
            <w:pPr>
              <w:jc w:val="center"/>
            </w:pPr>
            <w:r>
              <w:rPr>
                <w:rFonts w:ascii="宋体" w:hAnsi="宋体" w:eastAsia="宋体"/>
                <w:sz w:val="16"/>
              </w:rPr>
              <w:t>食品安全抽检检测任务标准（元/批次）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FD21">
            <w:pPr>
              <w:jc w:val="center"/>
            </w:pPr>
            <w:r>
              <w:rPr>
                <w:rFonts w:ascii="宋体" w:hAnsi="宋体" w:eastAsia="宋体"/>
                <w:sz w:val="16"/>
              </w:rPr>
              <w:t>&lt;=1360元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6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53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72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D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9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A866">
            <w:pPr>
              <w:jc w:val="center"/>
            </w:pPr>
            <w:r>
              <w:rPr>
                <w:rFonts w:ascii="宋体" w:hAnsi="宋体" w:eastAsia="宋体"/>
                <w:sz w:val="16"/>
              </w:rPr>
              <w:t>=1360元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99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2F7C">
            <w:pPr>
              <w:jc w:val="center"/>
            </w:pPr>
          </w:p>
        </w:tc>
      </w:tr>
      <w:tr w14:paraId="679DF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CD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C8B6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2C2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5D29">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C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0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23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0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D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D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D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0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DB4A">
            <w:pPr>
              <w:jc w:val="center"/>
            </w:pPr>
          </w:p>
        </w:tc>
      </w:tr>
      <w:tr w14:paraId="0DD08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D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8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AE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9CED">
            <w:pPr>
              <w:jc w:val="center"/>
            </w:pPr>
            <w:r>
              <w:rPr>
                <w:rFonts w:ascii="宋体" w:hAnsi="宋体" w:eastAsia="宋体"/>
                <w:sz w:val="16"/>
              </w:rPr>
              <w:t>有效保障人民群众食品安全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65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58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6A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1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27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B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FA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F7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F795D">
            <w:pPr>
              <w:jc w:val="center"/>
            </w:pPr>
          </w:p>
        </w:tc>
      </w:tr>
      <w:tr w14:paraId="3570D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05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A3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7E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2FB3">
            <w:pPr>
              <w:jc w:val="center"/>
            </w:pPr>
            <w:r>
              <w:rPr>
                <w:rFonts w:ascii="宋体" w:hAnsi="宋体" w:eastAsia="宋体"/>
                <w:sz w:val="16"/>
              </w:rPr>
              <w:t>检查人员被投诉次数（次）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CC2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D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D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0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D7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5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F7A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D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CB29">
            <w:pPr>
              <w:jc w:val="center"/>
            </w:pPr>
          </w:p>
        </w:tc>
      </w:tr>
      <w:tr w14:paraId="6CBD4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65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D3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2E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AF6A11">
            <w:pPr>
              <w:jc w:val="center"/>
            </w:pPr>
            <w:r>
              <w:rPr>
                <w:rFonts w:ascii="宋体" w:hAnsi="宋体" w:eastAsia="宋体"/>
                <w:sz w:val="16"/>
              </w:rPr>
              <w:t>100分</w:t>
            </w:r>
          </w:p>
        </w:tc>
      </w:tr>
    </w:tbl>
    <w:p w14:paraId="5C6C8C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2404C58F">
        <w:tblPrEx>
          <w:tblCellMar>
            <w:top w:w="0" w:type="dxa"/>
            <w:left w:w="108" w:type="dxa"/>
            <w:bottom w:w="0" w:type="dxa"/>
            <w:right w:w="108" w:type="dxa"/>
          </w:tblCellMar>
        </w:tblPrEx>
        <w:tc>
          <w:tcPr>
            <w:tcW w:w="8848" w:type="dxa"/>
            <w:gridSpan w:val="14"/>
            <w:vAlign w:val="center"/>
          </w:tcPr>
          <w:p w14:paraId="1799739D">
            <w:pPr>
              <w:jc w:val="center"/>
            </w:pPr>
            <w:r>
              <w:rPr>
                <w:rFonts w:ascii="宋体" w:hAnsi="宋体" w:eastAsia="宋体"/>
                <w:sz w:val="24"/>
              </w:rPr>
              <w:t>项目支出绩效自评表</w:t>
            </w:r>
          </w:p>
        </w:tc>
      </w:tr>
      <w:tr w14:paraId="326D5CD6">
        <w:tblPrEx>
          <w:tblCellMar>
            <w:top w:w="0" w:type="dxa"/>
            <w:left w:w="108" w:type="dxa"/>
            <w:bottom w:w="0" w:type="dxa"/>
            <w:right w:w="108" w:type="dxa"/>
          </w:tblCellMar>
        </w:tblPrEx>
        <w:tc>
          <w:tcPr>
            <w:tcW w:w="8848" w:type="dxa"/>
            <w:gridSpan w:val="14"/>
            <w:vAlign w:val="center"/>
          </w:tcPr>
          <w:p w14:paraId="26CE2674">
            <w:pPr>
              <w:jc w:val="center"/>
            </w:pPr>
            <w:r>
              <w:rPr>
                <w:rFonts w:ascii="宋体" w:hAnsi="宋体" w:eastAsia="宋体"/>
                <w:sz w:val="24"/>
              </w:rPr>
              <w:t>(2024年度)</w:t>
            </w:r>
          </w:p>
        </w:tc>
      </w:tr>
      <w:tr w14:paraId="7890E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B1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51B921">
            <w:pPr>
              <w:jc w:val="center"/>
            </w:pPr>
            <w:r>
              <w:rPr>
                <w:rFonts w:hint="eastAsia" w:ascii="宋体" w:hAnsi="宋体"/>
                <w:sz w:val="16"/>
                <w:lang w:eastAsia="zh-CN"/>
              </w:rPr>
              <w:t>塔什库尔干塔吉克自治县</w:t>
            </w:r>
            <w:r>
              <w:rPr>
                <w:rFonts w:ascii="宋体" w:hAnsi="宋体" w:eastAsia="宋体"/>
                <w:sz w:val="16"/>
              </w:rPr>
              <w:t>2021年国家重点生态功能区县域生态环境质量</w:t>
            </w:r>
            <w:r>
              <w:rPr>
                <w:rFonts w:hint="eastAsia" w:ascii="宋体" w:hAnsi="宋体"/>
                <w:sz w:val="16"/>
                <w:lang w:eastAsia="zh-CN"/>
              </w:rPr>
              <w:t>监测</w:t>
            </w:r>
            <w:r>
              <w:rPr>
                <w:rFonts w:ascii="宋体" w:hAnsi="宋体" w:eastAsia="宋体"/>
                <w:sz w:val="16"/>
              </w:rPr>
              <w:t>及农村环境质量试点监测项目</w:t>
            </w:r>
          </w:p>
        </w:tc>
      </w:tr>
      <w:tr w14:paraId="139CD1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A6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210A0">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CE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C6A11">
            <w:pPr>
              <w:jc w:val="center"/>
            </w:pPr>
            <w:r>
              <w:rPr>
                <w:rFonts w:ascii="宋体" w:hAnsi="宋体" w:eastAsia="宋体"/>
                <w:sz w:val="16"/>
              </w:rPr>
              <w:t>塔什库尔干塔吉克自治县市场监督管理局</w:t>
            </w:r>
          </w:p>
        </w:tc>
      </w:tr>
      <w:tr w14:paraId="6D1F4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B79B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B51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343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32B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8E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0B4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9D6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BF25">
            <w:pPr>
              <w:jc w:val="center"/>
            </w:pPr>
            <w:r>
              <w:rPr>
                <w:rFonts w:ascii="宋体" w:hAnsi="宋体" w:eastAsia="宋体"/>
                <w:sz w:val="16"/>
              </w:rPr>
              <w:t>得分</w:t>
            </w:r>
          </w:p>
        </w:tc>
      </w:tr>
      <w:tr w14:paraId="4647C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3AC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D0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A052">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B117">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EDD89">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71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27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854D">
            <w:pPr>
              <w:jc w:val="center"/>
            </w:pPr>
            <w:r>
              <w:rPr>
                <w:rFonts w:ascii="宋体" w:hAnsi="宋体" w:eastAsia="宋体"/>
                <w:sz w:val="16"/>
              </w:rPr>
              <w:t>10.00分</w:t>
            </w:r>
          </w:p>
        </w:tc>
      </w:tr>
      <w:tr w14:paraId="61DF7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1E4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17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9D4D">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E5C8">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9B0CA">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44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F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C9F9">
            <w:pPr>
              <w:jc w:val="center"/>
            </w:pPr>
            <w:r>
              <w:rPr>
                <w:rFonts w:ascii="宋体" w:hAnsi="宋体" w:eastAsia="宋体"/>
                <w:sz w:val="16"/>
              </w:rPr>
              <w:t>—</w:t>
            </w:r>
          </w:p>
        </w:tc>
      </w:tr>
      <w:tr w14:paraId="7FF7A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AA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CE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6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B57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88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5F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58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8E7E">
            <w:pPr>
              <w:jc w:val="center"/>
            </w:pPr>
            <w:r>
              <w:rPr>
                <w:rFonts w:ascii="宋体" w:hAnsi="宋体" w:eastAsia="宋体"/>
                <w:sz w:val="16"/>
              </w:rPr>
              <w:t>—</w:t>
            </w:r>
          </w:p>
        </w:tc>
      </w:tr>
      <w:tr w14:paraId="74B3B4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FD2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6F0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9F043">
            <w:pPr>
              <w:jc w:val="center"/>
            </w:pPr>
            <w:r>
              <w:rPr>
                <w:rFonts w:ascii="宋体" w:hAnsi="宋体" w:eastAsia="宋体"/>
                <w:sz w:val="16"/>
              </w:rPr>
              <w:t>实际完成情况</w:t>
            </w:r>
          </w:p>
        </w:tc>
      </w:tr>
      <w:tr w14:paraId="238C2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CE4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61C3E">
            <w:pPr>
              <w:jc w:val="both"/>
            </w:pPr>
            <w:r>
              <w:rPr>
                <w:rFonts w:ascii="宋体" w:hAnsi="宋体" w:eastAsia="宋体"/>
                <w:sz w:val="16"/>
              </w:rPr>
              <w:t>项目预算安排资金32.5万元，其中：财政资金32.5万元。建筑物单体数量9栋，用于</w:t>
            </w:r>
            <w:r>
              <w:rPr>
                <w:rFonts w:hint="eastAsia" w:ascii="宋体" w:hAnsi="宋体"/>
                <w:sz w:val="16"/>
                <w:lang w:eastAsia="zh-CN"/>
              </w:rPr>
              <w:t>塔什库尔干塔吉克自治县</w:t>
            </w:r>
            <w:r>
              <w:rPr>
                <w:rFonts w:ascii="宋体" w:hAnsi="宋体" w:eastAsia="宋体"/>
                <w:sz w:val="16"/>
              </w:rPr>
              <w:t>2021年国家重点生态功能区县域生态环境质量检测及农村环境质量试点监测项目（含‘千吨万人’和农村灌溉监测），从而加快推进了</w:t>
            </w:r>
            <w:r>
              <w:rPr>
                <w:rFonts w:hint="eastAsia" w:ascii="宋体" w:hAnsi="宋体"/>
                <w:sz w:val="16"/>
                <w:lang w:eastAsia="zh-CN"/>
              </w:rPr>
              <w:t>塔什库尔干塔吉克自治县</w:t>
            </w:r>
            <w:r>
              <w:rPr>
                <w:rFonts w:ascii="宋体" w:hAnsi="宋体" w:eastAsia="宋体"/>
                <w:sz w:val="16"/>
              </w:rPr>
              <w:t>重点生态功能区县域生态环境监测。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51F8C7">
            <w:pPr>
              <w:jc w:val="both"/>
            </w:pPr>
            <w:r>
              <w:rPr>
                <w:rFonts w:ascii="宋体" w:hAnsi="宋体" w:eastAsia="宋体"/>
                <w:sz w:val="16"/>
              </w:rPr>
              <w:t>截止至2024年12月31日，该项目已使用资金32.5万元，执行率100%，用于</w:t>
            </w:r>
            <w:r>
              <w:rPr>
                <w:rFonts w:hint="eastAsia" w:ascii="宋体" w:hAnsi="宋体"/>
                <w:sz w:val="16"/>
                <w:lang w:eastAsia="zh-CN"/>
              </w:rPr>
              <w:t>塔什库尔干塔吉克自治县</w:t>
            </w:r>
            <w:r>
              <w:rPr>
                <w:rFonts w:ascii="宋体" w:hAnsi="宋体" w:eastAsia="宋体"/>
                <w:sz w:val="16"/>
              </w:rPr>
              <w:t>2021年国家重点生态功能区县域生态环境质量检测及农村环境质量试点监测项目（含‘千吨万人’和农村灌溉监测），完成生态环境质量检测1次，项目验收合格率达100%，从而加快推进了</w:t>
            </w:r>
            <w:r>
              <w:rPr>
                <w:rFonts w:hint="eastAsia" w:ascii="宋体" w:hAnsi="宋体"/>
                <w:sz w:val="16"/>
                <w:lang w:eastAsia="zh-CN"/>
              </w:rPr>
              <w:t>塔什库尔干塔吉克自治县</w:t>
            </w:r>
            <w:r>
              <w:rPr>
                <w:rFonts w:ascii="宋体" w:hAnsi="宋体" w:eastAsia="宋体"/>
                <w:sz w:val="16"/>
              </w:rPr>
              <w:t>重点生态功能区县域生态环境监测。</w:t>
            </w:r>
          </w:p>
        </w:tc>
      </w:tr>
      <w:tr w14:paraId="02D61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00F3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5A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D4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86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6E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8D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25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3E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15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E8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BD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08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5F94">
            <w:pPr>
              <w:jc w:val="center"/>
            </w:pPr>
            <w:r>
              <w:rPr>
                <w:rFonts w:ascii="宋体" w:hAnsi="宋体" w:eastAsia="宋体"/>
                <w:sz w:val="16"/>
              </w:rPr>
              <w:t>偏差原因分析及改进措施</w:t>
            </w:r>
          </w:p>
        </w:tc>
      </w:tr>
      <w:tr w14:paraId="1A06E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A73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CEB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2C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FCA3">
            <w:pPr>
              <w:jc w:val="center"/>
            </w:pPr>
            <w:r>
              <w:rPr>
                <w:rFonts w:ascii="宋体" w:hAnsi="宋体" w:eastAsia="宋体"/>
                <w:sz w:val="16"/>
              </w:rPr>
              <w:t>支付生态环境质量检测次数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DCE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A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3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3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F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E9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E42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9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5F46">
            <w:pPr>
              <w:jc w:val="center"/>
            </w:pPr>
          </w:p>
        </w:tc>
      </w:tr>
      <w:tr w14:paraId="15EBD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3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9E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AE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9A7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5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4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F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D0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74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D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0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1BB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A431">
            <w:pPr>
              <w:jc w:val="center"/>
            </w:pPr>
          </w:p>
        </w:tc>
      </w:tr>
      <w:tr w14:paraId="6D513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C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06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21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57C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A0FF">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7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D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AA4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B2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B4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182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205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3BA54">
            <w:pPr>
              <w:jc w:val="center"/>
            </w:pPr>
          </w:p>
        </w:tc>
      </w:tr>
      <w:tr w14:paraId="4A3E7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64E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103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157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3EAD">
            <w:pPr>
              <w:jc w:val="center"/>
            </w:pPr>
            <w:r>
              <w:rPr>
                <w:rFonts w:ascii="宋体" w:hAnsi="宋体" w:eastAsia="宋体"/>
                <w:sz w:val="16"/>
              </w:rPr>
              <w:t>生态环境质量检测费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52B8">
            <w:pPr>
              <w:jc w:val="center"/>
            </w:pPr>
            <w:r>
              <w:rPr>
                <w:rFonts w:ascii="宋体" w:hAnsi="宋体" w:eastAsia="宋体"/>
                <w:sz w:val="16"/>
              </w:rPr>
              <w:t>&lt;=32.50万元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D6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7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4E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4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BB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BC84">
            <w:pPr>
              <w:jc w:val="center"/>
            </w:pPr>
            <w:r>
              <w:rPr>
                <w:rFonts w:ascii="宋体" w:hAnsi="宋体" w:eastAsia="宋体"/>
                <w:sz w:val="16"/>
              </w:rPr>
              <w: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E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D09D">
            <w:pPr>
              <w:jc w:val="center"/>
            </w:pPr>
          </w:p>
        </w:tc>
      </w:tr>
      <w:tr w14:paraId="66890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A4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33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5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ADD">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7BF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7F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7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5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03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38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2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B0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5716">
            <w:pPr>
              <w:jc w:val="center"/>
            </w:pPr>
          </w:p>
        </w:tc>
      </w:tr>
      <w:tr w14:paraId="39C25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F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C8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D4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EC04">
            <w:pPr>
              <w:jc w:val="center"/>
            </w:pPr>
            <w:r>
              <w:rPr>
                <w:rFonts w:ascii="宋体" w:hAnsi="宋体" w:eastAsia="宋体"/>
                <w:sz w:val="16"/>
              </w:rPr>
              <w:t>加快推进了</w:t>
            </w:r>
            <w:r>
              <w:rPr>
                <w:rFonts w:hint="eastAsia" w:ascii="宋体" w:hAnsi="宋体"/>
                <w:sz w:val="16"/>
                <w:lang w:eastAsia="zh-CN"/>
              </w:rPr>
              <w:t>塔什库尔干塔吉克自治县</w:t>
            </w:r>
            <w:r>
              <w:rPr>
                <w:rFonts w:ascii="宋体" w:hAnsi="宋体" w:eastAsia="宋体"/>
                <w:sz w:val="16"/>
              </w:rPr>
              <w:t>重点生态功能区县域生态环境监测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B21E">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2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E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F7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4F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E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B1F1">
            <w:pPr>
              <w:jc w:val="center"/>
            </w:pPr>
            <w:r>
              <w:rPr>
                <w:rFonts w:ascii="宋体" w:hAnsi="宋体" w:eastAsia="宋体"/>
                <w:sz w:val="16"/>
              </w:rPr>
              <w:t>加快</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9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D574">
            <w:pPr>
              <w:jc w:val="center"/>
            </w:pPr>
          </w:p>
        </w:tc>
      </w:tr>
      <w:tr w14:paraId="0E4A5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8E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5F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AD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1FA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E5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A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4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7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7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B5B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0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D5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3F57">
            <w:pPr>
              <w:jc w:val="center"/>
            </w:pPr>
            <w:r>
              <w:rPr>
                <w:rFonts w:ascii="宋体" w:hAnsi="宋体" w:eastAsia="宋体"/>
                <w:sz w:val="16"/>
              </w:rPr>
              <w:t>偏差原因分析：项目实施情况较好，受益人员满意度高于预期导致出现正偏差，改进措施：基于当前良好表现，重新审视绩效目标，在以后绩效目标设置时设置更具挑战性的目标，以推动业务持续发展。</w:t>
            </w:r>
          </w:p>
        </w:tc>
      </w:tr>
      <w:tr w14:paraId="10966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5F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A8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4C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C55C2">
            <w:pPr>
              <w:jc w:val="center"/>
            </w:pPr>
            <w:r>
              <w:rPr>
                <w:rFonts w:ascii="宋体" w:hAnsi="宋体" w:eastAsia="宋体"/>
                <w:sz w:val="16"/>
              </w:rPr>
              <w:t>100分</w:t>
            </w:r>
          </w:p>
        </w:tc>
      </w:tr>
    </w:tbl>
    <w:p w14:paraId="587989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40F68B5">
        <w:tblPrEx>
          <w:tblCellMar>
            <w:top w:w="0" w:type="dxa"/>
            <w:left w:w="108" w:type="dxa"/>
            <w:bottom w:w="0" w:type="dxa"/>
            <w:right w:w="108" w:type="dxa"/>
          </w:tblCellMar>
        </w:tblPrEx>
        <w:tc>
          <w:tcPr>
            <w:tcW w:w="8848" w:type="dxa"/>
            <w:gridSpan w:val="14"/>
            <w:vAlign w:val="center"/>
          </w:tcPr>
          <w:p w14:paraId="17862596">
            <w:pPr>
              <w:jc w:val="center"/>
            </w:pPr>
            <w:r>
              <w:rPr>
                <w:rFonts w:ascii="宋体" w:hAnsi="宋体" w:eastAsia="宋体"/>
                <w:sz w:val="24"/>
              </w:rPr>
              <w:t>项目支出绩效自评表</w:t>
            </w:r>
          </w:p>
        </w:tc>
      </w:tr>
      <w:tr w14:paraId="00623DD1">
        <w:tblPrEx>
          <w:tblCellMar>
            <w:top w:w="0" w:type="dxa"/>
            <w:left w:w="108" w:type="dxa"/>
            <w:bottom w:w="0" w:type="dxa"/>
            <w:right w:w="108" w:type="dxa"/>
          </w:tblCellMar>
        </w:tblPrEx>
        <w:tc>
          <w:tcPr>
            <w:tcW w:w="8848" w:type="dxa"/>
            <w:gridSpan w:val="14"/>
            <w:vAlign w:val="center"/>
          </w:tcPr>
          <w:p w14:paraId="7279C86C">
            <w:pPr>
              <w:jc w:val="center"/>
            </w:pPr>
            <w:r>
              <w:rPr>
                <w:rFonts w:ascii="宋体" w:hAnsi="宋体" w:eastAsia="宋体"/>
                <w:sz w:val="24"/>
              </w:rPr>
              <w:t>(2024年度)</w:t>
            </w:r>
          </w:p>
        </w:tc>
      </w:tr>
      <w:tr w14:paraId="67C67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00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9D53A0">
            <w:pPr>
              <w:jc w:val="center"/>
            </w:pPr>
            <w:r>
              <w:rPr>
                <w:rFonts w:hint="eastAsia" w:ascii="宋体" w:hAnsi="宋体"/>
                <w:sz w:val="16"/>
                <w:lang w:eastAsia="zh-CN"/>
              </w:rPr>
              <w:t>塔什库尔干塔吉克自治县</w:t>
            </w:r>
            <w:r>
              <w:rPr>
                <w:rFonts w:ascii="宋体" w:hAnsi="宋体" w:eastAsia="宋体"/>
                <w:sz w:val="16"/>
              </w:rPr>
              <w:t>2023年重点功能区、农村生态、“千吨万人”以上农村饮用水水源地及农田灌溉水环境质量监测项目</w:t>
            </w:r>
          </w:p>
        </w:tc>
      </w:tr>
      <w:tr w14:paraId="34641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ED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A9FB5">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5F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D92821">
            <w:pPr>
              <w:jc w:val="center"/>
            </w:pPr>
            <w:r>
              <w:rPr>
                <w:rFonts w:ascii="宋体" w:hAnsi="宋体" w:eastAsia="宋体"/>
                <w:sz w:val="16"/>
              </w:rPr>
              <w:t>塔什库尔干塔吉克自治县市场监督管理局</w:t>
            </w:r>
          </w:p>
        </w:tc>
      </w:tr>
      <w:tr w14:paraId="57A376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4C7A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7F3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9C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09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29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8D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E9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D5A0">
            <w:pPr>
              <w:jc w:val="center"/>
            </w:pPr>
            <w:r>
              <w:rPr>
                <w:rFonts w:ascii="宋体" w:hAnsi="宋体" w:eastAsia="宋体"/>
                <w:sz w:val="16"/>
              </w:rPr>
              <w:t>得分</w:t>
            </w:r>
          </w:p>
        </w:tc>
      </w:tr>
      <w:tr w14:paraId="6E006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445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44A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E4E6">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F7FA">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92AC">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0D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E2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CCC5">
            <w:pPr>
              <w:jc w:val="center"/>
            </w:pPr>
            <w:r>
              <w:rPr>
                <w:rFonts w:ascii="宋体" w:hAnsi="宋体" w:eastAsia="宋体"/>
                <w:sz w:val="16"/>
              </w:rPr>
              <w:t>10.00分</w:t>
            </w:r>
          </w:p>
        </w:tc>
      </w:tr>
      <w:tr w14:paraId="6DF4D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FB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D7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C081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11E89">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E5ED">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34E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80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B84C">
            <w:pPr>
              <w:jc w:val="center"/>
            </w:pPr>
            <w:r>
              <w:rPr>
                <w:rFonts w:ascii="宋体" w:hAnsi="宋体" w:eastAsia="宋体"/>
                <w:sz w:val="16"/>
              </w:rPr>
              <w:t>—</w:t>
            </w:r>
          </w:p>
        </w:tc>
      </w:tr>
      <w:tr w14:paraId="44429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70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215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B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FA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433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525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D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0D7C">
            <w:pPr>
              <w:jc w:val="center"/>
            </w:pPr>
            <w:r>
              <w:rPr>
                <w:rFonts w:ascii="宋体" w:hAnsi="宋体" w:eastAsia="宋体"/>
                <w:sz w:val="16"/>
              </w:rPr>
              <w:t>—</w:t>
            </w:r>
          </w:p>
        </w:tc>
      </w:tr>
      <w:tr w14:paraId="2A6593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0EF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053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32E02">
            <w:pPr>
              <w:jc w:val="center"/>
            </w:pPr>
            <w:r>
              <w:rPr>
                <w:rFonts w:ascii="宋体" w:hAnsi="宋体" w:eastAsia="宋体"/>
                <w:sz w:val="16"/>
              </w:rPr>
              <w:t>实际完成情况</w:t>
            </w:r>
          </w:p>
        </w:tc>
      </w:tr>
      <w:tr w14:paraId="5CA77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2A1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E9FB4">
            <w:pPr>
              <w:jc w:val="both"/>
            </w:pPr>
            <w:r>
              <w:rPr>
                <w:rFonts w:ascii="宋体" w:hAnsi="宋体" w:eastAsia="宋体"/>
                <w:sz w:val="16"/>
              </w:rPr>
              <w:t>项目计划使用资金55万元，用于</w:t>
            </w:r>
            <w:r>
              <w:rPr>
                <w:rFonts w:hint="eastAsia" w:ascii="宋体" w:hAnsi="宋体"/>
                <w:sz w:val="16"/>
                <w:lang w:eastAsia="zh-CN"/>
              </w:rPr>
              <w:t>塔什库尔干塔吉克自治县</w:t>
            </w:r>
            <w:r>
              <w:rPr>
                <w:rFonts w:ascii="宋体" w:hAnsi="宋体" w:eastAsia="宋体"/>
                <w:sz w:val="16"/>
              </w:rPr>
              <w:t>2024-2025年度重点生态功能区、农村生态、“千吨万人”以上农村饮用水水源地及农田灌溉水环境质量监测，从而保障</w:t>
            </w:r>
            <w:r>
              <w:rPr>
                <w:rFonts w:hint="eastAsia" w:ascii="宋体" w:hAnsi="宋体"/>
                <w:sz w:val="16"/>
                <w:lang w:eastAsia="zh-CN"/>
              </w:rPr>
              <w:t>塔什库尔干塔吉克自治县</w:t>
            </w:r>
            <w:r>
              <w:rPr>
                <w:rFonts w:ascii="宋体" w:hAnsi="宋体" w:eastAsia="宋体"/>
                <w:sz w:val="16"/>
              </w:rPr>
              <w:t>顺利通过国家和自治区重点生态功能区县域生态环境质量监测评价与考核工作。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86D80">
            <w:pPr>
              <w:jc w:val="both"/>
            </w:pPr>
            <w:r>
              <w:rPr>
                <w:rFonts w:hint="eastAsia" w:ascii="宋体" w:hAnsi="宋体"/>
                <w:sz w:val="16"/>
                <w:lang w:eastAsia="zh-CN"/>
              </w:rPr>
              <w:t>截至</w:t>
            </w:r>
            <w:r>
              <w:rPr>
                <w:rFonts w:ascii="宋体" w:hAnsi="宋体" w:eastAsia="宋体"/>
                <w:sz w:val="16"/>
              </w:rPr>
              <w:t>2024年12月31日，资金已支付55万元，完成了</w:t>
            </w:r>
            <w:r>
              <w:rPr>
                <w:rFonts w:hint="eastAsia" w:ascii="宋体" w:hAnsi="宋体"/>
                <w:sz w:val="16"/>
                <w:lang w:eastAsia="zh-CN"/>
              </w:rPr>
              <w:t>塔什库尔干塔吉克自治县</w:t>
            </w:r>
            <w:r>
              <w:rPr>
                <w:rFonts w:ascii="宋体" w:hAnsi="宋体" w:eastAsia="宋体"/>
                <w:sz w:val="16"/>
              </w:rPr>
              <w:t>重点生态功能区、农村生态、“千吨万人”以上农村饮用水水源地及农田灌溉水环境质量监测工作，资金使用合规率达100%，项目完成及时率达100%，项目实施保障了</w:t>
            </w:r>
            <w:r>
              <w:rPr>
                <w:rFonts w:hint="eastAsia" w:ascii="宋体" w:hAnsi="宋体"/>
                <w:sz w:val="16"/>
                <w:lang w:eastAsia="zh-CN"/>
              </w:rPr>
              <w:t>塔什库尔干塔吉克自治县</w:t>
            </w:r>
            <w:r>
              <w:rPr>
                <w:rFonts w:ascii="宋体" w:hAnsi="宋体" w:eastAsia="宋体"/>
                <w:sz w:val="16"/>
              </w:rPr>
              <w:t>顺利通过国家和自治区重点生态功能区县域生态环境质量监测评价与考核工作，通过监测水环境质量对发现的有害成分及时采取了措施避免了对农作物生长产生不利影响，保障了农业生产的可持续发展，而且通过监测了解了水生态系统的变化情况，保护了水生生物的生存环境，为维持生态平衡和生物多样性提供了参考依据，使塔县群众对项目的满意度达到了100%。</w:t>
            </w:r>
          </w:p>
        </w:tc>
      </w:tr>
      <w:tr w14:paraId="0508EC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541D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ED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A4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4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44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99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4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96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10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49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63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4F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E0E1">
            <w:pPr>
              <w:jc w:val="center"/>
            </w:pPr>
            <w:r>
              <w:rPr>
                <w:rFonts w:ascii="宋体" w:hAnsi="宋体" w:eastAsia="宋体"/>
                <w:sz w:val="16"/>
              </w:rPr>
              <w:t>偏差原因分析及改进措施</w:t>
            </w:r>
          </w:p>
        </w:tc>
      </w:tr>
      <w:tr w14:paraId="2D1D9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599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A40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E1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776D">
            <w:pPr>
              <w:jc w:val="center"/>
            </w:pPr>
            <w:r>
              <w:rPr>
                <w:rFonts w:ascii="宋体" w:hAnsi="宋体" w:eastAsia="宋体"/>
                <w:sz w:val="16"/>
              </w:rPr>
              <w:t>“千吨万人”以上农村饮用水水源地及农田灌溉水等监测次数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055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A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D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2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D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C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720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15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B832">
            <w:pPr>
              <w:jc w:val="center"/>
            </w:pPr>
          </w:p>
        </w:tc>
      </w:tr>
      <w:tr w14:paraId="77E3A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89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A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63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3CC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C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9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87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D96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E8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5E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6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8E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F9BBB">
            <w:pPr>
              <w:jc w:val="center"/>
            </w:pPr>
          </w:p>
        </w:tc>
      </w:tr>
      <w:tr w14:paraId="48D36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37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7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5D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48A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E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6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77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24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9B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DE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0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BCB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A9D0">
            <w:pPr>
              <w:jc w:val="center"/>
            </w:pPr>
          </w:p>
        </w:tc>
      </w:tr>
      <w:tr w14:paraId="08983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F92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39D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846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01DD">
            <w:pPr>
              <w:jc w:val="center"/>
            </w:pPr>
            <w:r>
              <w:rPr>
                <w:rFonts w:ascii="宋体" w:hAnsi="宋体" w:eastAsia="宋体"/>
                <w:sz w:val="16"/>
              </w:rPr>
              <w:t>“千吨万人”以上农村饮用水水源地及农田灌溉水等监测成本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BEB6">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17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33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9C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2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6A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6E16">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55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696D">
            <w:pPr>
              <w:jc w:val="center"/>
            </w:pPr>
          </w:p>
        </w:tc>
      </w:tr>
      <w:tr w14:paraId="4492C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1C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02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BA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C51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888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96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5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A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5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BE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3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0C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2344">
            <w:pPr>
              <w:jc w:val="center"/>
            </w:pPr>
          </w:p>
        </w:tc>
      </w:tr>
      <w:tr w14:paraId="7FFC6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59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39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3E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BE8E">
            <w:pPr>
              <w:jc w:val="center"/>
            </w:pPr>
            <w:r>
              <w:rPr>
                <w:rFonts w:ascii="宋体" w:hAnsi="宋体" w:eastAsia="宋体"/>
                <w:sz w:val="16"/>
              </w:rPr>
              <w:t>保障</w:t>
            </w:r>
            <w:r>
              <w:rPr>
                <w:rFonts w:hint="eastAsia" w:ascii="宋体" w:hAnsi="宋体"/>
                <w:sz w:val="16"/>
                <w:lang w:eastAsia="zh-CN"/>
              </w:rPr>
              <w:t>塔什库尔干塔吉克自治县</w:t>
            </w:r>
            <w:r>
              <w:rPr>
                <w:rFonts w:ascii="宋体" w:hAnsi="宋体" w:eastAsia="宋体"/>
                <w:sz w:val="16"/>
              </w:rPr>
              <w:t>顺利通过国家和自治区重点生态功能区县域生态环境质量监测评价与考核工作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A65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B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5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5D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21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7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C39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DF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47AC4">
            <w:pPr>
              <w:jc w:val="center"/>
            </w:pPr>
          </w:p>
        </w:tc>
      </w:tr>
      <w:tr w14:paraId="75214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7E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59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37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209C">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5F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6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DD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12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8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1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B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E6D58">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164429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1C2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1F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A9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7A011">
            <w:pPr>
              <w:jc w:val="center"/>
            </w:pPr>
            <w:r>
              <w:rPr>
                <w:rFonts w:ascii="宋体" w:hAnsi="宋体" w:eastAsia="宋体"/>
                <w:sz w:val="16"/>
              </w:rPr>
              <w:t>100分</w:t>
            </w:r>
          </w:p>
        </w:tc>
      </w:tr>
    </w:tbl>
    <w:p w14:paraId="3C6A87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5A897B6F">
        <w:tblPrEx>
          <w:tblCellMar>
            <w:top w:w="0" w:type="dxa"/>
            <w:left w:w="108" w:type="dxa"/>
            <w:bottom w:w="0" w:type="dxa"/>
            <w:right w:w="108" w:type="dxa"/>
          </w:tblCellMar>
        </w:tblPrEx>
        <w:tc>
          <w:tcPr>
            <w:tcW w:w="8848" w:type="dxa"/>
            <w:gridSpan w:val="14"/>
            <w:vAlign w:val="center"/>
          </w:tcPr>
          <w:p w14:paraId="04C28DAA">
            <w:pPr>
              <w:jc w:val="center"/>
            </w:pPr>
            <w:r>
              <w:rPr>
                <w:rFonts w:ascii="宋体" w:hAnsi="宋体" w:eastAsia="宋体"/>
                <w:sz w:val="24"/>
              </w:rPr>
              <w:t>项目支出绩效自评表</w:t>
            </w:r>
          </w:p>
        </w:tc>
      </w:tr>
      <w:tr w14:paraId="551E69AC">
        <w:tblPrEx>
          <w:tblCellMar>
            <w:top w:w="0" w:type="dxa"/>
            <w:left w:w="108" w:type="dxa"/>
            <w:bottom w:w="0" w:type="dxa"/>
            <w:right w:w="108" w:type="dxa"/>
          </w:tblCellMar>
        </w:tblPrEx>
        <w:tc>
          <w:tcPr>
            <w:tcW w:w="8848" w:type="dxa"/>
            <w:gridSpan w:val="14"/>
            <w:vAlign w:val="center"/>
          </w:tcPr>
          <w:p w14:paraId="4CE2C12A">
            <w:pPr>
              <w:jc w:val="center"/>
            </w:pPr>
            <w:r>
              <w:rPr>
                <w:rFonts w:ascii="宋体" w:hAnsi="宋体" w:eastAsia="宋体"/>
                <w:sz w:val="24"/>
              </w:rPr>
              <w:t>(2024年度)</w:t>
            </w:r>
          </w:p>
        </w:tc>
      </w:tr>
      <w:tr w14:paraId="778986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60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B2D484">
            <w:pPr>
              <w:jc w:val="center"/>
            </w:pPr>
            <w:r>
              <w:rPr>
                <w:rFonts w:hint="eastAsia" w:ascii="宋体" w:hAnsi="宋体"/>
                <w:sz w:val="16"/>
                <w:lang w:eastAsia="zh-CN"/>
              </w:rPr>
              <w:t>塔什库尔干塔吉克自治县</w:t>
            </w:r>
            <w:r>
              <w:rPr>
                <w:rFonts w:ascii="宋体" w:hAnsi="宋体" w:eastAsia="宋体"/>
                <w:sz w:val="16"/>
              </w:rPr>
              <w:t>声环境质量监测项目</w:t>
            </w:r>
          </w:p>
        </w:tc>
      </w:tr>
      <w:tr w14:paraId="57E933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32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D0E83">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C7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7ECD7A">
            <w:pPr>
              <w:jc w:val="center"/>
            </w:pPr>
            <w:r>
              <w:rPr>
                <w:rFonts w:ascii="宋体" w:hAnsi="宋体" w:eastAsia="宋体"/>
                <w:sz w:val="16"/>
              </w:rPr>
              <w:t>塔什库尔干塔吉克自治县市场监督管理局</w:t>
            </w:r>
          </w:p>
        </w:tc>
      </w:tr>
      <w:tr w14:paraId="2EEC6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F27F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522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661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6D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95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2DA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05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FC7F">
            <w:pPr>
              <w:jc w:val="center"/>
            </w:pPr>
            <w:r>
              <w:rPr>
                <w:rFonts w:ascii="宋体" w:hAnsi="宋体" w:eastAsia="宋体"/>
                <w:sz w:val="16"/>
              </w:rPr>
              <w:t>得分</w:t>
            </w:r>
          </w:p>
        </w:tc>
      </w:tr>
      <w:tr w14:paraId="0BF766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7EF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C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1F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B9C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AA02C">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160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E0D0">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7E48">
            <w:pPr>
              <w:jc w:val="center"/>
            </w:pPr>
            <w:r>
              <w:rPr>
                <w:rFonts w:ascii="宋体" w:hAnsi="宋体" w:eastAsia="宋体"/>
                <w:sz w:val="16"/>
              </w:rPr>
              <w:t>10.00分</w:t>
            </w:r>
          </w:p>
        </w:tc>
      </w:tr>
      <w:tr w14:paraId="6194A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98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83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7E7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87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7B82F">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3D7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1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EC1E">
            <w:pPr>
              <w:jc w:val="center"/>
            </w:pPr>
            <w:r>
              <w:rPr>
                <w:rFonts w:ascii="宋体" w:hAnsi="宋体" w:eastAsia="宋体"/>
                <w:sz w:val="16"/>
              </w:rPr>
              <w:t>—</w:t>
            </w:r>
          </w:p>
        </w:tc>
      </w:tr>
      <w:tr w14:paraId="2A64B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1B7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D8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20B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D2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D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15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18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6B2C">
            <w:pPr>
              <w:jc w:val="center"/>
            </w:pPr>
            <w:r>
              <w:rPr>
                <w:rFonts w:ascii="宋体" w:hAnsi="宋体" w:eastAsia="宋体"/>
                <w:sz w:val="16"/>
              </w:rPr>
              <w:t>—</w:t>
            </w:r>
          </w:p>
        </w:tc>
      </w:tr>
      <w:tr w14:paraId="4B613C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769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AAE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D8B2B0">
            <w:pPr>
              <w:jc w:val="center"/>
            </w:pPr>
            <w:r>
              <w:rPr>
                <w:rFonts w:ascii="宋体" w:hAnsi="宋体" w:eastAsia="宋体"/>
                <w:sz w:val="16"/>
              </w:rPr>
              <w:t>实际完成情况</w:t>
            </w:r>
          </w:p>
        </w:tc>
      </w:tr>
      <w:tr w14:paraId="4ABB4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E57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0C8EB">
            <w:pPr>
              <w:jc w:val="both"/>
            </w:pPr>
            <w:r>
              <w:rPr>
                <w:rFonts w:ascii="宋体" w:hAnsi="宋体" w:eastAsia="宋体"/>
                <w:sz w:val="16"/>
              </w:rPr>
              <w:t>该项目计划使用资金10万元，全面完成声环境功能区划分情况评估工作，按季度完成全县声功能区噪声、区域噪声、道路交通噪声监测工作从而构建良好声环境，切实做好噪声污染防治工作。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1C9D1">
            <w:pPr>
              <w:jc w:val="both"/>
            </w:pPr>
            <w:r>
              <w:rPr>
                <w:rFonts w:ascii="宋体" w:hAnsi="宋体" w:eastAsia="宋体"/>
                <w:sz w:val="16"/>
              </w:rPr>
              <w:t>截止至2024年12月31日，该项目已支付资金9.98万元，全面完成了声环境功能区划分情况评估工作，按季度完成了全县声功能区噪声、区域噪声、道路交通噪声监测工作，监测季度达到了4个季度，资金使用合规率达100%，资金支付及时率达100%，通过声数据监测获取了客观、量化的数据，了解了不同功能区噪声污染的程度和变化趋势，为环境管理提供了科学依据，从而进一步构建良好声环境。</w:t>
            </w:r>
          </w:p>
        </w:tc>
      </w:tr>
      <w:tr w14:paraId="0936B6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47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46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E1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F2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99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A2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4A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EE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56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64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91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85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7B83D">
            <w:pPr>
              <w:jc w:val="center"/>
            </w:pPr>
            <w:r>
              <w:rPr>
                <w:rFonts w:ascii="宋体" w:hAnsi="宋体" w:eastAsia="宋体"/>
                <w:sz w:val="16"/>
              </w:rPr>
              <w:t>偏差原因分析及改进措施</w:t>
            </w:r>
          </w:p>
        </w:tc>
      </w:tr>
      <w:tr w14:paraId="5AF73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17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499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09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614B">
            <w:pPr>
              <w:jc w:val="center"/>
            </w:pPr>
            <w:r>
              <w:rPr>
                <w:rFonts w:ascii="宋体" w:hAnsi="宋体" w:eastAsia="宋体"/>
                <w:sz w:val="16"/>
              </w:rPr>
              <w:t>当年监测季度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52A5">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7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F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7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1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21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A3C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1F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1DB4">
            <w:pPr>
              <w:jc w:val="center"/>
            </w:pPr>
          </w:p>
        </w:tc>
      </w:tr>
      <w:tr w14:paraId="6AA3F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58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E9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C8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F31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0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0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9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58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5C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44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9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A23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C660">
            <w:pPr>
              <w:jc w:val="center"/>
            </w:pPr>
          </w:p>
        </w:tc>
      </w:tr>
      <w:tr w14:paraId="5A7C6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1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E20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E3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502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7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F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5D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E4D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A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82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6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5A1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869E">
            <w:pPr>
              <w:jc w:val="center"/>
            </w:pPr>
          </w:p>
        </w:tc>
      </w:tr>
      <w:tr w14:paraId="7B7CD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D9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549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B4F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7406">
            <w:pPr>
              <w:jc w:val="center"/>
            </w:pPr>
            <w:r>
              <w:rPr>
                <w:rFonts w:ascii="宋体" w:hAnsi="宋体" w:eastAsia="宋体"/>
                <w:sz w:val="16"/>
              </w:rPr>
              <w:t>环境质量监测成本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864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5A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D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2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2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61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A135">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CF60">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F870">
            <w:pPr>
              <w:jc w:val="center"/>
            </w:pPr>
            <w:r>
              <w:rPr>
                <w:rFonts w:ascii="宋体" w:hAnsi="宋体" w:eastAsia="宋体"/>
                <w:sz w:val="16"/>
              </w:rPr>
              <w:t>偏差原因分析：本项目通过拨付资金9.98万元，已确保完成了声环境质量监测工作，导致出现正偏差，改进措施：根据项目需求，后续合理设置绩效指标，合理规划和调配资金，保障工作按时按量进行，避免资金闲置，提高资金使用效率。</w:t>
            </w:r>
          </w:p>
        </w:tc>
      </w:tr>
      <w:tr w14:paraId="24F9F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D7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49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79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E3E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7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FA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2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C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04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98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C1D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4F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FED4">
            <w:pPr>
              <w:jc w:val="center"/>
            </w:pPr>
            <w:r>
              <w:rPr>
                <w:rFonts w:ascii="宋体" w:hAnsi="宋体" w:eastAsia="宋体"/>
                <w:sz w:val="16"/>
              </w:rPr>
              <w:t>偏差原因分析：项目实施情况较好，项目预算完成率高于预期导致出现正偏差，改进措施：基于当前良好表现，重新审视绩效目标，在以后绩效目标设置时设置更具挑战性的目标，以推动业务持续发展。</w:t>
            </w:r>
          </w:p>
        </w:tc>
      </w:tr>
      <w:tr w14:paraId="0513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0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F1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6E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D0F3">
            <w:pPr>
              <w:jc w:val="center"/>
            </w:pPr>
            <w:r>
              <w:rPr>
                <w:rFonts w:ascii="宋体" w:hAnsi="宋体" w:eastAsia="宋体"/>
                <w:sz w:val="16"/>
              </w:rPr>
              <w:t>构建良好声环境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80A8">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F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5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39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0F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5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283C">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B0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5604">
            <w:pPr>
              <w:jc w:val="center"/>
            </w:pPr>
          </w:p>
        </w:tc>
      </w:tr>
      <w:tr w14:paraId="31BA1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9D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ED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98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F073">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A6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B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6F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2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C5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8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4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19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9025">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08D16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A2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11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96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A7FE1E">
            <w:pPr>
              <w:jc w:val="center"/>
            </w:pPr>
            <w:r>
              <w:rPr>
                <w:rFonts w:ascii="宋体" w:hAnsi="宋体" w:eastAsia="宋体"/>
                <w:sz w:val="16"/>
              </w:rPr>
              <w:t>89.95分</w:t>
            </w:r>
          </w:p>
        </w:tc>
      </w:tr>
    </w:tbl>
    <w:p w14:paraId="40C77D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0C504954">
        <w:tblPrEx>
          <w:tblCellMar>
            <w:top w:w="0" w:type="dxa"/>
            <w:left w:w="108" w:type="dxa"/>
            <w:bottom w:w="0" w:type="dxa"/>
            <w:right w:w="108" w:type="dxa"/>
          </w:tblCellMar>
        </w:tblPrEx>
        <w:tc>
          <w:tcPr>
            <w:tcW w:w="8848" w:type="dxa"/>
            <w:gridSpan w:val="14"/>
            <w:vAlign w:val="center"/>
          </w:tcPr>
          <w:p w14:paraId="44D0D918">
            <w:pPr>
              <w:jc w:val="center"/>
            </w:pPr>
            <w:r>
              <w:rPr>
                <w:rFonts w:ascii="宋体" w:hAnsi="宋体" w:eastAsia="宋体"/>
                <w:sz w:val="24"/>
              </w:rPr>
              <w:t>项目支出绩效自评表</w:t>
            </w:r>
          </w:p>
        </w:tc>
      </w:tr>
      <w:tr w14:paraId="0F6E55EF">
        <w:tblPrEx>
          <w:tblCellMar>
            <w:top w:w="0" w:type="dxa"/>
            <w:left w:w="108" w:type="dxa"/>
            <w:bottom w:w="0" w:type="dxa"/>
            <w:right w:w="108" w:type="dxa"/>
          </w:tblCellMar>
        </w:tblPrEx>
        <w:tc>
          <w:tcPr>
            <w:tcW w:w="8848" w:type="dxa"/>
            <w:gridSpan w:val="14"/>
            <w:vAlign w:val="center"/>
          </w:tcPr>
          <w:p w14:paraId="01A2E123">
            <w:pPr>
              <w:jc w:val="center"/>
            </w:pPr>
            <w:r>
              <w:rPr>
                <w:rFonts w:ascii="宋体" w:hAnsi="宋体" w:eastAsia="宋体"/>
                <w:sz w:val="24"/>
              </w:rPr>
              <w:t>(2024年度)</w:t>
            </w:r>
          </w:p>
        </w:tc>
      </w:tr>
      <w:tr w14:paraId="12A02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70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0413F1">
            <w:pPr>
              <w:jc w:val="center"/>
            </w:pPr>
            <w:r>
              <w:rPr>
                <w:rFonts w:hint="eastAsia" w:ascii="宋体" w:hAnsi="宋体"/>
                <w:sz w:val="16"/>
                <w:lang w:eastAsia="zh-CN"/>
              </w:rPr>
              <w:t>塔什库尔干塔吉克自治县</w:t>
            </w:r>
            <w:r>
              <w:rPr>
                <w:rFonts w:ascii="宋体" w:hAnsi="宋体" w:eastAsia="宋体"/>
                <w:sz w:val="16"/>
              </w:rPr>
              <w:t>生态环境保护综合行政执法监测及提升项目</w:t>
            </w:r>
          </w:p>
        </w:tc>
      </w:tr>
      <w:tr w14:paraId="3A56D8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83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1A297">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A9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9F644">
            <w:pPr>
              <w:jc w:val="center"/>
            </w:pPr>
            <w:r>
              <w:rPr>
                <w:rFonts w:ascii="宋体" w:hAnsi="宋体" w:eastAsia="宋体"/>
                <w:sz w:val="16"/>
              </w:rPr>
              <w:t>塔什库尔干塔吉克自治县市场监督管理局</w:t>
            </w:r>
          </w:p>
        </w:tc>
      </w:tr>
      <w:tr w14:paraId="24EBB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40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4815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30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A6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495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FA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303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93B1">
            <w:pPr>
              <w:jc w:val="center"/>
            </w:pPr>
            <w:r>
              <w:rPr>
                <w:rFonts w:ascii="宋体" w:hAnsi="宋体" w:eastAsia="宋体"/>
                <w:sz w:val="16"/>
              </w:rPr>
              <w:t>得分</w:t>
            </w:r>
          </w:p>
        </w:tc>
      </w:tr>
      <w:tr w14:paraId="0DC452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CD2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2B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F70A">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C343">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13AA">
            <w:pPr>
              <w:jc w:val="center"/>
            </w:pPr>
            <w:r>
              <w:rPr>
                <w:rFonts w:ascii="宋体" w:hAnsi="宋体" w:eastAsia="宋体"/>
                <w:sz w:val="16"/>
              </w:rPr>
              <w:t>37.81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EC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2B7F">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1210">
            <w:pPr>
              <w:jc w:val="center"/>
            </w:pPr>
            <w:r>
              <w:rPr>
                <w:rFonts w:ascii="宋体" w:hAnsi="宋体" w:eastAsia="宋体"/>
                <w:sz w:val="16"/>
              </w:rPr>
              <w:t>10.00分</w:t>
            </w:r>
          </w:p>
        </w:tc>
      </w:tr>
      <w:tr w14:paraId="6DAA7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0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1F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380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E60D">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4BBB">
            <w:pPr>
              <w:jc w:val="center"/>
            </w:pPr>
            <w:r>
              <w:rPr>
                <w:rFonts w:ascii="宋体" w:hAnsi="宋体" w:eastAsia="宋体"/>
                <w:sz w:val="16"/>
              </w:rPr>
              <w:t>37.81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E4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47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9C14">
            <w:pPr>
              <w:jc w:val="center"/>
            </w:pPr>
            <w:r>
              <w:rPr>
                <w:rFonts w:ascii="宋体" w:hAnsi="宋体" w:eastAsia="宋体"/>
                <w:sz w:val="16"/>
              </w:rPr>
              <w:t>—</w:t>
            </w:r>
          </w:p>
        </w:tc>
      </w:tr>
      <w:tr w14:paraId="4D6D5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958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A2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0BB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E68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1C7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3C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B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0502">
            <w:pPr>
              <w:jc w:val="center"/>
            </w:pPr>
            <w:r>
              <w:rPr>
                <w:rFonts w:ascii="宋体" w:hAnsi="宋体" w:eastAsia="宋体"/>
                <w:sz w:val="16"/>
              </w:rPr>
              <w:t>—</w:t>
            </w:r>
          </w:p>
        </w:tc>
      </w:tr>
      <w:tr w14:paraId="21D9C5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D7F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A46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85034A">
            <w:pPr>
              <w:jc w:val="center"/>
            </w:pPr>
            <w:r>
              <w:rPr>
                <w:rFonts w:ascii="宋体" w:hAnsi="宋体" w:eastAsia="宋体"/>
                <w:sz w:val="16"/>
              </w:rPr>
              <w:t>实际完成情况</w:t>
            </w:r>
          </w:p>
        </w:tc>
      </w:tr>
      <w:tr w14:paraId="5F35B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291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AC33B">
            <w:pPr>
              <w:jc w:val="both"/>
            </w:pPr>
            <w:r>
              <w:rPr>
                <w:rFonts w:ascii="宋体" w:hAnsi="宋体" w:eastAsia="宋体"/>
                <w:sz w:val="16"/>
              </w:rPr>
              <w:t>该项目计划使用资金38万元，对全县重点排污单位、固定污染源、涉重金属行业企业、在线监测设备等进行执法检查监测，其中环境保护综合行政执法监测成本12万元，环境保护综合行政执法监测成本26万元，为助推生态环境质量改善提供坚强的执法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6FE4D">
            <w:pPr>
              <w:jc w:val="both"/>
            </w:pPr>
            <w:r>
              <w:rPr>
                <w:rFonts w:hint="eastAsia" w:ascii="宋体" w:hAnsi="宋体"/>
                <w:sz w:val="16"/>
                <w:lang w:eastAsia="zh-CN"/>
              </w:rPr>
              <w:t>截至</w:t>
            </w:r>
            <w:r>
              <w:rPr>
                <w:rFonts w:ascii="宋体" w:hAnsi="宋体" w:eastAsia="宋体"/>
                <w:sz w:val="16"/>
              </w:rPr>
              <w:t>2024年12月31日，该项目实际支出37.81万元，完成了</w:t>
            </w:r>
            <w:r>
              <w:rPr>
                <w:rFonts w:hint="eastAsia" w:ascii="宋体" w:hAnsi="宋体"/>
                <w:sz w:val="16"/>
                <w:lang w:eastAsia="zh-CN"/>
              </w:rPr>
              <w:t>塔什库尔干塔吉克自治县</w:t>
            </w:r>
            <w:r>
              <w:rPr>
                <w:rFonts w:ascii="宋体" w:hAnsi="宋体" w:eastAsia="宋体"/>
                <w:sz w:val="16"/>
              </w:rPr>
              <w:t>生态环境保护综合行政执法监测及提升工作，执法检查监测期限为1年，资金拨付及时率达100%，项目的实施为助推生态环境质量改善提供了坚强的执法保障，通过执法检测深入到各类企业、项目和区域中及时发现了问题，并迅速采取了措施予以制止，将环境破坏行为控制在萌芽状态，避免了污染和破坏的进一步扩大。</w:t>
            </w:r>
          </w:p>
        </w:tc>
      </w:tr>
      <w:tr w14:paraId="0A3FE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E061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50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82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52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71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2C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6F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F6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E1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A0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1F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16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73FB">
            <w:pPr>
              <w:jc w:val="center"/>
            </w:pPr>
            <w:r>
              <w:rPr>
                <w:rFonts w:ascii="宋体" w:hAnsi="宋体" w:eastAsia="宋体"/>
                <w:sz w:val="16"/>
              </w:rPr>
              <w:t>偏差原因分析及改进措施</w:t>
            </w:r>
          </w:p>
        </w:tc>
      </w:tr>
      <w:tr w14:paraId="7726D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64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275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6C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B4D5">
            <w:pPr>
              <w:jc w:val="center"/>
            </w:pPr>
            <w:r>
              <w:rPr>
                <w:rFonts w:ascii="宋体" w:hAnsi="宋体" w:eastAsia="宋体"/>
                <w:sz w:val="16"/>
              </w:rPr>
              <w:t>执法检查监测期限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D66C">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4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77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1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7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BD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FE8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4A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9B7C">
            <w:pPr>
              <w:jc w:val="center"/>
            </w:pPr>
          </w:p>
        </w:tc>
      </w:tr>
      <w:tr w14:paraId="5FF96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1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7B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57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24F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4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A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5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376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0A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15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0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81D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2C59">
            <w:pPr>
              <w:jc w:val="center"/>
            </w:pPr>
          </w:p>
        </w:tc>
      </w:tr>
      <w:tr w14:paraId="13610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D4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C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18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3F7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D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7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8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EF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17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EA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A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57E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B3CF">
            <w:pPr>
              <w:jc w:val="center"/>
            </w:pPr>
          </w:p>
        </w:tc>
      </w:tr>
      <w:tr w14:paraId="134A1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C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A68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142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EA54">
            <w:pPr>
              <w:jc w:val="center"/>
            </w:pPr>
            <w:r>
              <w:rPr>
                <w:rFonts w:ascii="宋体" w:hAnsi="宋体" w:eastAsia="宋体"/>
                <w:sz w:val="16"/>
              </w:rPr>
              <w:t>环境保护综合行政执法监测成本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938A">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7D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D7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6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3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71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AA08">
            <w:pPr>
              <w:jc w:val="center"/>
            </w:pPr>
            <w:r>
              <w:rPr>
                <w:rFonts w:ascii="宋体" w:hAnsi="宋体" w:eastAsia="宋体"/>
                <w:sz w:val="16"/>
              </w:rPr>
              <w:t>=25.83万元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3E49">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653AB">
            <w:pPr>
              <w:jc w:val="center"/>
            </w:pPr>
            <w:r>
              <w:rPr>
                <w:rFonts w:ascii="宋体" w:hAnsi="宋体" w:eastAsia="宋体"/>
                <w:sz w:val="16"/>
              </w:rPr>
              <w:t>偏差原因分析：本项目通过拨付资金25.83万元，已确保了工作任务的完成，导致出现正偏差，改进措施：根据项目需求，后续合理设置绩效指标，合理规划和调配资金，保障工作按时按量进行，避免资金闲置，提高资金使用效率。</w:t>
            </w:r>
          </w:p>
        </w:tc>
      </w:tr>
      <w:tr w14:paraId="4C9FA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C2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6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E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B10B">
            <w:pPr>
              <w:jc w:val="center"/>
            </w:pPr>
            <w:r>
              <w:rPr>
                <w:rFonts w:ascii="宋体" w:hAnsi="宋体" w:eastAsia="宋体"/>
                <w:sz w:val="16"/>
              </w:rPr>
              <w:t>保护综合行政执法监测成本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C3DE">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CE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4F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5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2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2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BEC7">
            <w:pPr>
              <w:jc w:val="center"/>
            </w:pPr>
            <w:r>
              <w:rPr>
                <w:rFonts w:ascii="宋体" w:hAnsi="宋体" w:eastAsia="宋体"/>
                <w:sz w:val="16"/>
              </w:rPr>
              <w:t>=11.98万元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434C">
            <w:pPr>
              <w:jc w:val="center"/>
            </w:pPr>
            <w:r>
              <w:rPr>
                <w:rFonts w:ascii="宋体" w:hAnsi="宋体" w:eastAsia="宋体"/>
                <w:sz w:val="16"/>
              </w:rPr>
              <w:t>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8125">
            <w:pPr>
              <w:jc w:val="center"/>
            </w:pPr>
            <w:r>
              <w:rPr>
                <w:rFonts w:ascii="宋体" w:hAnsi="宋体" w:eastAsia="宋体"/>
                <w:sz w:val="16"/>
              </w:rPr>
              <w:t>偏差原因分析：本项目通过拨付资金11.98万元，已确保了工作任务的完成，导致出现正偏差，改进措施：根据项目需求，后续合理设置绩效指标，合理规划和调配资金，保障工作按时按量进行，避免资金闲置，提高资金使用效率。</w:t>
            </w:r>
          </w:p>
        </w:tc>
      </w:tr>
      <w:tr w14:paraId="2202E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1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1C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E1D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1B71">
            <w:pPr>
              <w:jc w:val="center"/>
            </w:pPr>
            <w:r>
              <w:rPr>
                <w:rFonts w:ascii="宋体" w:hAnsi="宋体" w:eastAsia="宋体"/>
                <w:sz w:val="16"/>
              </w:rPr>
              <w:t>为助推生态环境质量改善提供坚强的执法保障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9EFF">
            <w:pPr>
              <w:jc w:val="center"/>
            </w:pPr>
            <w:r>
              <w:rPr>
                <w:rFonts w:ascii="宋体" w:hAnsi="宋体" w:eastAsia="宋体"/>
                <w:sz w:val="16"/>
              </w:rPr>
              <w:t>提供保障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AD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F7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1F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F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EBC1">
            <w:pPr>
              <w:jc w:val="center"/>
            </w:pPr>
            <w:r>
              <w:rPr>
                <w:rFonts w:ascii="宋体" w:hAnsi="宋体" w:eastAsia="宋体"/>
                <w:sz w:val="16"/>
              </w:rPr>
              <w:t>提供保障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78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E42E">
            <w:pPr>
              <w:jc w:val="center"/>
            </w:pPr>
          </w:p>
        </w:tc>
      </w:tr>
      <w:tr w14:paraId="044A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5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0D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D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F5A9">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A7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E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C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D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B2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C0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7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C8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4FF9">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5B3AF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5A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EA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88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134BDB">
            <w:pPr>
              <w:jc w:val="center"/>
            </w:pPr>
            <w:r>
              <w:rPr>
                <w:rFonts w:ascii="宋体" w:hAnsi="宋体" w:eastAsia="宋体"/>
                <w:sz w:val="16"/>
              </w:rPr>
              <w:t>99.8分</w:t>
            </w:r>
          </w:p>
        </w:tc>
      </w:tr>
    </w:tbl>
    <w:p w14:paraId="23FC0F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666E38D8">
        <w:tblPrEx>
          <w:tblCellMar>
            <w:top w:w="0" w:type="dxa"/>
            <w:left w:w="108" w:type="dxa"/>
            <w:bottom w:w="0" w:type="dxa"/>
            <w:right w:w="108" w:type="dxa"/>
          </w:tblCellMar>
        </w:tblPrEx>
        <w:tc>
          <w:tcPr>
            <w:tcW w:w="8848" w:type="dxa"/>
            <w:gridSpan w:val="14"/>
            <w:vAlign w:val="center"/>
          </w:tcPr>
          <w:p w14:paraId="772970C7">
            <w:pPr>
              <w:jc w:val="center"/>
            </w:pPr>
            <w:r>
              <w:rPr>
                <w:rFonts w:ascii="宋体" w:hAnsi="宋体" w:eastAsia="宋体"/>
                <w:sz w:val="24"/>
              </w:rPr>
              <w:t>项目支出绩效自评表</w:t>
            </w:r>
          </w:p>
        </w:tc>
      </w:tr>
      <w:tr w14:paraId="688ED8D9">
        <w:tblPrEx>
          <w:tblCellMar>
            <w:top w:w="0" w:type="dxa"/>
            <w:left w:w="108" w:type="dxa"/>
            <w:bottom w:w="0" w:type="dxa"/>
            <w:right w:w="108" w:type="dxa"/>
          </w:tblCellMar>
        </w:tblPrEx>
        <w:tc>
          <w:tcPr>
            <w:tcW w:w="8848" w:type="dxa"/>
            <w:gridSpan w:val="14"/>
            <w:vAlign w:val="center"/>
          </w:tcPr>
          <w:p w14:paraId="25E70FD9">
            <w:pPr>
              <w:jc w:val="center"/>
            </w:pPr>
            <w:r>
              <w:rPr>
                <w:rFonts w:ascii="宋体" w:hAnsi="宋体" w:eastAsia="宋体"/>
                <w:sz w:val="24"/>
              </w:rPr>
              <w:t>(2024年度)</w:t>
            </w:r>
          </w:p>
        </w:tc>
      </w:tr>
      <w:tr w14:paraId="777706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1A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6C3ED">
            <w:pPr>
              <w:jc w:val="center"/>
            </w:pPr>
            <w:r>
              <w:rPr>
                <w:rFonts w:hint="eastAsia" w:ascii="宋体" w:hAnsi="宋体"/>
                <w:sz w:val="16"/>
                <w:lang w:eastAsia="zh-CN"/>
              </w:rPr>
              <w:t>塔什库尔干塔吉克自治县</w:t>
            </w:r>
            <w:r>
              <w:rPr>
                <w:rFonts w:ascii="宋体" w:hAnsi="宋体" w:eastAsia="宋体"/>
                <w:sz w:val="16"/>
              </w:rPr>
              <w:t>生态环境监测设备升级改造项目</w:t>
            </w:r>
          </w:p>
        </w:tc>
      </w:tr>
      <w:tr w14:paraId="6352AB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15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598AC">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1B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202C5E">
            <w:pPr>
              <w:jc w:val="center"/>
            </w:pPr>
            <w:r>
              <w:rPr>
                <w:rFonts w:ascii="宋体" w:hAnsi="宋体" w:eastAsia="宋体"/>
                <w:sz w:val="16"/>
              </w:rPr>
              <w:t>塔什库尔干塔吉克自治县市场监督管理局</w:t>
            </w:r>
          </w:p>
        </w:tc>
      </w:tr>
      <w:tr w14:paraId="608A8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9620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7F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B7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3B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AC1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7A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C6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8221">
            <w:pPr>
              <w:jc w:val="center"/>
            </w:pPr>
            <w:r>
              <w:rPr>
                <w:rFonts w:ascii="宋体" w:hAnsi="宋体" w:eastAsia="宋体"/>
                <w:sz w:val="16"/>
              </w:rPr>
              <w:t>得分</w:t>
            </w:r>
          </w:p>
        </w:tc>
      </w:tr>
      <w:tr w14:paraId="7D0BF8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E5E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A4F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E135">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A669">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ABD0">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E6F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D7CF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213D">
            <w:pPr>
              <w:jc w:val="center"/>
            </w:pPr>
            <w:r>
              <w:rPr>
                <w:rFonts w:ascii="宋体" w:hAnsi="宋体" w:eastAsia="宋体"/>
                <w:sz w:val="16"/>
              </w:rPr>
              <w:t>10.00分</w:t>
            </w:r>
          </w:p>
        </w:tc>
      </w:tr>
      <w:tr w14:paraId="0E526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83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DC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FEB2F">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BEF1">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4264">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220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F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A3C9">
            <w:pPr>
              <w:jc w:val="center"/>
            </w:pPr>
            <w:r>
              <w:rPr>
                <w:rFonts w:ascii="宋体" w:hAnsi="宋体" w:eastAsia="宋体"/>
                <w:sz w:val="16"/>
              </w:rPr>
              <w:t>—</w:t>
            </w:r>
          </w:p>
        </w:tc>
      </w:tr>
      <w:tr w14:paraId="5FF7F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FC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C0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E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8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71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70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6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DB31">
            <w:pPr>
              <w:jc w:val="center"/>
            </w:pPr>
            <w:r>
              <w:rPr>
                <w:rFonts w:ascii="宋体" w:hAnsi="宋体" w:eastAsia="宋体"/>
                <w:sz w:val="16"/>
              </w:rPr>
              <w:t>—</w:t>
            </w:r>
          </w:p>
        </w:tc>
      </w:tr>
      <w:tr w14:paraId="63CC1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74F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458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D26E6">
            <w:pPr>
              <w:jc w:val="center"/>
            </w:pPr>
            <w:r>
              <w:rPr>
                <w:rFonts w:ascii="宋体" w:hAnsi="宋体" w:eastAsia="宋体"/>
                <w:sz w:val="16"/>
              </w:rPr>
              <w:t>实际完成情况</w:t>
            </w:r>
          </w:p>
        </w:tc>
      </w:tr>
      <w:tr w14:paraId="13A08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002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B053F">
            <w:pPr>
              <w:jc w:val="both"/>
            </w:pPr>
            <w:r>
              <w:rPr>
                <w:rFonts w:ascii="宋体" w:hAnsi="宋体" w:eastAsia="宋体"/>
                <w:sz w:val="16"/>
              </w:rPr>
              <w:t>项目预算安排资金52.6万元，其中：财政资金52.6万元，其他资金0万元，用于自动监测仪器、校准设备、气象仪器、数据采集与传输设备、工控机和计算机等进行更换，其中更换设备次数1次，从而确保环境空气质量监测数据客观、真实、准确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C18A6">
            <w:pPr>
              <w:jc w:val="both"/>
            </w:pPr>
            <w:r>
              <w:rPr>
                <w:rFonts w:hint="eastAsia" w:ascii="宋体" w:hAnsi="宋体"/>
                <w:sz w:val="16"/>
                <w:lang w:eastAsia="zh-CN"/>
              </w:rPr>
              <w:t>截至</w:t>
            </w:r>
            <w:r>
              <w:rPr>
                <w:rFonts w:ascii="宋体" w:hAnsi="宋体" w:eastAsia="宋体"/>
                <w:sz w:val="16"/>
              </w:rPr>
              <w:t>2024年12月31日，项目已支付52.60万元，用于采购自动监测仪器、校准设备、气象仪器、数据采集与传输设备、工控机和计算机等设备，对旧设备进行了更新，通过设备更新改造，从而确保了环境空气质量监测数据的客观性、真实性、准确性，减少了误差和不确定性，为环境决策提供了更有力的数据支持，使塔县群众对项目实施的满意度达到了100%。</w:t>
            </w:r>
          </w:p>
        </w:tc>
      </w:tr>
      <w:tr w14:paraId="7C5C5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0B67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6F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B3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3B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CE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9C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66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BD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F1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A9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23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35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F104">
            <w:pPr>
              <w:jc w:val="center"/>
            </w:pPr>
            <w:r>
              <w:rPr>
                <w:rFonts w:ascii="宋体" w:hAnsi="宋体" w:eastAsia="宋体"/>
                <w:sz w:val="16"/>
              </w:rPr>
              <w:t>偏差原因分析及改进措施</w:t>
            </w:r>
          </w:p>
        </w:tc>
      </w:tr>
      <w:tr w14:paraId="47AF4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EE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963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09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7CEA">
            <w:pPr>
              <w:jc w:val="center"/>
            </w:pPr>
            <w:r>
              <w:rPr>
                <w:rFonts w:ascii="宋体" w:hAnsi="宋体" w:eastAsia="宋体"/>
                <w:sz w:val="16"/>
              </w:rPr>
              <w:t>更换设备次数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10E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41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89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2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7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56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4AC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62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E8251">
            <w:pPr>
              <w:jc w:val="center"/>
            </w:pPr>
          </w:p>
        </w:tc>
      </w:tr>
      <w:tr w14:paraId="166DA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C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34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E0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9E9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F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3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B7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6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08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D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599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A0DEB">
            <w:pPr>
              <w:jc w:val="center"/>
            </w:pPr>
          </w:p>
        </w:tc>
      </w:tr>
      <w:tr w14:paraId="7AB44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A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AF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F3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F7B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0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4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4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A9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9A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44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1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1A8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2563">
            <w:pPr>
              <w:jc w:val="center"/>
            </w:pPr>
          </w:p>
        </w:tc>
      </w:tr>
      <w:tr w14:paraId="059DD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8D2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A72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155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0CBC">
            <w:pPr>
              <w:jc w:val="center"/>
            </w:pPr>
            <w:r>
              <w:rPr>
                <w:rFonts w:ascii="宋体" w:hAnsi="宋体" w:eastAsia="宋体"/>
                <w:sz w:val="16"/>
              </w:rPr>
              <w:t>更换设备成本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7A75">
            <w:pPr>
              <w:jc w:val="center"/>
            </w:pPr>
            <w:r>
              <w:rPr>
                <w:rFonts w:ascii="宋体" w:hAnsi="宋体" w:eastAsia="宋体"/>
                <w:sz w:val="16"/>
              </w:rPr>
              <w:t>&lt;=52.60万元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B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FD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1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A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4A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2FEA">
            <w:pPr>
              <w:jc w:val="center"/>
            </w:pPr>
            <w:r>
              <w:rPr>
                <w:rFonts w:ascii="宋体" w:hAnsi="宋体" w:eastAsia="宋体"/>
                <w:sz w:val="16"/>
              </w:rPr>
              <w:t>=52.6万元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AA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A4E08">
            <w:pPr>
              <w:jc w:val="center"/>
            </w:pPr>
          </w:p>
        </w:tc>
      </w:tr>
      <w:tr w14:paraId="689CF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94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0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0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2A9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E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6F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6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2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D0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00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0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7A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8E46">
            <w:pPr>
              <w:jc w:val="center"/>
            </w:pPr>
          </w:p>
        </w:tc>
      </w:tr>
      <w:tr w14:paraId="2D6E7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79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39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44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C98B">
            <w:pPr>
              <w:jc w:val="center"/>
            </w:pPr>
            <w:r>
              <w:rPr>
                <w:rFonts w:ascii="宋体" w:hAnsi="宋体" w:eastAsia="宋体"/>
                <w:sz w:val="16"/>
              </w:rPr>
              <w:t>确保环境空气质量监测数据客观、真实、准确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4A36">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6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B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6B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2D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D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CD5A">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AB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635E2">
            <w:pPr>
              <w:jc w:val="center"/>
            </w:pPr>
          </w:p>
        </w:tc>
      </w:tr>
      <w:tr w14:paraId="57A49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55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4A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C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EBD3">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18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9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DB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C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AD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7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A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C2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075A">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06254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8E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56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C6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BEAB56">
            <w:pPr>
              <w:jc w:val="center"/>
            </w:pPr>
            <w:r>
              <w:rPr>
                <w:rFonts w:ascii="宋体" w:hAnsi="宋体" w:eastAsia="宋体"/>
                <w:sz w:val="16"/>
              </w:rPr>
              <w:t>100分</w:t>
            </w:r>
          </w:p>
        </w:tc>
      </w:tr>
    </w:tbl>
    <w:p w14:paraId="467205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5B0E2B99">
        <w:tblPrEx>
          <w:tblCellMar>
            <w:top w:w="0" w:type="dxa"/>
            <w:left w:w="108" w:type="dxa"/>
            <w:bottom w:w="0" w:type="dxa"/>
            <w:right w:w="108" w:type="dxa"/>
          </w:tblCellMar>
        </w:tblPrEx>
        <w:tc>
          <w:tcPr>
            <w:tcW w:w="8848" w:type="dxa"/>
            <w:gridSpan w:val="14"/>
            <w:vAlign w:val="center"/>
          </w:tcPr>
          <w:p w14:paraId="2DBAAF06">
            <w:pPr>
              <w:jc w:val="center"/>
            </w:pPr>
            <w:r>
              <w:rPr>
                <w:rFonts w:ascii="宋体" w:hAnsi="宋体" w:eastAsia="宋体"/>
                <w:sz w:val="24"/>
              </w:rPr>
              <w:t>项目支出绩效自评表</w:t>
            </w:r>
          </w:p>
        </w:tc>
      </w:tr>
      <w:tr w14:paraId="3867524E">
        <w:tblPrEx>
          <w:tblCellMar>
            <w:top w:w="0" w:type="dxa"/>
            <w:left w:w="108" w:type="dxa"/>
            <w:bottom w:w="0" w:type="dxa"/>
            <w:right w:w="108" w:type="dxa"/>
          </w:tblCellMar>
        </w:tblPrEx>
        <w:tc>
          <w:tcPr>
            <w:tcW w:w="8848" w:type="dxa"/>
            <w:gridSpan w:val="14"/>
            <w:vAlign w:val="center"/>
          </w:tcPr>
          <w:p w14:paraId="3E1760A4">
            <w:pPr>
              <w:jc w:val="center"/>
            </w:pPr>
            <w:r>
              <w:rPr>
                <w:rFonts w:ascii="宋体" w:hAnsi="宋体" w:eastAsia="宋体"/>
                <w:sz w:val="24"/>
              </w:rPr>
              <w:t>(2024年度)</w:t>
            </w:r>
          </w:p>
        </w:tc>
      </w:tr>
      <w:tr w14:paraId="234271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4B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60604">
            <w:pPr>
              <w:jc w:val="center"/>
            </w:pPr>
            <w:r>
              <w:rPr>
                <w:rFonts w:ascii="宋体" w:hAnsi="宋体" w:eastAsia="宋体"/>
                <w:sz w:val="16"/>
              </w:rPr>
              <w:t>塔县环境保护突发事件应急预案修编项目</w:t>
            </w:r>
          </w:p>
        </w:tc>
      </w:tr>
      <w:tr w14:paraId="4A332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A7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3C17B">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2F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5E79C">
            <w:pPr>
              <w:jc w:val="center"/>
            </w:pPr>
            <w:r>
              <w:rPr>
                <w:rFonts w:ascii="宋体" w:hAnsi="宋体" w:eastAsia="宋体"/>
                <w:sz w:val="16"/>
              </w:rPr>
              <w:t>塔什库尔干塔吉克自治县市场监督管理局</w:t>
            </w:r>
          </w:p>
        </w:tc>
      </w:tr>
      <w:tr w14:paraId="5E2BE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D405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B73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67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9E8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19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7B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5C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930D">
            <w:pPr>
              <w:jc w:val="center"/>
            </w:pPr>
            <w:r>
              <w:rPr>
                <w:rFonts w:ascii="宋体" w:hAnsi="宋体" w:eastAsia="宋体"/>
                <w:sz w:val="16"/>
              </w:rPr>
              <w:t>得分</w:t>
            </w:r>
          </w:p>
        </w:tc>
      </w:tr>
      <w:tr w14:paraId="1402D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BAC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56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0374">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4541">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AFFA">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80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57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F4E8">
            <w:pPr>
              <w:jc w:val="center"/>
            </w:pPr>
            <w:r>
              <w:rPr>
                <w:rFonts w:ascii="宋体" w:hAnsi="宋体" w:eastAsia="宋体"/>
                <w:sz w:val="16"/>
              </w:rPr>
              <w:t>10.00分</w:t>
            </w:r>
          </w:p>
        </w:tc>
      </w:tr>
      <w:tr w14:paraId="5DF4C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F0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643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D49C2">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60FB3">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DE10">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36F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7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CA82">
            <w:pPr>
              <w:jc w:val="center"/>
            </w:pPr>
            <w:r>
              <w:rPr>
                <w:rFonts w:ascii="宋体" w:hAnsi="宋体" w:eastAsia="宋体"/>
                <w:sz w:val="16"/>
              </w:rPr>
              <w:t>—</w:t>
            </w:r>
          </w:p>
        </w:tc>
      </w:tr>
      <w:tr w14:paraId="3D243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36B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399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88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19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2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28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D9A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53D4">
            <w:pPr>
              <w:jc w:val="center"/>
            </w:pPr>
            <w:r>
              <w:rPr>
                <w:rFonts w:ascii="宋体" w:hAnsi="宋体" w:eastAsia="宋体"/>
                <w:sz w:val="16"/>
              </w:rPr>
              <w:t>—</w:t>
            </w:r>
          </w:p>
        </w:tc>
      </w:tr>
      <w:tr w14:paraId="28786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4F5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E88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2094E">
            <w:pPr>
              <w:jc w:val="center"/>
            </w:pPr>
            <w:r>
              <w:rPr>
                <w:rFonts w:ascii="宋体" w:hAnsi="宋体" w:eastAsia="宋体"/>
                <w:sz w:val="16"/>
              </w:rPr>
              <w:t>实际完成情况</w:t>
            </w:r>
          </w:p>
        </w:tc>
      </w:tr>
      <w:tr w14:paraId="12D25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5C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2BC9DA">
            <w:pPr>
              <w:jc w:val="both"/>
            </w:pPr>
            <w:r>
              <w:rPr>
                <w:rFonts w:ascii="宋体" w:hAnsi="宋体" w:eastAsia="宋体"/>
                <w:sz w:val="16"/>
              </w:rPr>
              <w:t>该项目计划使用资金98.9万元，用于支付塔什库尔干塔吉克自治县突发环境事件应急预案修编项目费用，包括辖区环境风险源识别，完成突发环境事件应急预案（送审稿）编制，包括：总则、应急组织指挥体系与职责、预防与预警机制、应急处置、后期处置、应急保障、监督管理、附则、附件等内容，从而进一步健全</w:t>
            </w:r>
            <w:r>
              <w:rPr>
                <w:rFonts w:hint="eastAsia" w:ascii="宋体" w:hAnsi="宋体"/>
                <w:sz w:val="16"/>
                <w:lang w:eastAsia="zh-CN"/>
              </w:rPr>
              <w:t>塔什库尔干塔吉克自治县</w:t>
            </w:r>
            <w:r>
              <w:rPr>
                <w:rFonts w:ascii="宋体" w:hAnsi="宋体" w:eastAsia="宋体"/>
                <w:sz w:val="16"/>
              </w:rPr>
              <w:t>突发环境事件应对工作机制，科学有序高效应对突发环境事件，保障全县人民群众生命财产安全和环境安全。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09266A">
            <w:pPr>
              <w:jc w:val="both"/>
            </w:pPr>
            <w:r>
              <w:rPr>
                <w:rFonts w:ascii="宋体" w:hAnsi="宋体" w:eastAsia="宋体"/>
                <w:sz w:val="16"/>
              </w:rPr>
              <w:t>截止至2024年12月31日，项目实际支付98.90万元，完成了塔什库尔干塔吉克自治县突发环境事件应急预案修编（包括辖区环境风险源识别）5个，资金使用合规率达100%，项目完成及时率达100%，项目实施进一步健全了</w:t>
            </w:r>
            <w:r>
              <w:rPr>
                <w:rFonts w:hint="eastAsia" w:ascii="宋体" w:hAnsi="宋体"/>
                <w:sz w:val="16"/>
                <w:lang w:eastAsia="zh-CN"/>
              </w:rPr>
              <w:t>塔什库尔干塔吉克自治县</w:t>
            </w:r>
            <w:r>
              <w:rPr>
                <w:rFonts w:ascii="宋体" w:hAnsi="宋体" w:eastAsia="宋体"/>
                <w:sz w:val="16"/>
              </w:rPr>
              <w:t>突发环境事件应对工作机制，使其能够科学有序、高效</w:t>
            </w:r>
            <w:r>
              <w:rPr>
                <w:rFonts w:hint="eastAsia" w:ascii="宋体" w:hAnsi="宋体"/>
                <w:sz w:val="16"/>
                <w:lang w:eastAsia="zh-CN"/>
              </w:rPr>
              <w:t>地</w:t>
            </w:r>
            <w:r>
              <w:rPr>
                <w:rFonts w:ascii="宋体" w:hAnsi="宋体" w:eastAsia="宋体"/>
                <w:sz w:val="16"/>
              </w:rPr>
              <w:t>应对突发环境事件，保障了全县人民群众生命财产安全和环境安全，使塔县人民群众对实施该项目的满意度达到了100%。</w:t>
            </w:r>
          </w:p>
        </w:tc>
      </w:tr>
      <w:tr w14:paraId="1D52A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F6A0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3B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E0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4D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6B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42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32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C8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6D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C9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96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67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307B">
            <w:pPr>
              <w:jc w:val="center"/>
            </w:pPr>
            <w:r>
              <w:rPr>
                <w:rFonts w:ascii="宋体" w:hAnsi="宋体" w:eastAsia="宋体"/>
                <w:sz w:val="16"/>
              </w:rPr>
              <w:t>偏差原因分析及改进措施</w:t>
            </w:r>
          </w:p>
        </w:tc>
      </w:tr>
      <w:tr w14:paraId="506DB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765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B52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2B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1704">
            <w:pPr>
              <w:jc w:val="center"/>
            </w:pPr>
            <w:r>
              <w:rPr>
                <w:rFonts w:ascii="宋体" w:hAnsi="宋体" w:eastAsia="宋体"/>
                <w:sz w:val="16"/>
              </w:rPr>
              <w:t>应急预案报告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93B3">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5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9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6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9B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582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4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442F">
            <w:pPr>
              <w:jc w:val="center"/>
            </w:pPr>
          </w:p>
        </w:tc>
      </w:tr>
      <w:tr w14:paraId="28AA8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0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D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FE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F17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9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7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9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E0D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C5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4F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5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3BC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0C65">
            <w:pPr>
              <w:jc w:val="center"/>
            </w:pPr>
          </w:p>
        </w:tc>
      </w:tr>
      <w:tr w14:paraId="1075C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CA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2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42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979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B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B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59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BE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E5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D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0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51E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2C9CC">
            <w:pPr>
              <w:jc w:val="center"/>
            </w:pPr>
          </w:p>
        </w:tc>
      </w:tr>
      <w:tr w14:paraId="7AD85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983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D56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FF9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B9C0">
            <w:pPr>
              <w:jc w:val="center"/>
            </w:pPr>
            <w:r>
              <w:rPr>
                <w:rFonts w:ascii="宋体" w:hAnsi="宋体" w:eastAsia="宋体"/>
                <w:sz w:val="16"/>
              </w:rPr>
              <w:t>应急预案报告成本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F9DE">
            <w:pPr>
              <w:jc w:val="center"/>
            </w:pPr>
            <w:r>
              <w:rPr>
                <w:rFonts w:ascii="宋体" w:hAnsi="宋体" w:eastAsia="宋体"/>
                <w:sz w:val="16"/>
              </w:rPr>
              <w:t>&lt;=98.90万元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2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C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8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2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84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6350">
            <w:pPr>
              <w:jc w:val="center"/>
            </w:pPr>
            <w:r>
              <w:rPr>
                <w:rFonts w:ascii="宋体" w:hAnsi="宋体" w:eastAsia="宋体"/>
                <w:sz w:val="16"/>
              </w:rPr>
              <w:t>=98.9万元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85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231B">
            <w:pPr>
              <w:jc w:val="center"/>
            </w:pPr>
          </w:p>
        </w:tc>
      </w:tr>
      <w:tr w14:paraId="466BB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E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D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1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21D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71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4F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0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7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4A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93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E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7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3435">
            <w:pPr>
              <w:jc w:val="center"/>
            </w:pPr>
          </w:p>
        </w:tc>
      </w:tr>
      <w:tr w14:paraId="74B34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B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ED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22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98D4">
            <w:pPr>
              <w:jc w:val="center"/>
            </w:pPr>
            <w:r>
              <w:rPr>
                <w:rFonts w:ascii="宋体" w:hAnsi="宋体" w:eastAsia="宋体"/>
                <w:sz w:val="16"/>
              </w:rPr>
              <w:t>保障全县人民群众生命财产安全和环境安全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FB9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9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5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13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B3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C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DB2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BF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D4DA2">
            <w:pPr>
              <w:jc w:val="center"/>
            </w:pPr>
          </w:p>
        </w:tc>
      </w:tr>
      <w:tr w14:paraId="3F251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E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35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92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2AA5">
            <w:pPr>
              <w:jc w:val="center"/>
            </w:pPr>
            <w:r>
              <w:rPr>
                <w:rFonts w:ascii="宋体" w:hAnsi="宋体" w:eastAsia="宋体"/>
                <w:sz w:val="16"/>
              </w:rPr>
              <w:t>塔县人民群众满意度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EF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5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6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0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8E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6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A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F7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90729">
            <w:pPr>
              <w:jc w:val="center"/>
            </w:pPr>
            <w:r>
              <w:rPr>
                <w:rFonts w:ascii="宋体" w:hAnsi="宋体" w:eastAsia="宋体"/>
                <w:sz w:val="16"/>
              </w:rPr>
              <w:t>偏差原因分析：项目实施情况较好，塔县人民群众满意度高于预期导致出现正偏差，改进措施：基于当前良好表现，重新审视绩效目标，在以后绩效目标设置时设置更具挑战性的目标，以推动业务持续发展。</w:t>
            </w:r>
          </w:p>
        </w:tc>
      </w:tr>
      <w:tr w14:paraId="59E5CC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C6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7B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A58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882C3B">
            <w:pPr>
              <w:jc w:val="center"/>
            </w:pPr>
            <w:r>
              <w:rPr>
                <w:rFonts w:ascii="宋体" w:hAnsi="宋体" w:eastAsia="宋体"/>
                <w:sz w:val="16"/>
              </w:rPr>
              <w:t>100分</w:t>
            </w:r>
          </w:p>
        </w:tc>
      </w:tr>
    </w:tbl>
    <w:p w14:paraId="3CE80B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9F57F82">
        <w:tblPrEx>
          <w:tblCellMar>
            <w:top w:w="0" w:type="dxa"/>
            <w:left w:w="108" w:type="dxa"/>
            <w:bottom w:w="0" w:type="dxa"/>
            <w:right w:w="108" w:type="dxa"/>
          </w:tblCellMar>
        </w:tblPrEx>
        <w:tc>
          <w:tcPr>
            <w:tcW w:w="8848" w:type="dxa"/>
            <w:gridSpan w:val="14"/>
            <w:vAlign w:val="center"/>
          </w:tcPr>
          <w:p w14:paraId="4AC70172">
            <w:pPr>
              <w:jc w:val="center"/>
            </w:pPr>
            <w:r>
              <w:rPr>
                <w:rFonts w:ascii="宋体" w:hAnsi="宋体" w:eastAsia="宋体"/>
                <w:sz w:val="24"/>
              </w:rPr>
              <w:t>项目支出绩效自评表</w:t>
            </w:r>
          </w:p>
        </w:tc>
      </w:tr>
      <w:tr w14:paraId="78AFAA4D">
        <w:tblPrEx>
          <w:tblCellMar>
            <w:top w:w="0" w:type="dxa"/>
            <w:left w:w="108" w:type="dxa"/>
            <w:bottom w:w="0" w:type="dxa"/>
            <w:right w:w="108" w:type="dxa"/>
          </w:tblCellMar>
        </w:tblPrEx>
        <w:tc>
          <w:tcPr>
            <w:tcW w:w="8848" w:type="dxa"/>
            <w:gridSpan w:val="14"/>
            <w:vAlign w:val="center"/>
          </w:tcPr>
          <w:p w14:paraId="76B3528F">
            <w:pPr>
              <w:jc w:val="center"/>
            </w:pPr>
            <w:r>
              <w:rPr>
                <w:rFonts w:ascii="宋体" w:hAnsi="宋体" w:eastAsia="宋体"/>
                <w:sz w:val="24"/>
              </w:rPr>
              <w:t>(2024年度)</w:t>
            </w:r>
          </w:p>
        </w:tc>
      </w:tr>
      <w:tr w14:paraId="3BC77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F6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53821">
            <w:pPr>
              <w:jc w:val="center"/>
            </w:pPr>
            <w:r>
              <w:rPr>
                <w:rFonts w:ascii="宋体" w:hAnsi="宋体" w:eastAsia="宋体"/>
                <w:sz w:val="16"/>
              </w:rPr>
              <w:t>塔县生态环境局2024年项目全过程绩效管理、代理记账项目</w:t>
            </w:r>
          </w:p>
        </w:tc>
      </w:tr>
      <w:tr w14:paraId="2A4E61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11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388F5">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D8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FAA102">
            <w:pPr>
              <w:jc w:val="center"/>
            </w:pPr>
            <w:r>
              <w:rPr>
                <w:rFonts w:ascii="宋体" w:hAnsi="宋体" w:eastAsia="宋体"/>
                <w:sz w:val="16"/>
              </w:rPr>
              <w:t>塔什库尔干塔吉克自治县市场监督管理局</w:t>
            </w:r>
          </w:p>
        </w:tc>
      </w:tr>
      <w:tr w14:paraId="5D1B7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D411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B3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B77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68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4B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A86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F1F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2261">
            <w:pPr>
              <w:jc w:val="center"/>
            </w:pPr>
            <w:r>
              <w:rPr>
                <w:rFonts w:ascii="宋体" w:hAnsi="宋体" w:eastAsia="宋体"/>
                <w:sz w:val="16"/>
              </w:rPr>
              <w:t>得分</w:t>
            </w:r>
          </w:p>
        </w:tc>
      </w:tr>
      <w:tr w14:paraId="268F5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207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16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597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52B46">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0806">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F3C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5C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276F">
            <w:pPr>
              <w:jc w:val="center"/>
            </w:pPr>
            <w:r>
              <w:rPr>
                <w:rFonts w:ascii="宋体" w:hAnsi="宋体" w:eastAsia="宋体"/>
                <w:sz w:val="16"/>
              </w:rPr>
              <w:t>10.00分</w:t>
            </w:r>
          </w:p>
        </w:tc>
      </w:tr>
      <w:tr w14:paraId="71049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341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82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9AA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0E87">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A93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F7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49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2010">
            <w:pPr>
              <w:jc w:val="center"/>
            </w:pPr>
            <w:r>
              <w:rPr>
                <w:rFonts w:ascii="宋体" w:hAnsi="宋体" w:eastAsia="宋体"/>
                <w:sz w:val="16"/>
              </w:rPr>
              <w:t>—</w:t>
            </w:r>
          </w:p>
        </w:tc>
      </w:tr>
      <w:tr w14:paraId="7274F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2F3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53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B3A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C6F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146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26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C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A2D2">
            <w:pPr>
              <w:jc w:val="center"/>
            </w:pPr>
            <w:r>
              <w:rPr>
                <w:rFonts w:ascii="宋体" w:hAnsi="宋体" w:eastAsia="宋体"/>
                <w:sz w:val="16"/>
              </w:rPr>
              <w:t>—</w:t>
            </w:r>
          </w:p>
        </w:tc>
      </w:tr>
      <w:tr w14:paraId="18F3E3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BB0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BD4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5FAEB">
            <w:pPr>
              <w:jc w:val="center"/>
            </w:pPr>
            <w:r>
              <w:rPr>
                <w:rFonts w:ascii="宋体" w:hAnsi="宋体" w:eastAsia="宋体"/>
                <w:sz w:val="16"/>
              </w:rPr>
              <w:t>实际完成情况</w:t>
            </w:r>
          </w:p>
        </w:tc>
      </w:tr>
      <w:tr w14:paraId="0D047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CF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2A806">
            <w:pPr>
              <w:jc w:val="both"/>
            </w:pPr>
            <w:r>
              <w:rPr>
                <w:rFonts w:ascii="宋体" w:hAnsi="宋体" w:eastAsia="宋体"/>
                <w:sz w:val="16"/>
              </w:rPr>
              <w:t>项目该项目计划使用资金4.8万元，用于塔县生态环境局2024年项目全过程绩效管理、代理记账项目，从而保障</w:t>
            </w:r>
            <w:r>
              <w:rPr>
                <w:rFonts w:hint="eastAsia" w:ascii="宋体" w:hAnsi="宋体"/>
                <w:sz w:val="16"/>
                <w:lang w:eastAsia="zh-CN"/>
              </w:rPr>
              <w:t>塔什库尔干塔吉克自治县</w:t>
            </w:r>
            <w:r>
              <w:rPr>
                <w:rFonts w:ascii="宋体" w:hAnsi="宋体" w:eastAsia="宋体"/>
                <w:sz w:val="16"/>
              </w:rPr>
              <w:t>重点生态功能区县域生态环境。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665E0E">
            <w:pPr>
              <w:jc w:val="both"/>
            </w:pPr>
            <w:r>
              <w:rPr>
                <w:rFonts w:ascii="宋体" w:hAnsi="宋体" w:eastAsia="宋体"/>
                <w:sz w:val="16"/>
              </w:rPr>
              <w:t>截止至2024年12月31日，该项目已支付资金4.8万元，用于支付塔县生态环境局2024年项目全过程绩效管理、代理记账服务费，</w:t>
            </w:r>
            <w:r>
              <w:rPr>
                <w:rFonts w:ascii="宋体" w:hAnsi="宋体" w:eastAsia="宋体"/>
                <w:sz w:val="16"/>
              </w:rPr>
              <w:tab/>
            </w:r>
            <w:r>
              <w:rPr>
                <w:rFonts w:ascii="宋体" w:hAnsi="宋体" w:eastAsia="宋体"/>
                <w:sz w:val="16"/>
              </w:rPr>
              <w:t>资金使用合规率达100%，项目完成及时率达100%，通过聘请专业的第三方完成了塔县生态环境局2024年项目全过程绩效管理、代理记账工作，保障了绩效数据和账务处理的合规性、精准性，降低了因财务错误或违规导致的风险，确保了工作的连续性和稳定性，即使单位内部财务人员变动，第三方也能保证工作的连续性，不受人员流动的影响，从而进一步保障了</w:t>
            </w:r>
            <w:r>
              <w:rPr>
                <w:rFonts w:hint="eastAsia" w:ascii="宋体" w:hAnsi="宋体"/>
                <w:sz w:val="16"/>
                <w:lang w:eastAsia="zh-CN"/>
              </w:rPr>
              <w:t>塔什库尔干塔吉克自治县</w:t>
            </w:r>
            <w:r>
              <w:rPr>
                <w:rFonts w:ascii="宋体" w:hAnsi="宋体" w:eastAsia="宋体"/>
                <w:sz w:val="16"/>
              </w:rPr>
              <w:t>重点生态功能区县域生态环境保护工作的开展。</w:t>
            </w:r>
          </w:p>
        </w:tc>
      </w:tr>
      <w:tr w14:paraId="090A1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9274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2D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B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BA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D4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0A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67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2F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72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D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59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32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8C5A">
            <w:pPr>
              <w:jc w:val="center"/>
            </w:pPr>
            <w:r>
              <w:rPr>
                <w:rFonts w:ascii="宋体" w:hAnsi="宋体" w:eastAsia="宋体"/>
                <w:sz w:val="16"/>
              </w:rPr>
              <w:t>偏差原因分析及改进措施</w:t>
            </w:r>
          </w:p>
        </w:tc>
      </w:tr>
      <w:tr w14:paraId="3FC01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21E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53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11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5CFA">
            <w:pPr>
              <w:jc w:val="center"/>
            </w:pPr>
            <w:r>
              <w:rPr>
                <w:rFonts w:ascii="宋体" w:hAnsi="宋体" w:eastAsia="宋体"/>
                <w:sz w:val="16"/>
              </w:rPr>
              <w:t>塔县生态环境局2024年项目全过程绩效管理、代理记账支付次数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E61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5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0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8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3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CB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FAC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24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EE78B">
            <w:pPr>
              <w:jc w:val="center"/>
            </w:pPr>
          </w:p>
        </w:tc>
      </w:tr>
      <w:tr w14:paraId="17A8C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4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C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7F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1C3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B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5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8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422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26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44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4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10E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66A3">
            <w:pPr>
              <w:jc w:val="center"/>
            </w:pPr>
          </w:p>
        </w:tc>
      </w:tr>
      <w:tr w14:paraId="1BC15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13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F5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71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035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A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D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54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83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6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1EB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8E38">
            <w:pPr>
              <w:jc w:val="center"/>
            </w:pPr>
          </w:p>
        </w:tc>
      </w:tr>
      <w:tr w14:paraId="6B603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6F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936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BA7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1367">
            <w:pPr>
              <w:jc w:val="center"/>
            </w:pPr>
            <w:r>
              <w:rPr>
                <w:rFonts w:ascii="宋体" w:hAnsi="宋体" w:eastAsia="宋体"/>
                <w:sz w:val="16"/>
              </w:rPr>
              <w:t>全过程绩效管理、代理记账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F115">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E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F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3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C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3CF2">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8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6A016">
            <w:pPr>
              <w:jc w:val="center"/>
            </w:pPr>
          </w:p>
        </w:tc>
      </w:tr>
      <w:tr w14:paraId="0C903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4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0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0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61B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365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EE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C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22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A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97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E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9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0500">
            <w:pPr>
              <w:jc w:val="center"/>
            </w:pPr>
          </w:p>
        </w:tc>
      </w:tr>
      <w:tr w14:paraId="7C96E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9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2B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E1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CAA3">
            <w:pPr>
              <w:jc w:val="center"/>
            </w:pPr>
            <w:r>
              <w:rPr>
                <w:rFonts w:ascii="宋体" w:hAnsi="宋体" w:eastAsia="宋体"/>
                <w:sz w:val="16"/>
              </w:rPr>
              <w:t>保障</w:t>
            </w:r>
            <w:r>
              <w:rPr>
                <w:rFonts w:hint="eastAsia" w:ascii="宋体" w:hAnsi="宋体"/>
                <w:sz w:val="16"/>
                <w:lang w:eastAsia="zh-CN"/>
              </w:rPr>
              <w:t>塔什库尔干塔吉克自治县</w:t>
            </w:r>
            <w:r>
              <w:rPr>
                <w:rFonts w:ascii="宋体" w:hAnsi="宋体" w:eastAsia="宋体"/>
                <w:sz w:val="16"/>
              </w:rPr>
              <w:t>重点生态功能区县域生态环境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549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E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7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D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19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6C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23B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52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BFF86">
            <w:pPr>
              <w:jc w:val="center"/>
            </w:pPr>
          </w:p>
        </w:tc>
      </w:tr>
      <w:tr w14:paraId="24467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A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9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DF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F750">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2A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0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B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A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F6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2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D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90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4ADF">
            <w:pPr>
              <w:jc w:val="center"/>
            </w:pPr>
            <w:r>
              <w:rPr>
                <w:rFonts w:ascii="宋体" w:hAnsi="宋体" w:eastAsia="宋体"/>
                <w:sz w:val="16"/>
              </w:rPr>
              <w:t>偏差原因分析：项目实施情况较好，工作人员满意度高于预期导致出现正偏差，改进措施：基于当前良好表现，重新审视绩效目标，在以后绩效目标设置时设置更具挑战性的目标，以推动业务持续发展。</w:t>
            </w:r>
          </w:p>
        </w:tc>
      </w:tr>
      <w:tr w14:paraId="23AD6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8F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0C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47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96591">
            <w:pPr>
              <w:jc w:val="center"/>
            </w:pPr>
            <w:r>
              <w:rPr>
                <w:rFonts w:ascii="宋体" w:hAnsi="宋体" w:eastAsia="宋体"/>
                <w:sz w:val="16"/>
              </w:rPr>
              <w:t>100分</w:t>
            </w:r>
          </w:p>
        </w:tc>
      </w:tr>
    </w:tbl>
    <w:p w14:paraId="74DAC4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75E48F">
        <w:tblPrEx>
          <w:tblCellMar>
            <w:top w:w="0" w:type="dxa"/>
            <w:left w:w="108" w:type="dxa"/>
            <w:bottom w:w="0" w:type="dxa"/>
            <w:right w:w="108" w:type="dxa"/>
          </w:tblCellMar>
        </w:tblPrEx>
        <w:tc>
          <w:tcPr>
            <w:tcW w:w="8848" w:type="dxa"/>
            <w:gridSpan w:val="14"/>
            <w:vAlign w:val="center"/>
          </w:tcPr>
          <w:p w14:paraId="7140A562">
            <w:pPr>
              <w:jc w:val="center"/>
            </w:pPr>
            <w:r>
              <w:rPr>
                <w:rFonts w:ascii="宋体" w:hAnsi="宋体" w:eastAsia="宋体"/>
                <w:sz w:val="24"/>
              </w:rPr>
              <w:t>项目支出绩效自评表</w:t>
            </w:r>
          </w:p>
        </w:tc>
      </w:tr>
      <w:tr w14:paraId="0F0AE944">
        <w:tblPrEx>
          <w:tblCellMar>
            <w:top w:w="0" w:type="dxa"/>
            <w:left w:w="108" w:type="dxa"/>
            <w:bottom w:w="0" w:type="dxa"/>
            <w:right w:w="108" w:type="dxa"/>
          </w:tblCellMar>
        </w:tblPrEx>
        <w:tc>
          <w:tcPr>
            <w:tcW w:w="8848" w:type="dxa"/>
            <w:gridSpan w:val="14"/>
            <w:vAlign w:val="center"/>
          </w:tcPr>
          <w:p w14:paraId="14C2F12C">
            <w:pPr>
              <w:jc w:val="center"/>
            </w:pPr>
            <w:r>
              <w:rPr>
                <w:rFonts w:ascii="宋体" w:hAnsi="宋体" w:eastAsia="宋体"/>
                <w:sz w:val="24"/>
              </w:rPr>
              <w:t>(2024年度)</w:t>
            </w:r>
          </w:p>
        </w:tc>
      </w:tr>
      <w:tr w14:paraId="2B0BCB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9A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94E476">
            <w:pPr>
              <w:jc w:val="center"/>
            </w:pPr>
            <w:r>
              <w:rPr>
                <w:rFonts w:ascii="宋体" w:hAnsi="宋体" w:eastAsia="宋体"/>
                <w:sz w:val="16"/>
              </w:rPr>
              <w:t>市场监督管理局2023年度药品抽</w:t>
            </w:r>
            <w:r>
              <w:rPr>
                <w:rFonts w:hint="eastAsia" w:ascii="宋体" w:hAnsi="宋体"/>
                <w:sz w:val="16"/>
                <w:lang w:eastAsia="zh-CN"/>
              </w:rPr>
              <w:t>检各</w:t>
            </w:r>
            <w:r>
              <w:rPr>
                <w:rFonts w:ascii="宋体" w:hAnsi="宋体" w:eastAsia="宋体"/>
                <w:sz w:val="16"/>
              </w:rPr>
              <w:t>项经费</w:t>
            </w:r>
          </w:p>
        </w:tc>
      </w:tr>
      <w:tr w14:paraId="7CA4F9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0F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CE402">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C9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9B063">
            <w:pPr>
              <w:jc w:val="center"/>
            </w:pPr>
            <w:r>
              <w:rPr>
                <w:rFonts w:ascii="宋体" w:hAnsi="宋体" w:eastAsia="宋体"/>
                <w:sz w:val="16"/>
              </w:rPr>
              <w:t>塔什库尔干塔吉克自治县市场监督管理局</w:t>
            </w:r>
          </w:p>
        </w:tc>
      </w:tr>
      <w:tr w14:paraId="1987E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CBB1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916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BC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839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02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F11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ECE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5DAC">
            <w:pPr>
              <w:jc w:val="center"/>
            </w:pPr>
            <w:r>
              <w:rPr>
                <w:rFonts w:ascii="宋体" w:hAnsi="宋体" w:eastAsia="宋体"/>
                <w:sz w:val="16"/>
              </w:rPr>
              <w:t>得分</w:t>
            </w:r>
          </w:p>
        </w:tc>
      </w:tr>
      <w:tr w14:paraId="6F886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F9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30E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AF79E">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7A40">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A1C1A">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845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D0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226F">
            <w:pPr>
              <w:jc w:val="center"/>
            </w:pPr>
            <w:r>
              <w:rPr>
                <w:rFonts w:ascii="宋体" w:hAnsi="宋体" w:eastAsia="宋体"/>
                <w:sz w:val="16"/>
              </w:rPr>
              <w:t>10.00分</w:t>
            </w:r>
          </w:p>
        </w:tc>
      </w:tr>
      <w:tr w14:paraId="7DD36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F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15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3AD6">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6D51">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FE53F">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12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D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3AFC">
            <w:pPr>
              <w:jc w:val="center"/>
            </w:pPr>
            <w:r>
              <w:rPr>
                <w:rFonts w:ascii="宋体" w:hAnsi="宋体" w:eastAsia="宋体"/>
                <w:sz w:val="16"/>
              </w:rPr>
              <w:t>—</w:t>
            </w:r>
          </w:p>
        </w:tc>
      </w:tr>
      <w:tr w14:paraId="29764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FD0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8B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81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82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47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443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4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34C7">
            <w:pPr>
              <w:jc w:val="center"/>
            </w:pPr>
            <w:r>
              <w:rPr>
                <w:rFonts w:ascii="宋体" w:hAnsi="宋体" w:eastAsia="宋体"/>
                <w:sz w:val="16"/>
              </w:rPr>
              <w:t>—</w:t>
            </w:r>
          </w:p>
        </w:tc>
      </w:tr>
      <w:tr w14:paraId="1617E1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223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A2A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8EFA4">
            <w:pPr>
              <w:jc w:val="center"/>
            </w:pPr>
            <w:r>
              <w:rPr>
                <w:rFonts w:ascii="宋体" w:hAnsi="宋体" w:eastAsia="宋体"/>
                <w:sz w:val="16"/>
              </w:rPr>
              <w:t>实际完成情况</w:t>
            </w:r>
          </w:p>
        </w:tc>
      </w:tr>
      <w:tr w14:paraId="57317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33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FA67C">
            <w:pPr>
              <w:jc w:val="both"/>
            </w:pPr>
            <w:r>
              <w:rPr>
                <w:rFonts w:ascii="宋体" w:hAnsi="宋体" w:eastAsia="宋体"/>
                <w:sz w:val="16"/>
              </w:rPr>
              <w:t>开展药品抽样批次3次、药品检验批次2次。不断完善和加强“两品一械”安全抽样检验工作，加强“两品一械”企业监督管理力度，保障全县2023年药品安全监督业务正常开展，防止发生药品安全事故。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ABE277">
            <w:pPr>
              <w:jc w:val="both"/>
            </w:pPr>
            <w:r>
              <w:rPr>
                <w:rFonts w:hint="eastAsia" w:ascii="宋体" w:hAnsi="宋体"/>
                <w:sz w:val="16"/>
                <w:lang w:eastAsia="zh-CN"/>
              </w:rPr>
              <w:t>截至</w:t>
            </w:r>
            <w:r>
              <w:rPr>
                <w:rFonts w:ascii="宋体" w:hAnsi="宋体" w:eastAsia="宋体"/>
                <w:sz w:val="16"/>
              </w:rPr>
              <w:t>2024年12月25日，项目实际支出0.48万元，完成了开展药品抽样批次3次、药品检验批次3次。药品生产企业检查覆盖率达90%，资金拨付及时性达100%，通过实施该项目，不断完善和加强了“两品一械”安全抽样检验工作，加强了“两品一械”企业监督管理力度，保障了全县2024年药品安全监督业务正常开展，防止了药品安全事故发生，使公众对药品监督管理的满意度达到了100%。</w:t>
            </w:r>
          </w:p>
        </w:tc>
      </w:tr>
      <w:tr w14:paraId="1CB34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4701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17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C3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02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4C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75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30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57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2C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B1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F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BD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C794">
            <w:pPr>
              <w:jc w:val="center"/>
            </w:pPr>
            <w:r>
              <w:rPr>
                <w:rFonts w:ascii="宋体" w:hAnsi="宋体" w:eastAsia="宋体"/>
                <w:sz w:val="16"/>
              </w:rPr>
              <w:t>偏差原因分析及改进措施</w:t>
            </w:r>
          </w:p>
        </w:tc>
      </w:tr>
      <w:tr w14:paraId="73A2F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DDD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D42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90B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0383">
            <w:pPr>
              <w:jc w:val="center"/>
            </w:pPr>
            <w:r>
              <w:rPr>
                <w:rFonts w:ascii="宋体" w:hAnsi="宋体" w:eastAsia="宋体"/>
                <w:sz w:val="16"/>
              </w:rPr>
              <w:t>药品抽样批次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3500">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2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CE30">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1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3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7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AACD">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12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4BD8B">
            <w:pPr>
              <w:jc w:val="center"/>
            </w:pPr>
          </w:p>
        </w:tc>
      </w:tr>
      <w:tr w14:paraId="0766F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3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55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71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63CB">
            <w:pPr>
              <w:jc w:val="center"/>
            </w:pPr>
            <w:r>
              <w:rPr>
                <w:rFonts w:ascii="宋体" w:hAnsi="宋体" w:eastAsia="宋体"/>
                <w:sz w:val="16"/>
              </w:rPr>
              <w:t>药品检验批次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D9A8">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4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3941">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C2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8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A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4AC0">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F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7745">
            <w:pPr>
              <w:jc w:val="center"/>
            </w:pPr>
          </w:p>
        </w:tc>
      </w:tr>
      <w:tr w14:paraId="5B6E0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8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1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9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E689">
            <w:pPr>
              <w:jc w:val="center"/>
            </w:pPr>
            <w:r>
              <w:rPr>
                <w:rFonts w:ascii="宋体" w:hAnsi="宋体" w:eastAsia="宋体"/>
                <w:sz w:val="16"/>
              </w:rPr>
              <w:t>药品生产企业检查覆盖率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4D9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4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CE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2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6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C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34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C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FE97">
            <w:pPr>
              <w:jc w:val="center"/>
            </w:pPr>
          </w:p>
        </w:tc>
      </w:tr>
      <w:tr w14:paraId="71E37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08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D8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81E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73E9">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E08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4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3F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F0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B4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0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514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F3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5AAA">
            <w:pPr>
              <w:jc w:val="center"/>
            </w:pPr>
          </w:p>
        </w:tc>
      </w:tr>
      <w:tr w14:paraId="56FE8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8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9B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F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27C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2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4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66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5D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C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D4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8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F7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50E2">
            <w:pPr>
              <w:jc w:val="center"/>
            </w:pPr>
          </w:p>
        </w:tc>
      </w:tr>
      <w:tr w14:paraId="3C4C4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4C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49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7B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0D45">
            <w:pPr>
              <w:jc w:val="center"/>
            </w:pPr>
            <w:r>
              <w:rPr>
                <w:rFonts w:ascii="宋体" w:hAnsi="宋体" w:eastAsia="宋体"/>
                <w:sz w:val="16"/>
              </w:rPr>
              <w:t>药品抽样检验（含评价性抽验）经费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ED0B">
            <w:pPr>
              <w:jc w:val="center"/>
            </w:pPr>
            <w:r>
              <w:rPr>
                <w:rFonts w:ascii="宋体" w:hAnsi="宋体" w:eastAsia="宋体"/>
                <w:sz w:val="16"/>
              </w:rPr>
              <w:t>&lt;=4800元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BB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3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5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FC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4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5A3E">
            <w:pPr>
              <w:jc w:val="center"/>
            </w:pPr>
            <w:r>
              <w:rPr>
                <w:rFonts w:ascii="宋体" w:hAnsi="宋体" w:eastAsia="宋体"/>
                <w:sz w:val="16"/>
              </w:rPr>
              <w:t>=4800元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40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149E">
            <w:pPr>
              <w:jc w:val="center"/>
            </w:pPr>
          </w:p>
        </w:tc>
      </w:tr>
      <w:tr w14:paraId="696B8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7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23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CE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DCAE">
            <w:pPr>
              <w:jc w:val="center"/>
            </w:pPr>
            <w:r>
              <w:rPr>
                <w:rFonts w:ascii="宋体" w:hAnsi="宋体" w:eastAsia="宋体"/>
                <w:sz w:val="16"/>
              </w:rPr>
              <w:t>药品抽检监督管理安全总体水平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5EB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C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8C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9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D9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FDB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E6A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5C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17F51">
            <w:pPr>
              <w:jc w:val="center"/>
            </w:pPr>
          </w:p>
        </w:tc>
      </w:tr>
      <w:tr w14:paraId="294EB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FC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C7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43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4843">
            <w:pPr>
              <w:jc w:val="center"/>
            </w:pPr>
            <w:r>
              <w:rPr>
                <w:rFonts w:ascii="宋体" w:hAnsi="宋体" w:eastAsia="宋体"/>
                <w:sz w:val="16"/>
              </w:rPr>
              <w:t>公众对药品监督管理的满意度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C8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E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D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A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17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63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5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E7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B6EB8">
            <w:pPr>
              <w:jc w:val="center"/>
            </w:pPr>
            <w:r>
              <w:rPr>
                <w:rFonts w:ascii="宋体" w:hAnsi="宋体" w:eastAsia="宋体"/>
                <w:sz w:val="16"/>
              </w:rPr>
              <w:t>偏差原因分析：项目实施情况较好，公众对药品监督管理的满意度高于预期导致出现正偏差，改进措施：基于当前良好表现，重新审视绩效目标，在以后绩效目标设置时设置更具挑战性的目标，以推动业务持续发展。</w:t>
            </w:r>
          </w:p>
        </w:tc>
      </w:tr>
      <w:tr w14:paraId="0F589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79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BC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2C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1E6370">
            <w:pPr>
              <w:jc w:val="center"/>
            </w:pPr>
            <w:r>
              <w:rPr>
                <w:rFonts w:ascii="宋体" w:hAnsi="宋体" w:eastAsia="宋体"/>
                <w:sz w:val="16"/>
              </w:rPr>
              <w:t>100分</w:t>
            </w:r>
          </w:p>
        </w:tc>
      </w:tr>
    </w:tbl>
    <w:p w14:paraId="02035A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8CFF7B8">
        <w:tblPrEx>
          <w:tblCellMar>
            <w:top w:w="0" w:type="dxa"/>
            <w:left w:w="108" w:type="dxa"/>
            <w:bottom w:w="0" w:type="dxa"/>
            <w:right w:w="108" w:type="dxa"/>
          </w:tblCellMar>
        </w:tblPrEx>
        <w:tc>
          <w:tcPr>
            <w:tcW w:w="8848" w:type="dxa"/>
            <w:gridSpan w:val="14"/>
            <w:vAlign w:val="center"/>
          </w:tcPr>
          <w:p w14:paraId="46B03AC0">
            <w:pPr>
              <w:jc w:val="center"/>
            </w:pPr>
            <w:r>
              <w:rPr>
                <w:rFonts w:ascii="宋体" w:hAnsi="宋体" w:eastAsia="宋体"/>
                <w:sz w:val="24"/>
              </w:rPr>
              <w:t>项目支出绩效自评表</w:t>
            </w:r>
          </w:p>
        </w:tc>
      </w:tr>
      <w:tr w14:paraId="6E9F72FB">
        <w:tblPrEx>
          <w:tblCellMar>
            <w:top w:w="0" w:type="dxa"/>
            <w:left w:w="108" w:type="dxa"/>
            <w:bottom w:w="0" w:type="dxa"/>
            <w:right w:w="108" w:type="dxa"/>
          </w:tblCellMar>
        </w:tblPrEx>
        <w:tc>
          <w:tcPr>
            <w:tcW w:w="8848" w:type="dxa"/>
            <w:gridSpan w:val="14"/>
            <w:vAlign w:val="center"/>
          </w:tcPr>
          <w:p w14:paraId="0EF5A6C3">
            <w:pPr>
              <w:jc w:val="center"/>
            </w:pPr>
            <w:r>
              <w:rPr>
                <w:rFonts w:ascii="宋体" w:hAnsi="宋体" w:eastAsia="宋体"/>
                <w:sz w:val="24"/>
              </w:rPr>
              <w:t>(2024年度)</w:t>
            </w:r>
          </w:p>
        </w:tc>
      </w:tr>
      <w:tr w14:paraId="556D2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06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5F15D4">
            <w:pPr>
              <w:jc w:val="center"/>
            </w:pPr>
            <w:r>
              <w:rPr>
                <w:rFonts w:ascii="宋体" w:hAnsi="宋体" w:eastAsia="宋体"/>
                <w:sz w:val="16"/>
              </w:rPr>
              <w:t>莎车县苏库恰克水库塔吉克阿巴提镇饮水安全 工程饮用水水源保护区划分项目</w:t>
            </w:r>
          </w:p>
        </w:tc>
      </w:tr>
      <w:tr w14:paraId="4BEE5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73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89ADD">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6E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6F6E7">
            <w:pPr>
              <w:jc w:val="center"/>
            </w:pPr>
            <w:r>
              <w:rPr>
                <w:rFonts w:ascii="宋体" w:hAnsi="宋体" w:eastAsia="宋体"/>
                <w:sz w:val="16"/>
              </w:rPr>
              <w:t>塔什库尔干塔吉克自治县市场监督管理局</w:t>
            </w:r>
          </w:p>
        </w:tc>
      </w:tr>
      <w:tr w14:paraId="61F42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13C4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3F1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57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EE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EA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A3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76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B53B">
            <w:pPr>
              <w:jc w:val="center"/>
            </w:pPr>
            <w:r>
              <w:rPr>
                <w:rFonts w:ascii="宋体" w:hAnsi="宋体" w:eastAsia="宋体"/>
                <w:sz w:val="16"/>
              </w:rPr>
              <w:t>得分</w:t>
            </w:r>
          </w:p>
        </w:tc>
      </w:tr>
      <w:tr w14:paraId="525EE0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C1D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CD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C410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E2C08">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F62A">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9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DF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2FCD">
            <w:pPr>
              <w:jc w:val="center"/>
            </w:pPr>
            <w:r>
              <w:rPr>
                <w:rFonts w:ascii="宋体" w:hAnsi="宋体" w:eastAsia="宋体"/>
                <w:sz w:val="16"/>
              </w:rPr>
              <w:t>10.00分</w:t>
            </w:r>
          </w:p>
        </w:tc>
      </w:tr>
      <w:tr w14:paraId="15D2D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DA1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E14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54E7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62B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B3DC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6B4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9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8B74">
            <w:pPr>
              <w:jc w:val="center"/>
            </w:pPr>
            <w:r>
              <w:rPr>
                <w:rFonts w:ascii="宋体" w:hAnsi="宋体" w:eastAsia="宋体"/>
                <w:sz w:val="16"/>
              </w:rPr>
              <w:t>—</w:t>
            </w:r>
          </w:p>
        </w:tc>
      </w:tr>
      <w:tr w14:paraId="30DFD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06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8E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9A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5E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5E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6F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D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9053">
            <w:pPr>
              <w:jc w:val="center"/>
            </w:pPr>
            <w:r>
              <w:rPr>
                <w:rFonts w:ascii="宋体" w:hAnsi="宋体" w:eastAsia="宋体"/>
                <w:sz w:val="16"/>
              </w:rPr>
              <w:t>—</w:t>
            </w:r>
          </w:p>
        </w:tc>
      </w:tr>
      <w:tr w14:paraId="4EEE7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39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FDA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71C10">
            <w:pPr>
              <w:jc w:val="center"/>
            </w:pPr>
            <w:r>
              <w:rPr>
                <w:rFonts w:ascii="宋体" w:hAnsi="宋体" w:eastAsia="宋体"/>
                <w:sz w:val="16"/>
              </w:rPr>
              <w:t>实际完成情况</w:t>
            </w:r>
          </w:p>
        </w:tc>
      </w:tr>
      <w:tr w14:paraId="08E95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0A6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35B1D">
            <w:pPr>
              <w:jc w:val="both"/>
            </w:pPr>
            <w:r>
              <w:rPr>
                <w:rFonts w:ascii="宋体" w:hAnsi="宋体" w:eastAsia="宋体"/>
                <w:sz w:val="16"/>
              </w:rPr>
              <w:t>项目预算安排资金36万元，其中：财政资金36万元，其他资金0万元，用于对莎车县苏库恰克水库塔吉克阿巴提镇饮水安全工程饮用水水源保护区进行划分，开展资料收集、现场核查、水质检测以及评审，并上报自治区、地区生态环境主管部门审核备案，加快推进了</w:t>
            </w:r>
            <w:r>
              <w:rPr>
                <w:rFonts w:hint="eastAsia" w:ascii="宋体" w:hAnsi="宋体"/>
                <w:sz w:val="16"/>
                <w:lang w:eastAsia="zh-CN"/>
              </w:rPr>
              <w:t>塔什库尔干塔吉克自治县</w:t>
            </w:r>
            <w:r>
              <w:rPr>
                <w:rFonts w:ascii="宋体" w:hAnsi="宋体" w:eastAsia="宋体"/>
                <w:sz w:val="16"/>
              </w:rPr>
              <w:t>饮用水源保护工作。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A717A">
            <w:pPr>
              <w:jc w:val="both"/>
            </w:pPr>
            <w:r>
              <w:rPr>
                <w:rFonts w:ascii="宋体" w:hAnsi="宋体" w:eastAsia="宋体"/>
                <w:sz w:val="16"/>
              </w:rPr>
              <w:t>截止至2024年12月31日，项目实际支出36万元，完成了对莎车县苏库恰克水库塔吉克阿巴提镇饮水安全工程饮用水水源保护区的划分工作，具体工作：完成了资料收集、现场核查、水质检测以及评审，并上报地区、自治区生态环境主管部门完成了审核备案，资金使用合规率达100%，资金拨付及时率达100%，项目实施加快推进了</w:t>
            </w:r>
            <w:r>
              <w:rPr>
                <w:rFonts w:hint="eastAsia" w:ascii="宋体" w:hAnsi="宋体"/>
                <w:sz w:val="16"/>
                <w:lang w:eastAsia="zh-CN"/>
              </w:rPr>
              <w:t>塔什库尔干塔吉克自治县</w:t>
            </w:r>
            <w:r>
              <w:rPr>
                <w:rFonts w:ascii="宋体" w:hAnsi="宋体" w:eastAsia="宋体"/>
                <w:sz w:val="16"/>
              </w:rPr>
              <w:t>饮用水源保护工作，使塔县群众满意度达到了100%。</w:t>
            </w:r>
          </w:p>
        </w:tc>
      </w:tr>
      <w:tr w14:paraId="44FC8F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8369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0D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BC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FD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8E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F2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BA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67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8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50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C5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5B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D72E">
            <w:pPr>
              <w:jc w:val="center"/>
            </w:pPr>
            <w:r>
              <w:rPr>
                <w:rFonts w:ascii="宋体" w:hAnsi="宋体" w:eastAsia="宋体"/>
                <w:sz w:val="16"/>
              </w:rPr>
              <w:t>偏差原因分析及改进措施</w:t>
            </w:r>
          </w:p>
        </w:tc>
      </w:tr>
      <w:tr w14:paraId="3730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43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7D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23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E93D">
            <w:pPr>
              <w:jc w:val="center"/>
            </w:pPr>
            <w:r>
              <w:rPr>
                <w:rFonts w:ascii="宋体" w:hAnsi="宋体" w:eastAsia="宋体"/>
                <w:sz w:val="16"/>
              </w:rPr>
              <w:t>水质检测以及评审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35E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2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E6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D2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2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38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016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BC7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7FF8">
            <w:pPr>
              <w:jc w:val="center"/>
            </w:pPr>
          </w:p>
        </w:tc>
      </w:tr>
      <w:tr w14:paraId="23562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AE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18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FF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350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5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5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FD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D8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D9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E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3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43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48F7">
            <w:pPr>
              <w:jc w:val="center"/>
            </w:pPr>
          </w:p>
        </w:tc>
      </w:tr>
      <w:tr w14:paraId="72774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30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6F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61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CBE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B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2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A4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0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03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C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8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B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2C7A4">
            <w:pPr>
              <w:jc w:val="center"/>
            </w:pPr>
          </w:p>
        </w:tc>
      </w:tr>
      <w:tr w14:paraId="7F1407A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679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EA2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42B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059A">
            <w:pPr>
              <w:jc w:val="center"/>
            </w:pPr>
            <w:r>
              <w:rPr>
                <w:rFonts w:ascii="宋体" w:hAnsi="宋体" w:eastAsia="宋体"/>
                <w:sz w:val="16"/>
              </w:rPr>
              <w:t>饮水安全工程成本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6D16">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8C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84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5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90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1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A727">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7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DE25">
            <w:pPr>
              <w:jc w:val="center"/>
            </w:pPr>
          </w:p>
        </w:tc>
      </w:tr>
      <w:tr w14:paraId="03057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6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13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B4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5C5C">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1DC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47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B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C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4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E6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1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AE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831B0">
            <w:pPr>
              <w:jc w:val="center"/>
            </w:pPr>
          </w:p>
        </w:tc>
      </w:tr>
      <w:tr w14:paraId="0DD65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B7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EA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826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0C10">
            <w:pPr>
              <w:jc w:val="center"/>
            </w:pPr>
            <w:r>
              <w:rPr>
                <w:rFonts w:ascii="宋体" w:hAnsi="宋体" w:eastAsia="宋体"/>
                <w:sz w:val="16"/>
              </w:rPr>
              <w:t>加快推进了</w:t>
            </w:r>
            <w:r>
              <w:rPr>
                <w:rFonts w:hint="eastAsia" w:ascii="宋体" w:hAnsi="宋体"/>
                <w:sz w:val="16"/>
                <w:lang w:eastAsia="zh-CN"/>
              </w:rPr>
              <w:t>塔什库尔干塔吉克自治县</w:t>
            </w:r>
            <w:r>
              <w:rPr>
                <w:rFonts w:ascii="宋体" w:hAnsi="宋体" w:eastAsia="宋体"/>
                <w:sz w:val="16"/>
              </w:rPr>
              <w:t>饮用水源保护工作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2B07">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C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6A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4F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37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C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D692">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3E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4156">
            <w:pPr>
              <w:jc w:val="center"/>
            </w:pPr>
          </w:p>
        </w:tc>
      </w:tr>
      <w:tr w14:paraId="51537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48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85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1C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4FC9">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A5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E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27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98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3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B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D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E832C">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117AB1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265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D8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10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39450">
            <w:pPr>
              <w:jc w:val="center"/>
            </w:pPr>
            <w:r>
              <w:rPr>
                <w:rFonts w:ascii="宋体" w:hAnsi="宋体" w:eastAsia="宋体"/>
                <w:sz w:val="16"/>
              </w:rPr>
              <w:t>100分</w:t>
            </w:r>
          </w:p>
        </w:tc>
      </w:tr>
    </w:tbl>
    <w:p w14:paraId="43178586">
      <w:r>
        <w:br w:type="page"/>
      </w:r>
    </w:p>
    <w:p w14:paraId="40BC13D7">
      <w:pPr>
        <w:spacing w:line="640" w:lineRule="exact"/>
        <w:ind w:firstLine="640"/>
        <w:jc w:val="both"/>
        <w:outlineLvl w:val="2"/>
      </w:pPr>
      <w:r>
        <w:rPr>
          <w:rFonts w:ascii="黑体" w:hAnsi="黑体" w:eastAsia="黑体"/>
          <w:sz w:val="32"/>
        </w:rPr>
        <w:t>十二、其他需说明的事项</w:t>
      </w:r>
    </w:p>
    <w:p w14:paraId="4262EBC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0B46536">
      <w:r>
        <w:br w:type="page"/>
      </w:r>
    </w:p>
    <w:p w14:paraId="4456284C">
      <w:pPr>
        <w:spacing w:line="240" w:lineRule="auto"/>
        <w:jc w:val="center"/>
        <w:outlineLvl w:val="1"/>
      </w:pPr>
      <w:r>
        <w:rPr>
          <w:rFonts w:ascii="黑体" w:hAnsi="黑体" w:eastAsia="黑体"/>
          <w:sz w:val="32"/>
        </w:rPr>
        <w:t>第三部分 专业名词解释</w:t>
      </w:r>
    </w:p>
    <w:p w14:paraId="646E2B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8D230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F34C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BE18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F8549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F220EE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BD42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222D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57353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D5087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A3AC9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812B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6810D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20F52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1033C38">
      <w:r>
        <w:br w:type="page"/>
      </w:r>
    </w:p>
    <w:p w14:paraId="13DC66C5">
      <w:pPr>
        <w:spacing w:line="240" w:lineRule="auto"/>
        <w:jc w:val="center"/>
        <w:outlineLvl w:val="1"/>
      </w:pPr>
      <w:r>
        <w:rPr>
          <w:rFonts w:ascii="黑体" w:hAnsi="黑体" w:eastAsia="黑体"/>
          <w:sz w:val="32"/>
        </w:rPr>
        <w:t>第四部分 部门决算报表（见附表）</w:t>
      </w:r>
    </w:p>
    <w:p w14:paraId="2A947412">
      <w:pPr>
        <w:spacing w:line="240" w:lineRule="auto"/>
        <w:ind w:firstLine="640"/>
        <w:jc w:val="both"/>
      </w:pPr>
      <w:r>
        <w:rPr>
          <w:rFonts w:ascii="仿宋_GB2312" w:hAnsi="仿宋_GB2312" w:eastAsia="仿宋_GB2312"/>
          <w:b w:val="0"/>
          <w:sz w:val="32"/>
        </w:rPr>
        <w:t>一、《收入支出决算总表》</w:t>
      </w:r>
    </w:p>
    <w:p w14:paraId="15AF4602">
      <w:pPr>
        <w:spacing w:line="240" w:lineRule="auto"/>
        <w:ind w:firstLine="640"/>
        <w:jc w:val="both"/>
      </w:pPr>
      <w:r>
        <w:rPr>
          <w:rFonts w:ascii="仿宋_GB2312" w:hAnsi="仿宋_GB2312" w:eastAsia="仿宋_GB2312"/>
          <w:b w:val="0"/>
          <w:sz w:val="32"/>
        </w:rPr>
        <w:t>二、《收入决算表》</w:t>
      </w:r>
    </w:p>
    <w:p w14:paraId="48F39A51">
      <w:pPr>
        <w:spacing w:line="240" w:lineRule="auto"/>
        <w:ind w:firstLine="640"/>
        <w:jc w:val="both"/>
      </w:pPr>
      <w:r>
        <w:rPr>
          <w:rFonts w:ascii="仿宋_GB2312" w:hAnsi="仿宋_GB2312" w:eastAsia="仿宋_GB2312"/>
          <w:b w:val="0"/>
          <w:sz w:val="32"/>
        </w:rPr>
        <w:t>三、《支出决算表》</w:t>
      </w:r>
    </w:p>
    <w:p w14:paraId="50655E2A">
      <w:pPr>
        <w:spacing w:line="240" w:lineRule="auto"/>
        <w:ind w:firstLine="640"/>
        <w:jc w:val="both"/>
      </w:pPr>
      <w:r>
        <w:rPr>
          <w:rFonts w:ascii="仿宋_GB2312" w:hAnsi="仿宋_GB2312" w:eastAsia="仿宋_GB2312"/>
          <w:b w:val="0"/>
          <w:sz w:val="32"/>
        </w:rPr>
        <w:t>四、《财政拨款收入支出决算总表》</w:t>
      </w:r>
    </w:p>
    <w:p w14:paraId="1C173345">
      <w:pPr>
        <w:spacing w:line="240" w:lineRule="auto"/>
        <w:ind w:firstLine="640"/>
        <w:jc w:val="both"/>
      </w:pPr>
      <w:r>
        <w:rPr>
          <w:rFonts w:ascii="仿宋_GB2312" w:hAnsi="仿宋_GB2312" w:eastAsia="仿宋_GB2312"/>
          <w:b w:val="0"/>
          <w:sz w:val="32"/>
        </w:rPr>
        <w:t>五、《一般公共预算财政拨款支出决算表》</w:t>
      </w:r>
    </w:p>
    <w:p w14:paraId="0E85E66C">
      <w:pPr>
        <w:spacing w:line="240" w:lineRule="auto"/>
        <w:ind w:firstLine="640"/>
        <w:jc w:val="both"/>
      </w:pPr>
      <w:r>
        <w:rPr>
          <w:rFonts w:ascii="仿宋_GB2312" w:hAnsi="仿宋_GB2312" w:eastAsia="仿宋_GB2312"/>
          <w:b w:val="0"/>
          <w:sz w:val="32"/>
        </w:rPr>
        <w:t>六、《一般公共预算财政拨款基本支出决算表》</w:t>
      </w:r>
    </w:p>
    <w:p w14:paraId="599AEB2A">
      <w:pPr>
        <w:spacing w:line="240" w:lineRule="auto"/>
        <w:ind w:firstLine="640"/>
        <w:jc w:val="both"/>
      </w:pPr>
      <w:r>
        <w:rPr>
          <w:rFonts w:ascii="仿宋_GB2312" w:hAnsi="仿宋_GB2312" w:eastAsia="仿宋_GB2312"/>
          <w:b w:val="0"/>
          <w:sz w:val="32"/>
        </w:rPr>
        <w:t>七、《政府性基金预算财政拨款收入支出决算表》</w:t>
      </w:r>
    </w:p>
    <w:p w14:paraId="111C1AE1">
      <w:pPr>
        <w:spacing w:line="240" w:lineRule="auto"/>
        <w:ind w:firstLine="640"/>
        <w:jc w:val="both"/>
      </w:pPr>
      <w:r>
        <w:rPr>
          <w:rFonts w:ascii="仿宋_GB2312" w:hAnsi="仿宋_GB2312" w:eastAsia="仿宋_GB2312"/>
          <w:b w:val="0"/>
          <w:sz w:val="32"/>
        </w:rPr>
        <w:t>八、《国有资本经营预算财政拨款收入支出决算表》</w:t>
      </w:r>
    </w:p>
    <w:p w14:paraId="6683D834">
      <w:pPr>
        <w:spacing w:line="240" w:lineRule="auto"/>
        <w:ind w:firstLine="640"/>
        <w:jc w:val="both"/>
      </w:pPr>
      <w:r>
        <w:rPr>
          <w:rFonts w:ascii="仿宋_GB2312" w:hAnsi="仿宋_GB2312" w:eastAsia="仿宋_GB2312"/>
          <w:b w:val="0"/>
          <w:sz w:val="32"/>
        </w:rPr>
        <w:t>九、《财政拨款“三公”经费支出决算表》</w:t>
      </w:r>
    </w:p>
    <w:p w14:paraId="3ECF3717">
      <w:pPr>
        <w:spacing w:line="240" w:lineRule="auto"/>
        <w:ind w:firstLine="640"/>
        <w:jc w:val="both"/>
      </w:pPr>
    </w:p>
    <w:p w14:paraId="4AE23151">
      <w:pPr>
        <w:spacing w:line="240" w:lineRule="auto"/>
        <w:ind w:firstLine="640"/>
        <w:jc w:val="both"/>
      </w:pPr>
    </w:p>
    <w:p w14:paraId="1A7502BE">
      <w:pPr>
        <w:spacing w:line="240" w:lineRule="auto"/>
        <w:ind w:firstLine="640"/>
        <w:jc w:val="both"/>
      </w:pPr>
    </w:p>
    <w:p w14:paraId="5E7BA55A">
      <w:pPr>
        <w:spacing w:line="240" w:lineRule="auto"/>
        <w:ind w:firstLine="640"/>
        <w:jc w:val="both"/>
      </w:pPr>
    </w:p>
    <w:p w14:paraId="206823F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D43AD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AD0E9F"/>
    <w:rsid w:val="38006E2C"/>
    <w:rsid w:val="3914510A"/>
    <w:rsid w:val="39FA28F4"/>
    <w:rsid w:val="3B1220C9"/>
    <w:rsid w:val="3D5275AC"/>
    <w:rsid w:val="3E9E7462"/>
    <w:rsid w:val="3EA7725F"/>
    <w:rsid w:val="3EC014A1"/>
    <w:rsid w:val="40834692"/>
    <w:rsid w:val="423A32B2"/>
    <w:rsid w:val="423C0CB4"/>
    <w:rsid w:val="427B5743"/>
    <w:rsid w:val="42E64542"/>
    <w:rsid w:val="464B7E04"/>
    <w:rsid w:val="464F7E64"/>
    <w:rsid w:val="46901EEE"/>
    <w:rsid w:val="469C74D2"/>
    <w:rsid w:val="47445515"/>
    <w:rsid w:val="4A645604"/>
    <w:rsid w:val="4B4C0111"/>
    <w:rsid w:val="4B780E42"/>
    <w:rsid w:val="4BB23021"/>
    <w:rsid w:val="4F3F074E"/>
    <w:rsid w:val="50DB5F45"/>
    <w:rsid w:val="52F92565"/>
    <w:rsid w:val="543D17CB"/>
    <w:rsid w:val="55DA564E"/>
    <w:rsid w:val="56E07045"/>
    <w:rsid w:val="583059FA"/>
    <w:rsid w:val="587E6212"/>
    <w:rsid w:val="5AFC6609"/>
    <w:rsid w:val="5CC1747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9C1BC7"/>
    <w:rsid w:val="74CE04EC"/>
    <w:rsid w:val="74E76DCD"/>
    <w:rsid w:val="76660D7C"/>
    <w:rsid w:val="77ED6F44"/>
    <w:rsid w:val="795A0A34"/>
    <w:rsid w:val="7A0D3BC7"/>
    <w:rsid w:val="7A3A3CDB"/>
    <w:rsid w:val="7DD90F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6405</Words>
  <Characters>7245</Characters>
  <Lines>0</Lines>
  <Paragraphs>0</Paragraphs>
  <TotalTime>10</TotalTime>
  <ScaleCrop>false</ScaleCrop>
  <LinksUpToDate>false</LinksUpToDate>
  <CharactersWithSpaces>7254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