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8ADBEE">
      <w:r>
        <w:br w:type="page"/>
      </w:r>
    </w:p>
    <w:p w14:paraId="20FAFA32">
      <w:pPr>
        <w:spacing w:line="640" w:lineRule="exact"/>
        <w:jc w:val="center"/>
        <w:outlineLvl w:val="1"/>
      </w:pPr>
      <w:r>
        <w:rPr>
          <w:rFonts w:ascii="黑体" w:hAnsi="黑体" w:eastAsia="黑体"/>
          <w:sz w:val="32"/>
        </w:rPr>
        <w:t>第一部分 单位概况</w:t>
      </w:r>
    </w:p>
    <w:p w14:paraId="2B5DD6FD">
      <w:pPr>
        <w:spacing w:line="640" w:lineRule="exact"/>
        <w:ind w:firstLine="640"/>
        <w:jc w:val="both"/>
        <w:outlineLvl w:val="2"/>
      </w:pPr>
      <w:r>
        <w:rPr>
          <w:rFonts w:ascii="黑体" w:hAnsi="黑体" w:eastAsia="黑体"/>
          <w:sz w:val="32"/>
        </w:rPr>
        <w:t>一、主要职能</w:t>
      </w:r>
    </w:p>
    <w:p w14:paraId="79AA9DB3">
      <w:pPr>
        <w:spacing w:line="580" w:lineRule="exact"/>
        <w:ind w:firstLine="640"/>
        <w:jc w:val="both"/>
      </w:pPr>
      <w:r>
        <w:rPr>
          <w:rFonts w:ascii="仿宋_GB2312" w:hAnsi="仿宋_GB2312" w:eastAsia="仿宋_GB2312"/>
          <w:sz w:val="32"/>
        </w:rPr>
        <w:t>（一）负责应急管理工作，指导各乡镇、各部门应对安全生产类、自然灾害类突发事件和综合防灾减灾救灾工作。负责安全生产综合</w:t>
      </w:r>
      <w:r>
        <w:rPr>
          <w:rFonts w:hint="eastAsia" w:ascii="仿宋_GB2312" w:hAnsi="仿宋_GB2312" w:eastAsia="仿宋_GB2312"/>
          <w:sz w:val="32"/>
          <w:lang w:eastAsia="zh-CN"/>
        </w:rPr>
        <w:t>监督管理</w:t>
      </w:r>
      <w:r>
        <w:rPr>
          <w:rFonts w:ascii="仿宋_GB2312" w:hAnsi="仿宋_GB2312" w:eastAsia="仿宋_GB2312"/>
          <w:sz w:val="32"/>
        </w:rPr>
        <w:t>和工矿商贸行业安全生产监督管理工作。</w:t>
      </w:r>
    </w:p>
    <w:p w14:paraId="52CCD3B1">
      <w:pPr>
        <w:spacing w:line="580" w:lineRule="exact"/>
        <w:ind w:firstLine="640"/>
        <w:jc w:val="both"/>
      </w:pPr>
      <w:r>
        <w:rPr>
          <w:rFonts w:ascii="仿宋_GB2312" w:hAnsi="仿宋_GB2312" w:eastAsia="仿宋_GB2312"/>
          <w:sz w:val="32"/>
        </w:rPr>
        <w:t>（二）组织编制全县应急体系建设、安全生产和综合防灾减灾规划，起草相关工作计划、方案，并组织实施。</w:t>
      </w:r>
    </w:p>
    <w:p w14:paraId="0C94FA39">
      <w:pPr>
        <w:spacing w:line="580" w:lineRule="exact"/>
        <w:ind w:firstLine="640"/>
        <w:jc w:val="both"/>
      </w:pPr>
      <w:r>
        <w:rPr>
          <w:rFonts w:ascii="仿宋_GB2312" w:hAnsi="仿宋_GB2312" w:eastAsia="仿宋_GB2312"/>
          <w:sz w:val="32"/>
        </w:rPr>
        <w:t>（三）负责安全生产类、自然灾害类应急预案体系建设，建立完善事故灾难和自然灾害应对制度，组织编制全县总体应急预案和安全生产类、自然灾害类专项预案，综合协调应急预案衔接工作，组织开展预案演练，推动应急避难设施建设。</w:t>
      </w:r>
    </w:p>
    <w:p w14:paraId="5B51F4B4">
      <w:pPr>
        <w:spacing w:line="580" w:lineRule="exact"/>
        <w:ind w:firstLine="640"/>
        <w:jc w:val="both"/>
      </w:pPr>
      <w:r>
        <w:rPr>
          <w:rFonts w:ascii="仿宋_GB2312" w:hAnsi="仿宋_GB2312" w:eastAsia="仿宋_GB2312"/>
          <w:sz w:val="32"/>
        </w:rPr>
        <w:t>（四）牵头建立统一的应急管理信息系统，建立</w:t>
      </w:r>
      <w:r>
        <w:rPr>
          <w:rFonts w:hint="eastAsia" w:ascii="仿宋_GB2312" w:hAnsi="仿宋_GB2312" w:eastAsia="仿宋_GB2312"/>
          <w:sz w:val="32"/>
          <w:lang w:eastAsia="zh-CN"/>
        </w:rPr>
        <w:t>监测</w:t>
      </w:r>
      <w:r>
        <w:rPr>
          <w:rFonts w:ascii="仿宋_GB2312" w:hAnsi="仿宋_GB2312" w:eastAsia="仿宋_GB2312"/>
          <w:sz w:val="32"/>
        </w:rPr>
        <w:t>预测和灾情报告制度，健全自然灾害信息资源获取和共享机制，依法统一发布灾情。</w:t>
      </w:r>
    </w:p>
    <w:p w14:paraId="30831609">
      <w:pPr>
        <w:spacing w:line="580" w:lineRule="exact"/>
        <w:ind w:firstLine="640"/>
        <w:jc w:val="both"/>
      </w:pPr>
      <w:r>
        <w:rPr>
          <w:rFonts w:ascii="仿宋_GB2312" w:hAnsi="仿宋_GB2312" w:eastAsia="仿宋_GB2312"/>
          <w:sz w:val="32"/>
        </w:rPr>
        <w:t>（五）组织指导协调安全生产类、自然灾害类突发事件应急救援，承担全县应对重大灾害指挥部工作，综合研判突发事件</w:t>
      </w:r>
      <w:r>
        <w:rPr>
          <w:rFonts w:hint="eastAsia" w:ascii="仿宋_GB2312" w:hAnsi="仿宋_GB2312" w:eastAsia="仿宋_GB2312"/>
          <w:sz w:val="32"/>
          <w:lang w:eastAsia="zh-CN"/>
        </w:rPr>
        <w:t>复杂</w:t>
      </w:r>
      <w:r>
        <w:rPr>
          <w:rFonts w:ascii="仿宋_GB2312" w:hAnsi="仿宋_GB2312" w:eastAsia="仿宋_GB2312"/>
          <w:sz w:val="32"/>
        </w:rPr>
        <w:t>态势并提出应对建议，协助县委、县人民政府指定的负责同志组织重大灾害应急处置工作。</w:t>
      </w:r>
    </w:p>
    <w:p w14:paraId="3F68FEC2">
      <w:pPr>
        <w:spacing w:line="580" w:lineRule="exact"/>
        <w:ind w:firstLine="640"/>
        <w:jc w:val="both"/>
      </w:pPr>
      <w:r>
        <w:rPr>
          <w:rFonts w:ascii="仿宋_GB2312" w:hAnsi="仿宋_GB2312" w:eastAsia="仿宋_GB2312"/>
          <w:sz w:val="32"/>
        </w:rPr>
        <w:t>（六）统一协调指挥各类应急专业队伍，建立应急协调联动机制，推进应急救援指挥平台对接，衔接解放军和武警部队参与应急救援工作。</w:t>
      </w:r>
    </w:p>
    <w:p w14:paraId="1EF89113">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（七）统筹应急救援力量建设，负责消防、森林和草原火灾扑救、抗洪抢险、地震和地质灾害救援、安全生产事故救援专业应急力量建设，管理指挥综合性应急救援队伍，指导社会应急救援力量建设。</w:t>
      </w:r>
    </w:p>
    <w:p w14:paraId="53385F45">
      <w:pPr>
        <w:spacing w:line="580" w:lineRule="exact"/>
        <w:ind w:firstLine="640"/>
        <w:jc w:val="both"/>
      </w:pPr>
      <w:r>
        <w:rPr>
          <w:rFonts w:ascii="仿宋_GB2312" w:hAnsi="仿宋_GB2312" w:eastAsia="仿宋_GB2312"/>
          <w:sz w:val="32"/>
        </w:rPr>
        <w:t>（八）负责消防管理工作，指导消防监督、火灾预防、火灾扑救等工作。</w:t>
      </w:r>
    </w:p>
    <w:p w14:paraId="2E06263E">
      <w:pPr>
        <w:spacing w:line="580" w:lineRule="exact"/>
        <w:ind w:firstLine="640"/>
        <w:jc w:val="both"/>
      </w:pPr>
      <w:r>
        <w:rPr>
          <w:rFonts w:ascii="仿宋_GB2312" w:hAnsi="仿宋_GB2312" w:eastAsia="仿宋_GB2312"/>
          <w:sz w:val="32"/>
        </w:rPr>
        <w:t>（九）指导协调森林和草原火灾、水害灾害、地震地质灾害防治工作，负责自然灾害综合预测预警工作，指导开展自然灾害综合风险评估工作。</w:t>
      </w:r>
    </w:p>
    <w:p w14:paraId="7EDAED9A">
      <w:pPr>
        <w:spacing w:line="580" w:lineRule="exact"/>
        <w:ind w:firstLine="640"/>
        <w:jc w:val="both"/>
      </w:pPr>
      <w:r>
        <w:rPr>
          <w:rFonts w:ascii="仿宋_GB2312" w:hAnsi="仿宋_GB2312" w:eastAsia="仿宋_GB2312"/>
          <w:sz w:val="32"/>
        </w:rPr>
        <w:t>（十）组织协调灾害救助工作，组织指导灾情核查、损失评估、救灾捐赠工作，管理、分配救灾款物并监督使用。</w:t>
      </w:r>
    </w:p>
    <w:p w14:paraId="46B1DEE3">
      <w:pPr>
        <w:spacing w:line="580" w:lineRule="exact"/>
        <w:ind w:firstLine="640"/>
        <w:jc w:val="both"/>
      </w:pPr>
      <w:r>
        <w:rPr>
          <w:rFonts w:ascii="仿宋_GB2312" w:hAnsi="仿宋_GB2312" w:eastAsia="仿宋_GB2312"/>
          <w:sz w:val="32"/>
        </w:rPr>
        <w:t>（十一）依法行使安全生产综合监督管理职权，指导协调、监督检查各乡镇人民政府和有关部门安全生产工作，组织开展安全生产巡查、考核工作。</w:t>
      </w:r>
    </w:p>
    <w:p w14:paraId="4E367F1B">
      <w:pPr>
        <w:spacing w:line="580" w:lineRule="exact"/>
        <w:ind w:firstLine="640"/>
        <w:jc w:val="both"/>
      </w:pPr>
      <w:r>
        <w:rPr>
          <w:rFonts w:ascii="仿宋_GB2312" w:hAnsi="仿宋_GB2312" w:eastAsia="仿宋_GB2312"/>
          <w:sz w:val="32"/>
        </w:rPr>
        <w:t>（十二）按照分级、属地原则，依法监督检查工矿商贸(煤矿除外)生产经营单位贯彻执行安全生产法律法规情况及其安全生产条件和有关设备(除特种设备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0AF00448">
      <w:pPr>
        <w:spacing w:line="580" w:lineRule="exact"/>
        <w:ind w:firstLine="640"/>
        <w:jc w:val="both"/>
      </w:pPr>
      <w:r>
        <w:rPr>
          <w:rFonts w:ascii="仿宋_GB2312" w:hAnsi="仿宋_GB2312" w:eastAsia="仿宋_GB2312"/>
          <w:sz w:val="32"/>
        </w:rPr>
        <w:t>（十三）依法组织指导安全生产事故调查处理，监督事故查处和责任追究落实情况。组织开展自然灾害类突发事件的调查评估工作。</w:t>
      </w:r>
    </w:p>
    <w:p w14:paraId="7E03A573">
      <w:pPr>
        <w:spacing w:line="580" w:lineRule="exact"/>
        <w:ind w:firstLine="640"/>
        <w:jc w:val="both"/>
      </w:pPr>
      <w:r>
        <w:rPr>
          <w:rFonts w:ascii="仿宋_GB2312" w:hAnsi="仿宋_GB2312" w:eastAsia="仿宋_GB2312"/>
          <w:sz w:val="32"/>
        </w:rPr>
        <w:t>（十四）制定应急物资储备和应急救援装备规划并组织实施，建立健全应急物资信息平台和调拨制度，在救灾时统一调度。</w:t>
      </w:r>
    </w:p>
    <w:p w14:paraId="76970CC0">
      <w:pPr>
        <w:spacing w:line="580" w:lineRule="exact"/>
        <w:ind w:firstLine="640"/>
        <w:jc w:val="both"/>
      </w:pPr>
      <w:r>
        <w:rPr>
          <w:rFonts w:ascii="仿宋_GB2312" w:hAnsi="仿宋_GB2312" w:eastAsia="仿宋_GB2312"/>
          <w:sz w:val="32"/>
        </w:rPr>
        <w:t>（十五）负责应急管理、安全生产宣传教育和培训工作。</w:t>
      </w:r>
    </w:p>
    <w:p w14:paraId="08AB58D3">
      <w:pPr>
        <w:spacing w:line="580" w:lineRule="exact"/>
        <w:ind w:firstLine="640"/>
        <w:jc w:val="both"/>
      </w:pPr>
      <w:r>
        <w:rPr>
          <w:rFonts w:ascii="仿宋_GB2312" w:hAnsi="仿宋_GB2312" w:eastAsia="仿宋_GB2312"/>
          <w:sz w:val="32"/>
        </w:rPr>
        <w:t>（十六）完成县委、县人民政府交办的其他任务。</w:t>
      </w:r>
    </w:p>
    <w:p w14:paraId="4ADFED7F">
      <w:pPr>
        <w:spacing w:line="640" w:lineRule="exact"/>
        <w:ind w:firstLine="640"/>
        <w:jc w:val="both"/>
        <w:outlineLvl w:val="2"/>
      </w:pPr>
      <w:r>
        <w:rPr>
          <w:rFonts w:ascii="黑体" w:hAnsi="黑体" w:eastAsia="黑体"/>
          <w:sz w:val="32"/>
        </w:rPr>
        <w:t>二、机构设置及人员情况</w:t>
      </w:r>
    </w:p>
    <w:p w14:paraId="7C2D58AA">
      <w:pPr>
        <w:spacing w:line="580" w:lineRule="exact"/>
        <w:ind w:firstLine="640"/>
        <w:jc w:val="both"/>
      </w:pPr>
      <w:r>
        <w:rPr>
          <w:rFonts w:ascii="仿宋_GB2312" w:hAnsi="仿宋_GB2312" w:eastAsia="仿宋_GB2312"/>
          <w:sz w:val="32"/>
        </w:rPr>
        <w:t>塔什库尔干塔吉克自治县应急管理局2024年度，实有人数27人，其中：在职人员19人，增加7人；离休人员0人，增加0人；退休人员8人,增加6人。</w:t>
      </w:r>
    </w:p>
    <w:p w14:paraId="55BFDFF3">
      <w:pPr>
        <w:spacing w:line="580" w:lineRule="exact"/>
        <w:ind w:firstLine="640"/>
        <w:jc w:val="both"/>
      </w:pPr>
      <w:r>
        <w:rPr>
          <w:rFonts w:ascii="仿宋_GB2312" w:hAnsi="仿宋_GB2312" w:eastAsia="仿宋_GB2312"/>
          <w:sz w:val="32"/>
        </w:rPr>
        <w:t>单位无下属预算单位，下设4个科室，分别是：局机关办公室、财务室、安全生产办公室、预警中心办公室。</w:t>
      </w:r>
    </w:p>
    <w:p w14:paraId="5C509DED">
      <w:r>
        <w:br w:type="page"/>
      </w:r>
    </w:p>
    <w:p w14:paraId="4465A239">
      <w:pPr>
        <w:spacing w:line="240" w:lineRule="auto"/>
        <w:jc w:val="center"/>
        <w:outlineLvl w:val="1"/>
      </w:pPr>
      <w:r>
        <w:rPr>
          <w:rFonts w:ascii="黑体" w:hAnsi="黑体" w:eastAsia="黑体"/>
          <w:sz w:val="32"/>
        </w:rPr>
        <w:t>第二部分 部门决算情况说明</w:t>
      </w:r>
    </w:p>
    <w:p w14:paraId="0FD6AC38">
      <w:pPr>
        <w:spacing w:line="640" w:lineRule="exact"/>
        <w:ind w:firstLine="640"/>
        <w:jc w:val="both"/>
        <w:outlineLvl w:val="2"/>
      </w:pPr>
      <w:r>
        <w:rPr>
          <w:rFonts w:ascii="黑体" w:hAnsi="黑体" w:eastAsia="黑体"/>
          <w:sz w:val="32"/>
        </w:rPr>
        <w:t>一、收入支出决算总体情况说明</w:t>
      </w:r>
    </w:p>
    <w:p w14:paraId="67653CAE">
      <w:pPr>
        <w:spacing w:line="580" w:lineRule="exact"/>
        <w:ind w:firstLine="640"/>
        <w:jc w:val="both"/>
      </w:pPr>
      <w:r>
        <w:rPr>
          <w:rFonts w:ascii="仿宋_GB2312" w:hAnsi="仿宋_GB2312" w:eastAsia="仿宋_GB2312"/>
          <w:b/>
          <w:sz w:val="32"/>
        </w:rPr>
        <w:t>2024年度收入总计932.87万元，</w:t>
      </w:r>
      <w:r>
        <w:rPr>
          <w:rFonts w:ascii="仿宋_GB2312" w:hAnsi="仿宋_GB2312" w:eastAsia="仿宋_GB2312"/>
          <w:b w:val="0"/>
          <w:sz w:val="32"/>
        </w:rPr>
        <w:t>其中：本年收入合计932.87万元，使用非财政拨款结余（含专用结余）0.00万元，年初结转和结余0.00万元。</w:t>
      </w:r>
    </w:p>
    <w:p w14:paraId="539F4A6F">
      <w:pPr>
        <w:spacing w:line="580" w:lineRule="exact"/>
        <w:ind w:firstLine="640"/>
        <w:jc w:val="both"/>
      </w:pPr>
      <w:r>
        <w:rPr>
          <w:rFonts w:ascii="仿宋_GB2312" w:hAnsi="仿宋_GB2312" w:eastAsia="仿宋_GB2312"/>
          <w:b/>
          <w:sz w:val="32"/>
        </w:rPr>
        <w:t>2024年度支出总计932.87万元，</w:t>
      </w:r>
      <w:r>
        <w:rPr>
          <w:rFonts w:ascii="仿宋_GB2312" w:hAnsi="仿宋_GB2312" w:eastAsia="仿宋_GB2312"/>
          <w:b w:val="0"/>
          <w:sz w:val="32"/>
        </w:rPr>
        <w:t>其中：本年支出合计932.87万元，结余分配0.00万元，年末结转和结余0.00万元。</w:t>
      </w:r>
    </w:p>
    <w:p w14:paraId="62A0161B">
      <w:pPr>
        <w:spacing w:line="580" w:lineRule="exact"/>
        <w:ind w:firstLine="640"/>
        <w:jc w:val="both"/>
      </w:pPr>
      <w:r>
        <w:rPr>
          <w:rFonts w:ascii="仿宋_GB2312" w:hAnsi="仿宋_GB2312" w:eastAsia="仿宋_GB2312"/>
          <w:b w:val="0"/>
          <w:sz w:val="32"/>
        </w:rPr>
        <w:t>收入支出总体与上年相比，增加674.05万元，增长260.43%，主要原因是：一是新增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p>
    <w:p w14:paraId="3F14E709">
      <w:pPr>
        <w:spacing w:line="640" w:lineRule="exact"/>
        <w:ind w:firstLine="640"/>
        <w:jc w:val="both"/>
        <w:outlineLvl w:val="2"/>
      </w:pPr>
      <w:r>
        <w:rPr>
          <w:rFonts w:ascii="黑体" w:hAnsi="黑体" w:eastAsia="黑体"/>
          <w:sz w:val="32"/>
        </w:rPr>
        <w:t>二、收入决算情况说明</w:t>
      </w:r>
    </w:p>
    <w:p w14:paraId="7D2FEF35">
      <w:pPr>
        <w:spacing w:line="580" w:lineRule="exact"/>
        <w:ind w:firstLine="640"/>
        <w:jc w:val="both"/>
      </w:pPr>
      <w:r>
        <w:rPr>
          <w:rFonts w:ascii="仿宋_GB2312" w:hAnsi="仿宋_GB2312" w:eastAsia="仿宋_GB2312"/>
          <w:b/>
          <w:sz w:val="32"/>
        </w:rPr>
        <w:t>本年收入932.87万元，</w:t>
      </w:r>
      <w:r>
        <w:rPr>
          <w:rFonts w:ascii="仿宋_GB2312" w:hAnsi="仿宋_GB2312" w:eastAsia="仿宋_GB2312"/>
          <w:b w:val="0"/>
          <w:sz w:val="32"/>
        </w:rPr>
        <w:t>其中：财政拨款收入932.87万元，占100.00%；上级补助收入0.00万元，占0.00%；事业收入0.00万元，占0.00%；经营收入0.00万元，占0.00%；附属单位上缴收入0.00万元，占0.00%；其他收入0.00万元，占0.00%。</w:t>
      </w:r>
    </w:p>
    <w:p w14:paraId="663949A9">
      <w:pPr>
        <w:spacing w:line="640" w:lineRule="exact"/>
        <w:ind w:firstLine="640"/>
        <w:jc w:val="both"/>
        <w:outlineLvl w:val="2"/>
      </w:pPr>
      <w:r>
        <w:rPr>
          <w:rFonts w:ascii="黑体" w:hAnsi="黑体" w:eastAsia="黑体"/>
          <w:sz w:val="32"/>
        </w:rPr>
        <w:t>三、支出决算情况说明</w:t>
      </w:r>
    </w:p>
    <w:p w14:paraId="1F06E087">
      <w:pPr>
        <w:spacing w:line="580" w:lineRule="exact"/>
        <w:ind w:firstLine="640"/>
        <w:jc w:val="both"/>
      </w:pPr>
      <w:r>
        <w:rPr>
          <w:rFonts w:ascii="仿宋_GB2312" w:hAnsi="仿宋_GB2312" w:eastAsia="仿宋_GB2312"/>
          <w:b/>
          <w:sz w:val="32"/>
        </w:rPr>
        <w:t>本年支出932.87万元，</w:t>
      </w:r>
      <w:r>
        <w:rPr>
          <w:rFonts w:ascii="仿宋_GB2312" w:hAnsi="仿宋_GB2312" w:eastAsia="仿宋_GB2312"/>
          <w:b w:val="0"/>
          <w:sz w:val="32"/>
        </w:rPr>
        <w:t>其中：基本支出371.81万元，占39.86%；项目支出561.07万元，占60.14%；上缴上级支出0.00万元，占0.00%；经营支出0.00万元，占0.00%；对附属单位补助支出0.00万元，占0.00%。</w:t>
      </w:r>
    </w:p>
    <w:p w14:paraId="76E1888C">
      <w:pPr>
        <w:spacing w:line="640" w:lineRule="exact"/>
        <w:ind w:firstLine="640"/>
        <w:jc w:val="both"/>
        <w:outlineLvl w:val="2"/>
      </w:pPr>
      <w:r>
        <w:rPr>
          <w:rFonts w:ascii="黑体" w:hAnsi="黑体" w:eastAsia="黑体"/>
          <w:sz w:val="32"/>
        </w:rPr>
        <w:t>四、财政拨款收入支出决算总体情况说明</w:t>
      </w:r>
    </w:p>
    <w:p w14:paraId="28BEB63A">
      <w:pPr>
        <w:spacing w:line="580" w:lineRule="exact"/>
        <w:ind w:firstLine="640"/>
        <w:jc w:val="both"/>
      </w:pPr>
      <w:r>
        <w:rPr>
          <w:rFonts w:ascii="仿宋_GB2312" w:hAnsi="仿宋_GB2312" w:eastAsia="仿宋_GB2312"/>
          <w:b/>
          <w:sz w:val="32"/>
        </w:rPr>
        <w:t>2024年度财政拨款收入总计932.87万元，</w:t>
      </w:r>
      <w:r>
        <w:rPr>
          <w:rFonts w:ascii="仿宋_GB2312" w:hAnsi="仿宋_GB2312" w:eastAsia="仿宋_GB2312"/>
          <w:b w:val="0"/>
          <w:sz w:val="32"/>
        </w:rPr>
        <w:t>其中：年初财政拨款结转和结余0.00万元，本年财政拨款收入932.87万元。</w:t>
      </w:r>
      <w:r>
        <w:rPr>
          <w:rFonts w:ascii="仿宋_GB2312" w:hAnsi="仿宋_GB2312" w:eastAsia="仿宋_GB2312"/>
          <w:b/>
          <w:sz w:val="32"/>
        </w:rPr>
        <w:t>财政拨款支出总计932.87万元，</w:t>
      </w:r>
      <w:r>
        <w:rPr>
          <w:rFonts w:ascii="仿宋_GB2312" w:hAnsi="仿宋_GB2312" w:eastAsia="仿宋_GB2312"/>
          <w:b w:val="0"/>
          <w:sz w:val="32"/>
        </w:rPr>
        <w:t>其中：年末财政拨款结转和结余0.00万元，本年财政拨款支出932.87万元。</w:t>
      </w:r>
    </w:p>
    <w:p w14:paraId="73034C9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年初预算数344.16万元，决算数932.87万元，预决算差异率171.06%，主要原因是：本年在职人员增加，年中追加人员经费及人员工资、社保、公积金基数调增部分资金及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w:t>
      </w:r>
    </w:p>
    <w:p w14:paraId="5CE84366">
      <w:pPr>
        <w:spacing w:line="640" w:lineRule="exact"/>
        <w:ind w:firstLine="640"/>
        <w:jc w:val="both"/>
        <w:outlineLvl w:val="2"/>
      </w:pPr>
      <w:r>
        <w:rPr>
          <w:rFonts w:ascii="黑体" w:hAnsi="黑体" w:eastAsia="黑体"/>
          <w:sz w:val="32"/>
        </w:rPr>
        <w:t>五、一般公共预算财政拨款支出决算情况说明</w:t>
      </w:r>
    </w:p>
    <w:p w14:paraId="24456A9A">
      <w:pPr>
        <w:spacing w:line="640" w:lineRule="exact"/>
        <w:ind w:firstLine="640"/>
        <w:jc w:val="both"/>
        <w:outlineLvl w:val="3"/>
      </w:pPr>
      <w:r>
        <w:rPr>
          <w:rFonts w:ascii="楷体_GB2312" w:hAnsi="楷体_GB2312" w:eastAsia="楷体_GB2312"/>
          <w:b/>
          <w:sz w:val="32"/>
        </w:rPr>
        <w:t>（一）一般公共预算财政拨款支出决算总体情况</w:t>
      </w:r>
    </w:p>
    <w:p w14:paraId="3A2B4524">
      <w:pPr>
        <w:spacing w:line="580" w:lineRule="exact"/>
        <w:ind w:firstLine="640"/>
        <w:jc w:val="both"/>
      </w:pPr>
      <w:r>
        <w:rPr>
          <w:rFonts w:ascii="仿宋_GB2312" w:hAnsi="仿宋_GB2312" w:eastAsia="仿宋_GB2312"/>
          <w:b/>
          <w:sz w:val="32"/>
        </w:rPr>
        <w:t>2024年度一般公共预算财政拨款支出932.87万元，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年初预算数344.16万元，决算数932.87万元，预决算差异率171.06%，主要原因是：本年在职人员增加，年中追加人员经费及人员工资、社保、公积金基数调增部分资金及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w:t>
      </w:r>
    </w:p>
    <w:p w14:paraId="0ADEF2F5">
      <w:pPr>
        <w:spacing w:line="640" w:lineRule="exact"/>
        <w:ind w:firstLine="640"/>
        <w:jc w:val="both"/>
        <w:outlineLvl w:val="3"/>
      </w:pPr>
      <w:r>
        <w:rPr>
          <w:rFonts w:ascii="楷体_GB2312" w:hAnsi="楷体_GB2312" w:eastAsia="楷体_GB2312"/>
          <w:b/>
          <w:sz w:val="32"/>
        </w:rPr>
        <w:t>（二）一般公共预算财政拨款支出决算结构情况</w:t>
      </w:r>
    </w:p>
    <w:p w14:paraId="3A906446">
      <w:pPr>
        <w:spacing w:line="580" w:lineRule="exact"/>
        <w:ind w:firstLine="640"/>
        <w:jc w:val="both"/>
      </w:pPr>
      <w:r>
        <w:rPr>
          <w:rFonts w:ascii="仿宋_GB2312" w:hAnsi="仿宋_GB2312" w:eastAsia="仿宋_GB2312"/>
          <w:b w:val="0"/>
          <w:sz w:val="32"/>
        </w:rPr>
        <w:t>1.社会保障和就业支出(类)53.69万元,占5.76%。</w:t>
      </w:r>
    </w:p>
    <w:p w14:paraId="11A568EE">
      <w:pPr>
        <w:spacing w:line="580" w:lineRule="exact"/>
        <w:ind w:firstLine="640"/>
        <w:jc w:val="both"/>
      </w:pPr>
      <w:r>
        <w:rPr>
          <w:rFonts w:ascii="仿宋_GB2312" w:hAnsi="仿宋_GB2312" w:eastAsia="仿宋_GB2312"/>
          <w:b w:val="0"/>
          <w:sz w:val="32"/>
        </w:rPr>
        <w:t>2.卫生健康支出(类)17.83万元,占1.91%。</w:t>
      </w:r>
    </w:p>
    <w:p w14:paraId="77FF278B">
      <w:pPr>
        <w:spacing w:line="580" w:lineRule="exact"/>
        <w:ind w:firstLine="640"/>
        <w:jc w:val="both"/>
      </w:pPr>
      <w:r>
        <w:rPr>
          <w:rFonts w:ascii="仿宋_GB2312" w:hAnsi="仿宋_GB2312" w:eastAsia="仿宋_GB2312"/>
          <w:b w:val="0"/>
          <w:sz w:val="32"/>
        </w:rPr>
        <w:t>3.住房保障支出(类)30.16万元,占3.23%。</w:t>
      </w:r>
    </w:p>
    <w:p w14:paraId="2E1A798A">
      <w:pPr>
        <w:spacing w:line="580" w:lineRule="exact"/>
        <w:ind w:firstLine="640"/>
        <w:jc w:val="both"/>
      </w:pPr>
      <w:r>
        <w:rPr>
          <w:rFonts w:ascii="仿宋_GB2312" w:hAnsi="仿宋_GB2312" w:eastAsia="仿宋_GB2312"/>
          <w:b w:val="0"/>
          <w:sz w:val="32"/>
        </w:rPr>
        <w:t>4.灾害防治及应急管理支出(类)824.20万元,占88.35%。</w:t>
      </w:r>
    </w:p>
    <w:p w14:paraId="2043ACDC">
      <w:pPr>
        <w:spacing w:line="580" w:lineRule="exact"/>
        <w:ind w:firstLine="640"/>
        <w:jc w:val="both"/>
      </w:pPr>
      <w:r>
        <w:rPr>
          <w:rFonts w:ascii="仿宋_GB2312" w:hAnsi="仿宋_GB2312" w:eastAsia="仿宋_GB2312"/>
          <w:b w:val="0"/>
          <w:sz w:val="32"/>
        </w:rPr>
        <w:t>5.其他支出(类)7.00万元,占0.75%。</w:t>
      </w:r>
    </w:p>
    <w:p w14:paraId="05B544B7">
      <w:pPr>
        <w:spacing w:line="640" w:lineRule="exact"/>
        <w:ind w:firstLine="640"/>
        <w:jc w:val="both"/>
        <w:outlineLvl w:val="3"/>
      </w:pPr>
      <w:r>
        <w:rPr>
          <w:rFonts w:ascii="楷体_GB2312" w:hAnsi="楷体_GB2312" w:eastAsia="楷体_GB2312"/>
          <w:b/>
          <w:sz w:val="32"/>
        </w:rPr>
        <w:t>（三）一般公共预算财政拨款支出决算具体情况</w:t>
      </w:r>
    </w:p>
    <w:p w14:paraId="64DC73D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1.社会保障和就业支出(类)行政事业单位养老支出(款)行政单位离退休(项):支出决算数为18.04万元，比上年决算增加15.54万元，增长621.60%,主要原因是：本年增加退休人员及增加基础绩效奖，退休费支出增加。</w:t>
      </w:r>
    </w:p>
    <w:p w14:paraId="74B6638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35.64万元，比上年决算增加16.55万元，增长86.69%,主要原因是：一是本年在职人员工资基数调增，养老缴费基数上涨，相应支出增加。二是本年在职人员增加，养老保险缴费较上年增加。</w:t>
      </w:r>
    </w:p>
    <w:p w14:paraId="026921D4">
      <w:pPr>
        <w:spacing w:line="580" w:lineRule="exact"/>
        <w:ind w:firstLine="640"/>
        <w:jc w:val="both"/>
      </w:pPr>
      <w:r>
        <w:rPr>
          <w:rFonts w:ascii="仿宋_GB2312" w:hAnsi="仿宋_GB2312" w:eastAsia="仿宋_GB2312"/>
          <w:b w:val="0"/>
          <w:sz w:val="32"/>
        </w:rPr>
        <w:t>3.卫生健康支出(类)行政事业单位医疗(款)行政单位医疗(项):支出决算数为15.15万元，比上年决算增加5.75万元，增长61.17%,主要原因是：一是本年在职人员工资基数调增，医疗缴费基数上涨，相应支出增加。二是本年在职人员增加，行政单位医疗较上年增加。</w:t>
      </w:r>
    </w:p>
    <w:p w14:paraId="7F303B2C">
      <w:pPr>
        <w:spacing w:line="580" w:lineRule="exact"/>
        <w:ind w:firstLine="640"/>
        <w:jc w:val="both"/>
      </w:pPr>
      <w:r>
        <w:rPr>
          <w:rFonts w:ascii="仿宋_GB2312" w:hAnsi="仿宋_GB2312" w:eastAsia="仿宋_GB2312"/>
          <w:b w:val="0"/>
          <w:sz w:val="32"/>
        </w:rPr>
        <w:t>4.卫生健康支出(类)行政事业单位医疗(款)公务员医疗补助(项):支出决算数为2.68万元，比上年决算增加0.83万元，增长44.86%,主要原因是：一是本年在职人员工资基数调增，公务员医疗补助上涨，相应支出增加。二是本年在职人员增加，公务员医疗补助较上年增加。</w:t>
      </w:r>
    </w:p>
    <w:p w14:paraId="095A3B86">
      <w:pPr>
        <w:spacing w:line="580" w:lineRule="exact"/>
        <w:ind w:firstLine="640"/>
        <w:jc w:val="both"/>
      </w:pPr>
      <w:r>
        <w:rPr>
          <w:rFonts w:ascii="仿宋_GB2312" w:hAnsi="仿宋_GB2312" w:eastAsia="仿宋_GB2312"/>
          <w:b w:val="0"/>
          <w:sz w:val="32"/>
        </w:rPr>
        <w:t>5.住房保障支出(类)住房改革支出(款)住房公积金(项):支出决算数为30.16万元，比上年决算增加14.34万元，增长90.64%,主要原因是：一是本年在职人员工资基数调增，公积金缴费基数上涨，相应支出增加。二是本年在职人员增加，住房公积金支出较上年增加。</w:t>
      </w:r>
    </w:p>
    <w:p w14:paraId="52618A1E">
      <w:pPr>
        <w:spacing w:line="580" w:lineRule="exact"/>
        <w:ind w:firstLine="640"/>
        <w:jc w:val="both"/>
      </w:pPr>
      <w:r>
        <w:rPr>
          <w:rFonts w:ascii="仿宋_GB2312" w:hAnsi="仿宋_GB2312" w:eastAsia="仿宋_GB2312"/>
          <w:b w:val="0"/>
          <w:sz w:val="32"/>
        </w:rPr>
        <w:t>6.灾害防治及应急管理支出(类)应急管理事务(款)行政运行(项):支出决算数为165.80万元，比上年决算增加61.14万元，增长58.42%,主要原因是：一是本年在职人员工资调增，导致相关人员经费较上年有所增加。二是本年新增在职人员，人员经费增加，导致经费较上年有所增加。</w:t>
      </w:r>
    </w:p>
    <w:p w14:paraId="5619BCB3">
      <w:pPr>
        <w:spacing w:line="580" w:lineRule="exact"/>
        <w:ind w:firstLine="640"/>
        <w:jc w:val="both"/>
      </w:pPr>
      <w:r>
        <w:rPr>
          <w:rFonts w:ascii="仿宋_GB2312" w:hAnsi="仿宋_GB2312" w:eastAsia="仿宋_GB2312"/>
          <w:b w:val="0"/>
          <w:sz w:val="32"/>
        </w:rPr>
        <w:t>7.灾害防治及应急管理支出(类)应急管理事务(款)灾害风险防治(项):支出决算数为420.00万元，比上年决算增加420.00万元，增长100.00%,主要原因是：新增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铅锌矿有限责任公司选矿厂尾矿库风险隐患治理项目（中央补助资金）资金。</w:t>
      </w:r>
    </w:p>
    <w:p w14:paraId="6B3E5BAE">
      <w:pPr>
        <w:spacing w:line="580" w:lineRule="exact"/>
        <w:ind w:firstLine="640"/>
        <w:jc w:val="both"/>
      </w:pPr>
      <w:r>
        <w:rPr>
          <w:rFonts w:ascii="仿宋_GB2312" w:hAnsi="仿宋_GB2312" w:eastAsia="仿宋_GB2312"/>
          <w:b w:val="0"/>
          <w:sz w:val="32"/>
        </w:rPr>
        <w:t>8.灾害防治及应急管理支出(类)应急管理事务(款)安全监管(项):支出决算数为0.00万元，比上年决算减少3.00万元，下降100.00%,主要原因是：减少安全生产执法检查项目。</w:t>
      </w:r>
    </w:p>
    <w:p w14:paraId="4F1F520C">
      <w:pPr>
        <w:spacing w:line="580" w:lineRule="exact"/>
        <w:ind w:firstLine="640"/>
        <w:jc w:val="both"/>
      </w:pPr>
      <w:r>
        <w:rPr>
          <w:rFonts w:ascii="仿宋_GB2312" w:hAnsi="仿宋_GB2312" w:eastAsia="仿宋_GB2312"/>
          <w:b w:val="0"/>
          <w:sz w:val="32"/>
        </w:rPr>
        <w:t>9.灾害防治及应急管理支出(类)应急管理事务(款)事业运行(项):支出决算数为104.33万元，比上年决算增加37.43万元，增长55.95%,主要原因是：一是本年在职人员工资调增，导致相关人员经费较上年有所增加。二是本年新增在职人员，人员经费增加，导致经费较上年有所增加。</w:t>
      </w:r>
    </w:p>
    <w:p w14:paraId="6AF82A69">
      <w:pPr>
        <w:spacing w:line="580" w:lineRule="exact"/>
        <w:ind w:firstLine="640"/>
        <w:jc w:val="both"/>
      </w:pPr>
      <w:r>
        <w:rPr>
          <w:rFonts w:ascii="仿宋_GB2312" w:hAnsi="仿宋_GB2312" w:eastAsia="仿宋_GB2312"/>
          <w:b w:val="0"/>
          <w:sz w:val="32"/>
        </w:rPr>
        <w:t>10.灾害防治及应急管理支出(类)应急管理事务(款)其他应急管理支出(项):支出决算数为0.00万元，比上年决算减少5.60万元，下降100.00%,主要原因是：减少应急管理综合行政执法制式服装和标志标识资金项目。</w:t>
      </w:r>
    </w:p>
    <w:p w14:paraId="57FC5702">
      <w:pPr>
        <w:spacing w:line="580" w:lineRule="exact"/>
        <w:ind w:firstLine="640"/>
        <w:jc w:val="both"/>
      </w:pPr>
      <w:r>
        <w:rPr>
          <w:rFonts w:ascii="仿宋_GB2312" w:hAnsi="仿宋_GB2312" w:eastAsia="仿宋_GB2312"/>
          <w:b w:val="0"/>
          <w:sz w:val="32"/>
        </w:rPr>
        <w:t>11.灾害防治及应急管理支出(类)消防救援事务(款)其他消防救援事务支出(项):支出决算数为118.01万元，比上年决算增加118.01万元，增长100.00%,主要原因是：新增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p>
    <w:p w14:paraId="06038311">
      <w:pPr>
        <w:spacing w:line="580" w:lineRule="exact"/>
        <w:ind w:firstLine="640"/>
        <w:jc w:val="both"/>
      </w:pPr>
      <w:r>
        <w:rPr>
          <w:rFonts w:ascii="仿宋_GB2312" w:hAnsi="仿宋_GB2312" w:eastAsia="仿宋_GB2312"/>
          <w:b w:val="0"/>
          <w:sz w:val="32"/>
        </w:rPr>
        <w:t>12.灾害防治及应急管理支出(类)自然灾害防治(款)其他自然灾害防治支出(项):支出决算数为0.00万元，比上年决算减少30.00万元，下降100.00%,主要原因是：减少2023年自治区特大防汛补助项目。</w:t>
      </w:r>
    </w:p>
    <w:p w14:paraId="42CC3430">
      <w:pPr>
        <w:spacing w:line="580" w:lineRule="exact"/>
        <w:ind w:firstLine="640"/>
        <w:jc w:val="both"/>
      </w:pPr>
      <w:r>
        <w:rPr>
          <w:rFonts w:ascii="仿宋_GB2312" w:hAnsi="仿宋_GB2312" w:eastAsia="仿宋_GB2312"/>
          <w:b w:val="0"/>
          <w:sz w:val="32"/>
        </w:rPr>
        <w:t>13.灾害防治及应急管理支出(类)其他灾害防治及应急管理支出(款)其他灾害防治及应急管理支出(项):支出决算数为16.06万元，比上年决算增加16.06万元，增长100.00%,主要原因是：增加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气象局人员绩效奖金经费。</w:t>
      </w:r>
    </w:p>
    <w:p w14:paraId="65D83713">
      <w:pPr>
        <w:spacing w:line="580" w:lineRule="exact"/>
        <w:ind w:firstLine="640"/>
        <w:jc w:val="both"/>
      </w:pPr>
      <w:r>
        <w:rPr>
          <w:rFonts w:ascii="仿宋_GB2312" w:hAnsi="仿宋_GB2312" w:eastAsia="仿宋_GB2312"/>
          <w:b w:val="0"/>
          <w:sz w:val="32"/>
        </w:rPr>
        <w:t>14.其他支出(类)其他支出(款)其他支出(项):支出决算数为7.00万元，比上年决算增加7.00万元，增长100.00%,主要原因是：增加2024年为民办实事经费。</w:t>
      </w:r>
    </w:p>
    <w:p w14:paraId="6B3FDAD2">
      <w:pPr>
        <w:spacing w:line="640" w:lineRule="exact"/>
        <w:ind w:firstLine="640"/>
        <w:jc w:val="both"/>
        <w:outlineLvl w:val="2"/>
      </w:pPr>
      <w:r>
        <w:rPr>
          <w:rFonts w:ascii="黑体" w:hAnsi="黑体" w:eastAsia="黑体"/>
          <w:sz w:val="32"/>
        </w:rPr>
        <w:t>六、一般公共预算财政拨款基本支出决算情况说明</w:t>
      </w:r>
    </w:p>
    <w:p w14:paraId="05378A72">
      <w:pPr>
        <w:spacing w:line="580" w:lineRule="exact"/>
        <w:ind w:firstLine="640"/>
        <w:jc w:val="both"/>
      </w:pPr>
      <w:r>
        <w:rPr>
          <w:rFonts w:ascii="仿宋_GB2312" w:hAnsi="仿宋_GB2312" w:eastAsia="仿宋_GB2312"/>
          <w:b w:val="0"/>
          <w:sz w:val="32"/>
        </w:rPr>
        <w:t>2024年度一般公共预算财政拨款基本支出371.81万元，其中：</w:t>
      </w:r>
      <w:r>
        <w:rPr>
          <w:rFonts w:ascii="仿宋_GB2312" w:hAnsi="仿宋_GB2312" w:eastAsia="仿宋_GB2312"/>
          <w:b/>
          <w:sz w:val="32"/>
        </w:rPr>
        <w:t>人员经费365.69万元，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35D3742C">
      <w:pPr>
        <w:spacing w:line="580" w:lineRule="exact"/>
        <w:ind w:firstLine="640"/>
        <w:jc w:val="both"/>
      </w:pPr>
      <w:r>
        <w:rPr>
          <w:rFonts w:ascii="仿宋_GB2312" w:hAnsi="仿宋_GB2312" w:eastAsia="仿宋_GB2312"/>
          <w:b/>
          <w:sz w:val="32"/>
        </w:rPr>
        <w:t>公用经费6.11万元，</w:t>
      </w:r>
      <w:r>
        <w:rPr>
          <w:rFonts w:ascii="仿宋_GB2312" w:hAnsi="仿宋_GB2312" w:eastAsia="仿宋_GB2312"/>
          <w:b w:val="0"/>
          <w:sz w:val="32"/>
        </w:rPr>
        <w:t>包括：办公费、邮电费、取暖费、公务用车运行维护费。</w:t>
      </w:r>
    </w:p>
    <w:p w14:paraId="623FCFD4">
      <w:pPr>
        <w:spacing w:line="640" w:lineRule="exact"/>
        <w:ind w:firstLine="640"/>
        <w:jc w:val="both"/>
        <w:outlineLvl w:val="2"/>
      </w:pPr>
      <w:r>
        <w:rPr>
          <w:rFonts w:ascii="黑体" w:hAnsi="黑体" w:eastAsia="黑体"/>
          <w:sz w:val="32"/>
        </w:rPr>
        <w:t>七、政府性基金预算财政拨款收入支出决算情况说明</w:t>
      </w:r>
    </w:p>
    <w:p w14:paraId="57C8DC5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4D4DB1">
      <w:pPr>
        <w:spacing w:line="640" w:lineRule="exact"/>
        <w:ind w:firstLine="640"/>
        <w:jc w:val="both"/>
        <w:outlineLvl w:val="2"/>
      </w:pPr>
      <w:r>
        <w:rPr>
          <w:rFonts w:ascii="黑体" w:hAnsi="黑体" w:eastAsia="黑体"/>
          <w:sz w:val="32"/>
        </w:rPr>
        <w:t>八、国有资本经营预算财政拨款收入支出决算情况说明</w:t>
      </w:r>
    </w:p>
    <w:p w14:paraId="6FB85AA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341181F">
      <w:pPr>
        <w:spacing w:line="640" w:lineRule="exact"/>
        <w:ind w:firstLine="640"/>
        <w:jc w:val="both"/>
        <w:outlineLvl w:val="2"/>
      </w:pPr>
      <w:r>
        <w:rPr>
          <w:rFonts w:ascii="黑体" w:hAnsi="黑体" w:eastAsia="黑体"/>
          <w:sz w:val="32"/>
        </w:rPr>
        <w:t>九、财政拨款“三公”经费支出决算情况说明</w:t>
      </w:r>
    </w:p>
    <w:p w14:paraId="431744EB">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我单位公务用车运行维护费与上年一致无变化。公务接待费支出0.00万元，占0.00%，比上年增加0.00万元，增长0.00%，主要原因是：2023年与2024年均未安排公务接待费支出。</w:t>
      </w:r>
    </w:p>
    <w:p w14:paraId="09FA7A28">
      <w:pPr>
        <w:spacing w:line="580" w:lineRule="exact"/>
        <w:ind w:firstLine="640"/>
        <w:jc w:val="both"/>
      </w:pPr>
      <w:r>
        <w:rPr>
          <w:rFonts w:ascii="仿宋_GB2312" w:hAnsi="仿宋_GB2312" w:eastAsia="仿宋_GB2312"/>
          <w:b/>
          <w:sz w:val="32"/>
        </w:rPr>
        <w:t>具体情况如下：</w:t>
      </w:r>
    </w:p>
    <w:p w14:paraId="78CA7AC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9C62EC">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01C8ED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A48F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5005631">
      <w:pPr>
        <w:spacing w:line="640" w:lineRule="exact"/>
        <w:ind w:firstLine="640"/>
        <w:jc w:val="both"/>
        <w:outlineLvl w:val="2"/>
      </w:pPr>
      <w:r>
        <w:rPr>
          <w:rFonts w:ascii="黑体" w:hAnsi="黑体" w:eastAsia="黑体"/>
          <w:sz w:val="32"/>
        </w:rPr>
        <w:t>十、其他重要事项的情况说明</w:t>
      </w:r>
    </w:p>
    <w:p w14:paraId="092536DC">
      <w:pPr>
        <w:spacing w:line="640" w:lineRule="exact"/>
        <w:ind w:firstLine="640"/>
        <w:jc w:val="both"/>
        <w:outlineLvl w:val="3"/>
      </w:pPr>
      <w:r>
        <w:rPr>
          <w:rFonts w:ascii="楷体_GB2312" w:hAnsi="楷体_GB2312" w:eastAsia="楷体_GB2312"/>
          <w:b/>
          <w:sz w:val="32"/>
        </w:rPr>
        <w:t>（一）机关运行经费及公用经费支出情况</w:t>
      </w:r>
    </w:p>
    <w:p w14:paraId="673276CF">
      <w:pPr>
        <w:spacing w:line="580" w:lineRule="exact"/>
        <w:ind w:firstLine="640"/>
        <w:jc w:val="both"/>
      </w:pPr>
      <w:r>
        <w:rPr>
          <w:rFonts w:ascii="仿宋_GB2312" w:hAnsi="仿宋_GB2312" w:eastAsia="仿宋_GB2312"/>
          <w:b w:val="0"/>
          <w:sz w:val="32"/>
        </w:rPr>
        <w:t>2024年度塔什库尔干塔吉克自治县应急管理局（行政单位和参照公务员法管理事业单位）机关运行经费支出6.11万元，比上年增加1.01万元，增长19.80%，主要原因是：本年业务量增加，公用经费增加。</w:t>
      </w:r>
    </w:p>
    <w:p w14:paraId="7208FB94">
      <w:pPr>
        <w:spacing w:line="640" w:lineRule="exact"/>
        <w:ind w:firstLine="640"/>
        <w:jc w:val="both"/>
        <w:outlineLvl w:val="3"/>
      </w:pPr>
      <w:r>
        <w:rPr>
          <w:rFonts w:ascii="楷体_GB2312" w:hAnsi="楷体_GB2312" w:eastAsia="楷体_GB2312"/>
          <w:b/>
          <w:sz w:val="32"/>
        </w:rPr>
        <w:t>（二）政府采购情况</w:t>
      </w:r>
    </w:p>
    <w:p w14:paraId="6A18C485">
      <w:pPr>
        <w:spacing w:line="580" w:lineRule="exact"/>
        <w:ind w:firstLine="640"/>
        <w:jc w:val="both"/>
      </w:pPr>
      <w:r>
        <w:rPr>
          <w:rFonts w:ascii="仿宋_GB2312" w:hAnsi="仿宋_GB2312" w:eastAsia="仿宋_GB2312"/>
          <w:b w:val="0"/>
          <w:sz w:val="32"/>
        </w:rPr>
        <w:t>2024年度政府采购支出总额1.56万元，其中：政府采购货物支出1.16万元、政府采购工程支出0.00万元、政府采购服务支出0.40万元。</w:t>
      </w:r>
    </w:p>
    <w:p w14:paraId="33DD5055">
      <w:pPr>
        <w:spacing w:line="580" w:lineRule="exact"/>
        <w:ind w:firstLine="640"/>
        <w:jc w:val="both"/>
      </w:pPr>
      <w:r>
        <w:rPr>
          <w:rFonts w:ascii="仿宋_GB2312" w:hAnsi="仿宋_GB2312" w:eastAsia="仿宋_GB2312"/>
          <w:b w:val="0"/>
          <w:sz w:val="32"/>
        </w:rPr>
        <w:t>授予中小企业合同金额1.45万元，占政府采购支出总额的92.95%，其中：授予小微企业合同金额1.45万元，占政府采购支出总额的92.95%。</w:t>
      </w:r>
    </w:p>
    <w:p w14:paraId="0DE4E54A">
      <w:pPr>
        <w:spacing w:line="640" w:lineRule="exact"/>
        <w:ind w:firstLine="640"/>
        <w:jc w:val="both"/>
        <w:outlineLvl w:val="3"/>
      </w:pPr>
      <w:r>
        <w:rPr>
          <w:rFonts w:ascii="楷体_GB2312" w:hAnsi="楷体_GB2312" w:eastAsia="楷体_GB2312"/>
          <w:b/>
          <w:sz w:val="32"/>
        </w:rPr>
        <w:t>（三）国有资产占用情况说明</w:t>
      </w:r>
    </w:p>
    <w:p w14:paraId="5AD00786">
      <w:pPr>
        <w:spacing w:line="580" w:lineRule="exact"/>
        <w:ind w:firstLine="640"/>
        <w:jc w:val="both"/>
      </w:pPr>
      <w:r>
        <w:rPr>
          <w:rFonts w:ascii="仿宋_GB2312" w:hAnsi="仿宋_GB2312" w:eastAsia="仿宋_GB2312"/>
          <w:b w:val="0"/>
          <w:sz w:val="32"/>
        </w:rPr>
        <w:t>截至2024年12月31日，房屋0.00平方米，价值0.00万元。车辆3辆，价值62.09万元，其中：副部（省）级及以上领导用车0辆、主要负责人用车0辆、机要通信用车0辆、应急保障用车1辆、执法执勤用车1辆、特种专业技术用车0辆、离退休干部服务用车0辆、其他用车1辆，其他用车主要是：一般公务用车。单价100万元（含）以上设备（不含车辆）0台（套）。</w:t>
      </w:r>
    </w:p>
    <w:p w14:paraId="2B5D1694">
      <w:pPr>
        <w:spacing w:line="640" w:lineRule="exact"/>
        <w:ind w:firstLine="640"/>
        <w:jc w:val="both"/>
        <w:outlineLvl w:val="2"/>
      </w:pPr>
      <w:r>
        <w:rPr>
          <w:rFonts w:ascii="黑体" w:hAnsi="黑体" w:eastAsia="黑体"/>
          <w:sz w:val="32"/>
        </w:rPr>
        <w:t>十一、预算绩效的情况说明</w:t>
      </w:r>
    </w:p>
    <w:p w14:paraId="759EAE1F">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932.87万元，实际执行总额932.87万元；预算绩效评价项目2个，全年预算数427.00万元，全年执行数427.00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508C8C1">
      <w:pPr>
        <w:spacing w:line="580" w:lineRule="exact"/>
        <w:ind w:firstLine="640"/>
        <w:jc w:val="both"/>
        <w:rPr>
          <w:rFonts w:ascii="仿宋_GB2312" w:hAnsi="仿宋_GB2312" w:eastAsia="仿宋_GB2312"/>
          <w:b w:val="0"/>
          <w:sz w:val="32"/>
        </w:r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2852CD">
        <w:tblPrEx>
          <w:tblCellMar>
            <w:top w:w="0" w:type="dxa"/>
            <w:left w:w="108" w:type="dxa"/>
            <w:bottom w:w="0" w:type="dxa"/>
            <w:right w:w="108" w:type="dxa"/>
          </w:tblCellMar>
        </w:tblPrEx>
        <w:tc>
          <w:tcPr>
            <w:tcW w:w="8847" w:type="dxa"/>
            <w:gridSpan w:val="9"/>
            <w:vAlign w:val="center"/>
          </w:tcPr>
          <w:p w14:paraId="0DB1C4AD">
            <w:pPr>
              <w:jc w:val="center"/>
            </w:pPr>
            <w:r>
              <w:rPr>
                <w:rFonts w:ascii="宋体" w:hAnsi="宋体" w:eastAsia="宋体"/>
                <w:sz w:val="24"/>
              </w:rPr>
              <w:t>单位整体支出绩效自评表</w:t>
            </w:r>
          </w:p>
        </w:tc>
      </w:tr>
      <w:tr w14:paraId="30289067">
        <w:tblPrEx>
          <w:tblCellMar>
            <w:top w:w="0" w:type="dxa"/>
            <w:left w:w="108" w:type="dxa"/>
            <w:bottom w:w="0" w:type="dxa"/>
            <w:right w:w="108" w:type="dxa"/>
          </w:tblCellMar>
        </w:tblPrEx>
        <w:tc>
          <w:tcPr>
            <w:tcW w:w="8847" w:type="dxa"/>
            <w:gridSpan w:val="9"/>
            <w:vAlign w:val="center"/>
          </w:tcPr>
          <w:p w14:paraId="29DD5C39">
            <w:pPr>
              <w:jc w:val="center"/>
            </w:pPr>
            <w:r>
              <w:rPr>
                <w:rFonts w:ascii="宋体" w:hAnsi="宋体" w:eastAsia="宋体"/>
                <w:sz w:val="24"/>
              </w:rPr>
              <w:t>（2024年度）</w:t>
            </w:r>
          </w:p>
        </w:tc>
      </w:tr>
      <w:tr w14:paraId="3FEA03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6AC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C9A787">
            <w:pPr>
              <w:jc w:val="center"/>
            </w:pPr>
            <w:r>
              <w:rPr>
                <w:rFonts w:ascii="宋体" w:hAnsi="宋体" w:eastAsia="宋体"/>
                <w:sz w:val="16"/>
              </w:rPr>
              <w:t>塔什库尔干塔吉克自治县应急管理局</w:t>
            </w:r>
          </w:p>
        </w:tc>
      </w:tr>
      <w:tr w14:paraId="0C79B1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0774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78D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32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948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C51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07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345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A52D">
            <w:pPr>
              <w:jc w:val="center"/>
            </w:pPr>
            <w:r>
              <w:rPr>
                <w:rFonts w:ascii="宋体" w:hAnsi="宋体" w:eastAsia="宋体"/>
                <w:sz w:val="16"/>
              </w:rPr>
              <w:t>得分</w:t>
            </w:r>
          </w:p>
        </w:tc>
      </w:tr>
      <w:tr w14:paraId="492621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1A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FA4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4FAC8">
            <w:pPr>
              <w:jc w:val="center"/>
            </w:pPr>
            <w:r>
              <w:rPr>
                <w:rFonts w:ascii="宋体" w:hAnsi="宋体" w:eastAsia="宋体"/>
                <w:sz w:val="16"/>
              </w:rPr>
              <w:t>344.16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B76B">
            <w:pPr>
              <w:jc w:val="center"/>
            </w:pPr>
            <w:r>
              <w:rPr>
                <w:rFonts w:ascii="宋体" w:hAnsi="宋体" w:eastAsia="宋体"/>
                <w:sz w:val="16"/>
              </w:rPr>
              <w:t>932.87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1292">
            <w:pPr>
              <w:jc w:val="center"/>
            </w:pPr>
            <w:r>
              <w:rPr>
                <w:rFonts w:ascii="宋体" w:hAnsi="宋体" w:eastAsia="宋体"/>
                <w:sz w:val="16"/>
              </w:rPr>
              <w:t>932.87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9D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81E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D2EC">
            <w:pPr>
              <w:jc w:val="center"/>
            </w:pPr>
            <w:r>
              <w:rPr>
                <w:rFonts w:ascii="宋体" w:hAnsi="宋体" w:eastAsia="宋体"/>
                <w:sz w:val="16"/>
              </w:rPr>
              <w:t>10</w:t>
            </w:r>
          </w:p>
        </w:tc>
      </w:tr>
      <w:tr w14:paraId="07CF99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522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298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74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8B2D">
            <w:pPr>
              <w:jc w:val="center"/>
            </w:pPr>
            <w:r>
              <w:rPr>
                <w:rFonts w:ascii="宋体" w:hAnsi="宋体" w:eastAsia="宋体"/>
                <w:sz w:val="16"/>
              </w:rPr>
              <w:t>508.57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6156">
            <w:pPr>
              <w:jc w:val="center"/>
            </w:pPr>
            <w:r>
              <w:rPr>
                <w:rFonts w:ascii="宋体" w:hAnsi="宋体" w:eastAsia="宋体"/>
                <w:sz w:val="16"/>
              </w:rPr>
              <w:t>508.57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18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BB2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9F80">
            <w:pPr>
              <w:jc w:val="center"/>
            </w:pPr>
            <w:r>
              <w:rPr>
                <w:rFonts w:ascii="宋体" w:hAnsi="宋体" w:eastAsia="宋体"/>
                <w:sz w:val="16"/>
              </w:rPr>
              <w:t>—</w:t>
            </w:r>
          </w:p>
        </w:tc>
      </w:tr>
      <w:tr w14:paraId="4B4860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10A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6C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2DB3">
            <w:pPr>
              <w:jc w:val="center"/>
            </w:pPr>
            <w:r>
              <w:rPr>
                <w:rFonts w:ascii="宋体" w:hAnsi="宋体" w:eastAsia="宋体"/>
                <w:sz w:val="16"/>
              </w:rPr>
              <w:t>344.16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9277F">
            <w:pPr>
              <w:jc w:val="center"/>
            </w:pPr>
            <w:r>
              <w:rPr>
                <w:rFonts w:ascii="宋体" w:hAnsi="宋体" w:eastAsia="宋体"/>
                <w:sz w:val="16"/>
              </w:rPr>
              <w:t>424.30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6A85">
            <w:pPr>
              <w:jc w:val="center"/>
            </w:pPr>
            <w:r>
              <w:rPr>
                <w:rFonts w:ascii="宋体" w:hAnsi="宋体" w:eastAsia="宋体"/>
                <w:sz w:val="16"/>
              </w:rPr>
              <w:t>424.30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9B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0D0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C3D3">
            <w:pPr>
              <w:jc w:val="center"/>
            </w:pPr>
            <w:r>
              <w:rPr>
                <w:rFonts w:ascii="宋体" w:hAnsi="宋体" w:eastAsia="宋体"/>
                <w:sz w:val="16"/>
              </w:rPr>
              <w:t>—</w:t>
            </w:r>
          </w:p>
        </w:tc>
      </w:tr>
      <w:tr w14:paraId="7AE70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A5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2D1C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8F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C97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47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F0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4B2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9429">
            <w:pPr>
              <w:jc w:val="center"/>
            </w:pPr>
            <w:r>
              <w:rPr>
                <w:rFonts w:ascii="宋体" w:hAnsi="宋体" w:eastAsia="宋体"/>
                <w:sz w:val="16"/>
              </w:rPr>
              <w:t>—</w:t>
            </w:r>
          </w:p>
        </w:tc>
      </w:tr>
      <w:tr w14:paraId="62EDB5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A2DF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9F0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B74E1">
            <w:pPr>
              <w:jc w:val="center"/>
              <w:rPr>
                <w:rFonts w:hint="eastAsia" w:eastAsia="宋体"/>
                <w:lang w:eastAsia="zh-CN"/>
              </w:rPr>
            </w:pPr>
            <w:r>
              <w:rPr>
                <w:rFonts w:hint="eastAsia" w:ascii="宋体" w:hAnsi="宋体"/>
                <w:sz w:val="16"/>
                <w:lang w:eastAsia="zh-CN"/>
              </w:rPr>
              <w:t>实际完成情况</w:t>
            </w:r>
          </w:p>
        </w:tc>
      </w:tr>
      <w:tr w14:paraId="46348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7BC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FE6C5">
            <w:pPr>
              <w:jc w:val="both"/>
            </w:pPr>
            <w:r>
              <w:rPr>
                <w:rFonts w:ascii="宋体" w:hAnsi="宋体" w:eastAsia="宋体"/>
                <w:sz w:val="16"/>
              </w:rPr>
              <w:t>1.深入学习习近平新时代</w:t>
            </w:r>
            <w:r>
              <w:rPr>
                <w:rFonts w:hint="eastAsia" w:ascii="宋体" w:hAnsi="宋体"/>
                <w:sz w:val="16"/>
                <w:lang w:eastAsia="zh-CN"/>
              </w:rPr>
              <w:t>中国特色社会主义</w:t>
            </w:r>
            <w:r>
              <w:rPr>
                <w:rFonts w:ascii="宋体" w:hAnsi="宋体" w:eastAsia="宋体"/>
                <w:sz w:val="16"/>
              </w:rPr>
              <w:t>思想，</w:t>
            </w:r>
            <w:r>
              <w:rPr>
                <w:rFonts w:hint="eastAsia" w:ascii="宋体" w:hAnsi="宋体"/>
                <w:sz w:val="16"/>
                <w:lang w:eastAsia="zh-CN"/>
              </w:rPr>
              <w:t>党的二十大精神、</w:t>
            </w:r>
            <w:r>
              <w:rPr>
                <w:rFonts w:ascii="宋体" w:hAnsi="宋体" w:eastAsia="宋体"/>
                <w:sz w:val="16"/>
              </w:rPr>
              <w:t>党章等</w:t>
            </w:r>
            <w:r>
              <w:rPr>
                <w:rFonts w:hint="eastAsia" w:ascii="宋体" w:hAnsi="宋体"/>
                <w:sz w:val="16"/>
                <w:lang w:eastAsia="zh-CN"/>
              </w:rPr>
              <w:t>系列重要讲话精神</w:t>
            </w:r>
            <w:r>
              <w:rPr>
                <w:rFonts w:ascii="宋体" w:hAnsi="宋体" w:eastAsia="宋体"/>
                <w:sz w:val="16"/>
              </w:rPr>
              <w:t>，落实党建工作责任制。</w:t>
            </w:r>
            <w:r>
              <w:rPr>
                <w:rFonts w:ascii="宋体" w:hAnsi="宋体" w:eastAsia="宋体"/>
                <w:sz w:val="16"/>
              </w:rPr>
              <w:br w:type="textWrapping"/>
            </w:r>
            <w:r>
              <w:rPr>
                <w:rFonts w:ascii="宋体" w:hAnsi="宋体" w:eastAsia="宋体"/>
                <w:sz w:val="16"/>
              </w:rPr>
              <w:t>2.细化部署安全生产各项工作。一是高度重视安全生产隐患排查专项整治工作。二是狠抓行业部门监管责任落实。</w:t>
            </w:r>
            <w:r>
              <w:rPr>
                <w:rFonts w:ascii="宋体" w:hAnsi="宋体" w:eastAsia="宋体"/>
                <w:sz w:val="16"/>
              </w:rPr>
              <w:br w:type="textWrapping"/>
            </w:r>
            <w:r>
              <w:rPr>
                <w:rFonts w:ascii="宋体" w:hAnsi="宋体" w:eastAsia="宋体"/>
                <w:sz w:val="16"/>
              </w:rPr>
              <w:t>3.督促指导好生产经营单位开展主要负责人和从业人员教育培训工作。提高从业人员安全素质，降低从业人员不安全行为导致事故发生率。</w:t>
            </w:r>
            <w:r>
              <w:rPr>
                <w:rFonts w:ascii="宋体" w:hAnsi="宋体" w:eastAsia="宋体"/>
                <w:sz w:val="16"/>
              </w:rPr>
              <w:br w:type="textWrapping"/>
            </w:r>
            <w:r>
              <w:rPr>
                <w:rFonts w:ascii="宋体" w:hAnsi="宋体" w:eastAsia="宋体"/>
                <w:sz w:val="16"/>
              </w:rPr>
              <w:t>4.扎实开展安全生产隐患专项整治情况。坚持每月对各乡镇、各部门安全生产专项排查情况进行调度，确保各项隐患整治率达到100%。</w:t>
            </w:r>
            <w:r>
              <w:rPr>
                <w:rFonts w:ascii="宋体" w:hAnsi="宋体" w:eastAsia="宋体"/>
                <w:sz w:val="16"/>
              </w:rPr>
              <w:br w:type="textWrapping"/>
            </w:r>
            <w:r>
              <w:rPr>
                <w:rFonts w:ascii="宋体" w:hAnsi="宋体" w:eastAsia="宋体"/>
                <w:sz w:val="16"/>
              </w:rPr>
              <w:t>5.加大执法力度保障安全生产平稳有序。对4家重点企业实施年度全覆盖监管执法，每个企业年度检查不少于6次；对6家一般企业按年度1次进行检查。</w:t>
            </w:r>
            <w:r>
              <w:rPr>
                <w:rFonts w:ascii="宋体" w:hAnsi="宋体" w:eastAsia="宋体"/>
                <w:sz w:val="16"/>
              </w:rPr>
              <w:br w:type="textWrapping"/>
            </w:r>
            <w:r>
              <w:rPr>
                <w:rFonts w:ascii="宋体" w:hAnsi="宋体" w:eastAsia="宋体"/>
                <w:sz w:val="16"/>
              </w:rPr>
              <w:t>6.加强预报预警，积极开展综合会商研判。扎实做好监测预报预警及信息共享互通，定期召开会商研判会议，督促指导各相关单位、乡镇做好防范工作。</w:t>
            </w:r>
            <w:r>
              <w:rPr>
                <w:rFonts w:ascii="宋体" w:hAnsi="宋体" w:eastAsia="宋体"/>
                <w:sz w:val="16"/>
              </w:rPr>
              <w:br w:type="textWrapping"/>
            </w:r>
            <w:r>
              <w:rPr>
                <w:rFonts w:ascii="宋体" w:hAnsi="宋体" w:eastAsia="宋体"/>
                <w:sz w:val="16"/>
              </w:rPr>
              <w:t>7.健全完善各类灾害应急预案，常态化开展应急演练。制定2024年演练计划，拟于上半年和下半年各开展1次地震双盲演练和实战演练，组织各乡镇、县森林草原防灭火指挥部、防汛抗旱指挥部有关成员单位于上半年各开展1次综合实战演练。</w:t>
            </w:r>
            <w:r>
              <w:rPr>
                <w:rFonts w:ascii="宋体" w:hAnsi="宋体" w:eastAsia="宋体"/>
                <w:sz w:val="16"/>
              </w:rPr>
              <w:br w:type="textWrapping"/>
            </w:r>
            <w:r>
              <w:rPr>
                <w:rFonts w:ascii="宋体" w:hAnsi="宋体" w:eastAsia="宋体"/>
                <w:sz w:val="16"/>
              </w:rPr>
              <w:t>8.加强应急救援队伍建设。抓好应急救援队伍的培育和发展，加强人员日常培训和演练，切实达到贴近实战、锻炼队伍、检验预案的目的。</w:t>
            </w:r>
            <w:r>
              <w:rPr>
                <w:rFonts w:ascii="宋体" w:hAnsi="宋体" w:eastAsia="宋体"/>
                <w:sz w:val="16"/>
              </w:rPr>
              <w:br w:type="textWrapping"/>
            </w:r>
            <w:r>
              <w:rPr>
                <w:rFonts w:ascii="宋体" w:hAnsi="宋体" w:eastAsia="宋体"/>
                <w:sz w:val="16"/>
              </w:rPr>
              <w:t>9.认真抓好宣传工作。大力普及安全生产、防灾减灾专业知识和技能，利用入户走访、周一升国旗等方式开展系列宣传、演练活动，营造良好的舆论氛围，提高群众自救互救意识。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BF44E">
            <w:pPr>
              <w:jc w:val="both"/>
            </w:pPr>
            <w:r>
              <w:rPr>
                <w:rFonts w:ascii="宋体" w:hAnsi="宋体" w:eastAsia="宋体"/>
                <w:sz w:val="16"/>
              </w:rPr>
              <w:t>2024年,深入学习习近平新时代</w:t>
            </w:r>
            <w:r>
              <w:rPr>
                <w:rFonts w:hint="eastAsia" w:ascii="宋体" w:hAnsi="宋体"/>
                <w:sz w:val="16"/>
                <w:lang w:eastAsia="zh-CN"/>
              </w:rPr>
              <w:t>中国特色社会主义</w:t>
            </w:r>
            <w:r>
              <w:rPr>
                <w:rFonts w:ascii="宋体" w:hAnsi="宋体" w:eastAsia="宋体"/>
                <w:sz w:val="16"/>
              </w:rPr>
              <w:t>思想，</w:t>
            </w:r>
            <w:r>
              <w:rPr>
                <w:rFonts w:hint="eastAsia" w:ascii="宋体" w:hAnsi="宋体"/>
                <w:sz w:val="16"/>
                <w:lang w:eastAsia="zh-CN"/>
              </w:rPr>
              <w:t>党的二十大精神、</w:t>
            </w:r>
            <w:r>
              <w:rPr>
                <w:rFonts w:ascii="宋体" w:hAnsi="宋体" w:eastAsia="宋体"/>
                <w:sz w:val="16"/>
              </w:rPr>
              <w:t>党章等</w:t>
            </w:r>
            <w:r>
              <w:rPr>
                <w:rFonts w:hint="eastAsia" w:ascii="宋体" w:hAnsi="宋体"/>
                <w:sz w:val="16"/>
                <w:lang w:eastAsia="zh-CN"/>
              </w:rPr>
              <w:t>系列重要讲话精神</w:t>
            </w:r>
            <w:r>
              <w:rPr>
                <w:rFonts w:ascii="宋体" w:hAnsi="宋体" w:eastAsia="宋体"/>
                <w:sz w:val="16"/>
              </w:rPr>
              <w:t>，落实党建工作责任制;细化部署安全生产各项工作。一是高度重视安全生产隐患排查专项整治工作。二是狠抓行业部门监管责任落实;督促指导好生产经营单位开展主要负责人和从业人员教育培训工作。提高从业人员安全素质，降低从业人员不安全行为导致事故发生率;扎实开展安全生产隐患专项整治情况。坚持每月对各乡镇、各部门安全生产专项排查情况进行调度，确保各项隐患整治率达到100%;2024年具体完成的重要工作有：规范生产隐患整治率达到了100%，生产经营单位主要负责人和从业人员教育培训率达到了100%，完成了16次重点监管执法，完成了4次一般监管执法，开展了4次各类应急演练和实战演练。</w:t>
            </w:r>
          </w:p>
        </w:tc>
      </w:tr>
      <w:tr w14:paraId="76012A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17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BE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13F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D71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4C3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99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AA3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59E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A894A">
            <w:pPr>
              <w:jc w:val="center"/>
            </w:pPr>
            <w:r>
              <w:rPr>
                <w:rFonts w:ascii="宋体" w:hAnsi="宋体" w:eastAsia="宋体"/>
                <w:sz w:val="16"/>
              </w:rPr>
              <w:t>得分</w:t>
            </w:r>
          </w:p>
        </w:tc>
      </w:tr>
      <w:tr w14:paraId="40B555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5BB6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7840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27D9C">
            <w:pPr>
              <w:jc w:val="center"/>
            </w:pPr>
            <w:r>
              <w:rPr>
                <w:rFonts w:ascii="宋体" w:hAnsi="宋体" w:eastAsia="宋体"/>
                <w:sz w:val="16"/>
              </w:rPr>
              <w:t>规范生产隐患整治率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8C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23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75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4A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F7C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6DC1">
            <w:pPr>
              <w:jc w:val="center"/>
            </w:pPr>
            <w:r>
              <w:rPr>
                <w:rFonts w:ascii="宋体" w:hAnsi="宋体" w:eastAsia="宋体"/>
                <w:sz w:val="16"/>
              </w:rPr>
              <w:t>20</w:t>
            </w:r>
          </w:p>
        </w:tc>
      </w:tr>
      <w:tr w14:paraId="7D6FD2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625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9A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FB2AE">
            <w:pPr>
              <w:jc w:val="center"/>
            </w:pPr>
            <w:r>
              <w:rPr>
                <w:rFonts w:ascii="宋体" w:hAnsi="宋体" w:eastAsia="宋体"/>
                <w:sz w:val="16"/>
              </w:rPr>
              <w:t>生产经营单位主要负责人和从业人员教育培训率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DA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A4B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343F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24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669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41263">
            <w:pPr>
              <w:jc w:val="center"/>
            </w:pPr>
            <w:r>
              <w:rPr>
                <w:rFonts w:ascii="宋体" w:hAnsi="宋体" w:eastAsia="宋体"/>
                <w:sz w:val="16"/>
              </w:rPr>
              <w:t>15</w:t>
            </w:r>
          </w:p>
        </w:tc>
      </w:tr>
      <w:tr w14:paraId="5880E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A01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B7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DC05">
            <w:pPr>
              <w:jc w:val="center"/>
            </w:pPr>
            <w:r>
              <w:rPr>
                <w:rFonts w:ascii="宋体" w:hAnsi="宋体" w:eastAsia="宋体"/>
                <w:sz w:val="16"/>
              </w:rPr>
              <w:t>重点监管执法次数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DCE0">
            <w:pPr>
              <w:jc w:val="center"/>
            </w:pPr>
            <w:r>
              <w:rPr>
                <w:rFonts w:ascii="宋体" w:hAnsi="宋体" w:eastAsia="宋体"/>
                <w:sz w:val="16"/>
              </w:rPr>
              <w:t>&gt;=16次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7C4D4">
            <w:pPr>
              <w:jc w:val="center"/>
            </w:pPr>
            <w:r>
              <w:rPr>
                <w:rFonts w:ascii="宋体" w:hAnsi="宋体" w:eastAsia="宋体"/>
                <w:sz w:val="16"/>
              </w:rPr>
              <w:t>2024年安全生产执法计划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8D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6194">
            <w:pPr>
              <w:jc w:val="center"/>
            </w:pPr>
            <w:r>
              <w:rPr>
                <w:rFonts w:ascii="宋体" w:hAnsi="宋体" w:eastAsia="宋体"/>
                <w:sz w:val="16"/>
              </w:rPr>
              <w:t>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C02C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B760">
            <w:pPr>
              <w:jc w:val="center"/>
            </w:pPr>
            <w:r>
              <w:rPr>
                <w:rFonts w:ascii="宋体" w:hAnsi="宋体" w:eastAsia="宋体"/>
                <w:sz w:val="16"/>
              </w:rPr>
              <w:t>20</w:t>
            </w:r>
          </w:p>
        </w:tc>
      </w:tr>
      <w:tr w14:paraId="4D86E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6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4B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3F5A">
            <w:pPr>
              <w:jc w:val="center"/>
            </w:pPr>
            <w:r>
              <w:rPr>
                <w:rFonts w:ascii="宋体" w:hAnsi="宋体" w:eastAsia="宋体"/>
                <w:sz w:val="16"/>
              </w:rPr>
              <w:t>一般监管执法次数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C610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13B5">
            <w:pPr>
              <w:jc w:val="center"/>
            </w:pPr>
            <w:r>
              <w:rPr>
                <w:rFonts w:ascii="宋体" w:hAnsi="宋体" w:eastAsia="宋体"/>
                <w:sz w:val="16"/>
              </w:rPr>
              <w:t>2024年安全生产执法计划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1A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FC9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24ED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3E39">
            <w:pPr>
              <w:jc w:val="center"/>
            </w:pPr>
            <w:r>
              <w:rPr>
                <w:rFonts w:ascii="宋体" w:hAnsi="宋体" w:eastAsia="宋体"/>
                <w:sz w:val="16"/>
              </w:rPr>
              <w:t>15</w:t>
            </w:r>
          </w:p>
        </w:tc>
      </w:tr>
      <w:tr w14:paraId="1D051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938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978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4C5C">
            <w:pPr>
              <w:jc w:val="center"/>
            </w:pPr>
            <w:r>
              <w:rPr>
                <w:rFonts w:ascii="宋体" w:hAnsi="宋体" w:eastAsia="宋体"/>
                <w:sz w:val="16"/>
              </w:rPr>
              <w:t>开展各类应急演练和实战演练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9A9E">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99E6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C2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3EF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1415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AB28A">
            <w:pPr>
              <w:jc w:val="center"/>
            </w:pPr>
            <w:r>
              <w:rPr>
                <w:rFonts w:ascii="宋体" w:hAnsi="宋体" w:eastAsia="宋体"/>
                <w:sz w:val="16"/>
              </w:rPr>
              <w:t>20</w:t>
            </w:r>
          </w:p>
        </w:tc>
      </w:tr>
    </w:tbl>
    <w:p w14:paraId="177883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958242D">
        <w:tblPrEx>
          <w:tblCellMar>
            <w:top w:w="0" w:type="dxa"/>
            <w:left w:w="108" w:type="dxa"/>
            <w:bottom w:w="0" w:type="dxa"/>
            <w:right w:w="108" w:type="dxa"/>
          </w:tblCellMar>
        </w:tblPrEx>
        <w:tc>
          <w:tcPr>
            <w:tcW w:w="8848" w:type="dxa"/>
            <w:gridSpan w:val="14"/>
            <w:vAlign w:val="center"/>
          </w:tcPr>
          <w:p w14:paraId="033799E1">
            <w:pPr>
              <w:jc w:val="center"/>
            </w:pPr>
            <w:r>
              <w:rPr>
                <w:rFonts w:ascii="宋体" w:hAnsi="宋体" w:eastAsia="宋体"/>
                <w:sz w:val="24"/>
              </w:rPr>
              <w:t>项目支出绩效自评表</w:t>
            </w:r>
          </w:p>
        </w:tc>
      </w:tr>
      <w:tr w14:paraId="6556A3A6">
        <w:tblPrEx>
          <w:tblCellMar>
            <w:top w:w="0" w:type="dxa"/>
            <w:left w:w="108" w:type="dxa"/>
            <w:bottom w:w="0" w:type="dxa"/>
            <w:right w:w="108" w:type="dxa"/>
          </w:tblCellMar>
        </w:tblPrEx>
        <w:tc>
          <w:tcPr>
            <w:tcW w:w="8848" w:type="dxa"/>
            <w:gridSpan w:val="14"/>
            <w:vAlign w:val="center"/>
          </w:tcPr>
          <w:p w14:paraId="21E85624">
            <w:pPr>
              <w:jc w:val="center"/>
            </w:pPr>
            <w:r>
              <w:rPr>
                <w:rFonts w:ascii="宋体" w:hAnsi="宋体" w:eastAsia="宋体"/>
                <w:sz w:val="24"/>
              </w:rPr>
              <w:t>(2024年度)</w:t>
            </w:r>
          </w:p>
        </w:tc>
      </w:tr>
      <w:tr w14:paraId="108EE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EF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1FE8EB">
            <w:pPr>
              <w:jc w:val="center"/>
            </w:pPr>
            <w:r>
              <w:rPr>
                <w:rFonts w:ascii="宋体" w:hAnsi="宋体" w:eastAsia="宋体"/>
                <w:sz w:val="16"/>
              </w:rPr>
              <w:t>2024为民办事工作经费项目</w:t>
            </w:r>
          </w:p>
        </w:tc>
      </w:tr>
      <w:tr w14:paraId="6BAEA1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E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E44E2">
            <w:pPr>
              <w:jc w:val="center"/>
            </w:pPr>
            <w:r>
              <w:rPr>
                <w:rFonts w:ascii="宋体" w:hAnsi="宋体" w:eastAsia="宋体"/>
                <w:sz w:val="16"/>
              </w:rPr>
              <w:t>塔什库尔干塔吉克自治县应急管理局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F5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3D5D7">
            <w:pPr>
              <w:jc w:val="center"/>
            </w:pPr>
            <w:r>
              <w:rPr>
                <w:rFonts w:ascii="宋体" w:hAnsi="宋体" w:eastAsia="宋体"/>
                <w:sz w:val="16"/>
              </w:rPr>
              <w:t>塔什库尔干塔吉克自治县应急管理局</w:t>
            </w:r>
          </w:p>
        </w:tc>
      </w:tr>
      <w:tr w14:paraId="1C7F7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D8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000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17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0E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D9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6F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5D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C564">
            <w:pPr>
              <w:jc w:val="center"/>
            </w:pPr>
            <w:r>
              <w:rPr>
                <w:rFonts w:ascii="宋体" w:hAnsi="宋体" w:eastAsia="宋体"/>
                <w:sz w:val="16"/>
              </w:rPr>
              <w:t>得分</w:t>
            </w:r>
          </w:p>
        </w:tc>
      </w:tr>
      <w:tr w14:paraId="0D908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4D9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3C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FB9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026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69E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8E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2A2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6639">
            <w:pPr>
              <w:jc w:val="center"/>
            </w:pPr>
            <w:r>
              <w:rPr>
                <w:rFonts w:ascii="宋体" w:hAnsi="宋体" w:eastAsia="宋体"/>
                <w:sz w:val="16"/>
              </w:rPr>
              <w:t>10.00分</w:t>
            </w:r>
          </w:p>
        </w:tc>
      </w:tr>
      <w:tr w14:paraId="6360D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31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11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A49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E5E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395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11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1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ABC">
            <w:pPr>
              <w:jc w:val="center"/>
            </w:pPr>
            <w:r>
              <w:rPr>
                <w:rFonts w:ascii="宋体" w:hAnsi="宋体" w:eastAsia="宋体"/>
                <w:sz w:val="16"/>
              </w:rPr>
              <w:t>—</w:t>
            </w:r>
          </w:p>
        </w:tc>
      </w:tr>
      <w:tr w14:paraId="486BC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3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84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0A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6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65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09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8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9649">
            <w:pPr>
              <w:jc w:val="center"/>
            </w:pPr>
            <w:r>
              <w:rPr>
                <w:rFonts w:ascii="宋体" w:hAnsi="宋体" w:eastAsia="宋体"/>
                <w:sz w:val="16"/>
              </w:rPr>
              <w:t>—</w:t>
            </w:r>
          </w:p>
        </w:tc>
      </w:tr>
      <w:tr w14:paraId="0E544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ACA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790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3E976">
            <w:pPr>
              <w:jc w:val="center"/>
            </w:pPr>
            <w:r>
              <w:rPr>
                <w:rFonts w:ascii="宋体" w:hAnsi="宋体" w:eastAsia="宋体"/>
                <w:sz w:val="16"/>
              </w:rPr>
              <w:t>实际完成情况</w:t>
            </w:r>
          </w:p>
        </w:tc>
      </w:tr>
      <w:tr w14:paraId="7017B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27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2EF80">
            <w:pPr>
              <w:jc w:val="both"/>
            </w:pPr>
            <w:r>
              <w:rPr>
                <w:rFonts w:ascii="宋体" w:hAnsi="宋体" w:eastAsia="宋体"/>
                <w:sz w:val="16"/>
              </w:rPr>
              <w:t>2024为民办实事工作经费用于在访贫问苦、改善民生、支持村级产业发展、开展农牧民就业培训、补充村级组织工作经费等方面发挥支持作用，一是克其克同村</w:t>
            </w:r>
            <w:r>
              <w:rPr>
                <w:rFonts w:hint="eastAsia" w:ascii="宋体" w:hAnsi="宋体"/>
                <w:sz w:val="16"/>
                <w:lang w:eastAsia="zh-CN"/>
              </w:rPr>
              <w:t>为民办实事</w:t>
            </w:r>
            <w:r>
              <w:rPr>
                <w:rFonts w:ascii="宋体" w:hAnsi="宋体" w:eastAsia="宋体"/>
                <w:sz w:val="16"/>
              </w:rPr>
              <w:t>工作队访贫问苦。二是为群众提供夜间出行加快亮化，提升汛期道路安全等问题。三是为村级党组织正常运转，提升村党组织战斗堡垒作用。四是统筹基层各方力量服务总目标、有效落实维护社会稳定、建强基层党组织等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68C3A">
            <w:pPr>
              <w:jc w:val="both"/>
            </w:pPr>
            <w:r>
              <w:rPr>
                <w:rFonts w:ascii="宋体" w:hAnsi="宋体" w:eastAsia="宋体"/>
                <w:sz w:val="16"/>
              </w:rPr>
              <w:t>项目实际支出7万元，用于支付塔什库尔干塔吉克自治县应急管理局包联的大同乡克其克同村的</w:t>
            </w:r>
            <w:r>
              <w:rPr>
                <w:rFonts w:hint="eastAsia" w:ascii="宋体" w:hAnsi="宋体"/>
                <w:sz w:val="16"/>
                <w:lang w:eastAsia="zh-CN"/>
              </w:rPr>
              <w:t>为民办实事</w:t>
            </w:r>
            <w:r>
              <w:rPr>
                <w:rFonts w:ascii="宋体" w:hAnsi="宋体" w:eastAsia="宋体"/>
                <w:sz w:val="16"/>
              </w:rPr>
              <w:t>工作队的为民办实事费用，主要用于访贫问苦、改善民生、支持村级产业发展、开展农牧民就业培训、补充村级组织工作经费等方面，一是访贫问苦3次，为群众送温暖。二是加装了太阳能路灯66盏，使村级亮化覆盖率达到了90%，便利了群众夜间出行，保障了群众夜间出行安全。三是购买了5000元的柴油，提升了汛期出行安全等问题。四是购买了10000元的办公用电，保障了村级党组织的正常运转，提升了村党组织战斗堡垒作用。四是慰问四老人员2次，提升了四老人员的幸福感和获得感，资金拨付及时率达到了100%，使受益村民满意度达到了94.90%。</w:t>
            </w:r>
          </w:p>
        </w:tc>
      </w:tr>
      <w:tr w14:paraId="6F0E6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D951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8E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4B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46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62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33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13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40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8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02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51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D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9401">
            <w:pPr>
              <w:jc w:val="center"/>
            </w:pPr>
            <w:r>
              <w:rPr>
                <w:rFonts w:ascii="宋体" w:hAnsi="宋体" w:eastAsia="宋体"/>
                <w:sz w:val="16"/>
              </w:rPr>
              <w:t>偏差原因分析及改进措施</w:t>
            </w:r>
          </w:p>
        </w:tc>
      </w:tr>
      <w:tr w14:paraId="53565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7E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F15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A0F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B613">
            <w:pPr>
              <w:jc w:val="center"/>
            </w:pPr>
            <w:r>
              <w:rPr>
                <w:rFonts w:ascii="宋体" w:hAnsi="宋体" w:eastAsia="宋体"/>
                <w:sz w:val="16"/>
              </w:rPr>
              <w:t>访贫问苦次数（次）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2B1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A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8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72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6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9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F0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7F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C75C">
            <w:pPr>
              <w:jc w:val="center"/>
            </w:pPr>
          </w:p>
        </w:tc>
      </w:tr>
      <w:tr w14:paraId="25980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7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AD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F6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26EE">
            <w:pPr>
              <w:jc w:val="center"/>
            </w:pPr>
            <w:r>
              <w:rPr>
                <w:rFonts w:ascii="宋体" w:hAnsi="宋体" w:eastAsia="宋体"/>
                <w:sz w:val="16"/>
              </w:rPr>
              <w:t>购买太阳能照明灯（盏）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8DB7">
            <w:pPr>
              <w:jc w:val="center"/>
            </w:pPr>
            <w:r>
              <w:rPr>
                <w:rFonts w:ascii="宋体" w:hAnsi="宋体" w:eastAsia="宋体"/>
                <w:sz w:val="16"/>
              </w:rPr>
              <w:t>&gt;=66盏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5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6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C7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9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6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2D1A">
            <w:pPr>
              <w:jc w:val="center"/>
            </w:pPr>
            <w:r>
              <w:rPr>
                <w:rFonts w:ascii="宋体" w:hAnsi="宋体" w:eastAsia="宋体"/>
                <w:sz w:val="16"/>
              </w:rPr>
              <w:t>=66盏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C8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E636">
            <w:pPr>
              <w:jc w:val="center"/>
            </w:pPr>
          </w:p>
        </w:tc>
      </w:tr>
      <w:tr w14:paraId="50742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7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C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E5D4">
            <w:pPr>
              <w:jc w:val="center"/>
            </w:pPr>
            <w:r>
              <w:rPr>
                <w:rFonts w:ascii="宋体" w:hAnsi="宋体" w:eastAsia="宋体"/>
                <w:sz w:val="16"/>
              </w:rPr>
              <w:t>慰问四老人员次数（次）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4FE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7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63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7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C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318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EE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3CB30">
            <w:pPr>
              <w:jc w:val="center"/>
            </w:pPr>
          </w:p>
        </w:tc>
      </w:tr>
      <w:tr w14:paraId="2FFF8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87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62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2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A6BE">
            <w:pPr>
              <w:jc w:val="center"/>
            </w:pPr>
            <w:r>
              <w:rPr>
                <w:rFonts w:ascii="宋体" w:hAnsi="宋体" w:eastAsia="宋体"/>
                <w:sz w:val="16"/>
              </w:rPr>
              <w:t>第一书记办实事次数（次）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52B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C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F9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E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C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8DA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FC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120D">
            <w:pPr>
              <w:jc w:val="center"/>
            </w:pPr>
          </w:p>
        </w:tc>
      </w:tr>
      <w:tr w14:paraId="57326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3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02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6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1C47">
            <w:pPr>
              <w:jc w:val="center"/>
            </w:pPr>
            <w:r>
              <w:rPr>
                <w:rFonts w:ascii="宋体" w:hAnsi="宋体" w:eastAsia="宋体"/>
                <w:sz w:val="16"/>
              </w:rPr>
              <w:t>防汛期数（期）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6497">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A0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5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B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080D">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24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060C">
            <w:pPr>
              <w:jc w:val="center"/>
            </w:pPr>
          </w:p>
        </w:tc>
      </w:tr>
      <w:tr w14:paraId="1E24D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F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E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76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0237">
            <w:pPr>
              <w:jc w:val="center"/>
            </w:pPr>
            <w:r>
              <w:rPr>
                <w:rFonts w:ascii="宋体" w:hAnsi="宋体" w:eastAsia="宋体"/>
                <w:sz w:val="16"/>
              </w:rPr>
              <w:t>村级亮化覆盖率（%）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B6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8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E1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78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C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A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E1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02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6869">
            <w:pPr>
              <w:jc w:val="center"/>
            </w:pPr>
          </w:p>
        </w:tc>
      </w:tr>
      <w:tr w14:paraId="7F32E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F9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CA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ED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82D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6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9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E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50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D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7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7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FC6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19C8">
            <w:pPr>
              <w:jc w:val="center"/>
            </w:pPr>
          </w:p>
        </w:tc>
      </w:tr>
      <w:tr w14:paraId="4BEA4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AE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B78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A60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27B4">
            <w:pPr>
              <w:jc w:val="center"/>
            </w:pPr>
            <w:r>
              <w:rPr>
                <w:rFonts w:ascii="宋体" w:hAnsi="宋体" w:eastAsia="宋体"/>
                <w:sz w:val="16"/>
              </w:rPr>
              <w:t>访贫问苦成本（万元）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E1CE">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6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2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F1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AA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D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E774">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D3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33219">
            <w:pPr>
              <w:jc w:val="center"/>
            </w:pPr>
          </w:p>
        </w:tc>
      </w:tr>
      <w:tr w14:paraId="1E972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9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8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8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C6E2">
            <w:pPr>
              <w:jc w:val="center"/>
            </w:pPr>
            <w:r>
              <w:rPr>
                <w:rFonts w:ascii="宋体" w:hAnsi="宋体" w:eastAsia="宋体"/>
                <w:sz w:val="16"/>
              </w:rPr>
              <w:t>亮化成本（万元）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318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7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F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7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5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9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1F2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86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C231E">
            <w:pPr>
              <w:jc w:val="center"/>
            </w:pPr>
          </w:p>
        </w:tc>
      </w:tr>
      <w:tr w14:paraId="3611A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C1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9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3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E47F">
            <w:pPr>
              <w:jc w:val="center"/>
            </w:pPr>
            <w:r>
              <w:rPr>
                <w:rFonts w:ascii="宋体" w:hAnsi="宋体" w:eastAsia="宋体"/>
                <w:sz w:val="16"/>
              </w:rPr>
              <w:t>慰问四老人员成本（万元）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6680">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9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9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07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F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3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80C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98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6F2EA">
            <w:pPr>
              <w:jc w:val="center"/>
            </w:pPr>
          </w:p>
        </w:tc>
      </w:tr>
      <w:tr w14:paraId="32B2A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5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8E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F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10C9">
            <w:pPr>
              <w:jc w:val="center"/>
            </w:pPr>
            <w:r>
              <w:rPr>
                <w:rFonts w:ascii="宋体" w:hAnsi="宋体" w:eastAsia="宋体"/>
                <w:sz w:val="16"/>
              </w:rPr>
              <w:t>第一书记办实事成本（万元）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5B1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17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2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61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1C4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16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8CB5">
            <w:pPr>
              <w:jc w:val="center"/>
            </w:pPr>
          </w:p>
        </w:tc>
      </w:tr>
      <w:tr w14:paraId="0DADE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2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CD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3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3D46">
            <w:pPr>
              <w:jc w:val="center"/>
            </w:pPr>
            <w:r>
              <w:rPr>
                <w:rFonts w:ascii="宋体" w:hAnsi="宋体" w:eastAsia="宋体"/>
                <w:sz w:val="16"/>
              </w:rPr>
              <w:t>防汛成本（万元）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AFC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E4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C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FD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9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6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10D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56D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7A5C">
            <w:pPr>
              <w:jc w:val="center"/>
            </w:pPr>
          </w:p>
        </w:tc>
      </w:tr>
      <w:tr w14:paraId="3F862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3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D5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11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D591">
            <w:pPr>
              <w:jc w:val="center"/>
            </w:pPr>
            <w:r>
              <w:rPr>
                <w:rFonts w:ascii="宋体" w:hAnsi="宋体" w:eastAsia="宋体"/>
                <w:sz w:val="16"/>
              </w:rPr>
              <w:t>帮助村级工作，提升群众幸福感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05C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1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6F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08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A9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5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458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EC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897A">
            <w:pPr>
              <w:jc w:val="center"/>
            </w:pPr>
          </w:p>
        </w:tc>
      </w:tr>
      <w:tr w14:paraId="453F1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27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3B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76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BDED">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F3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99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0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1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40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6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2C81">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6CEC">
            <w:pPr>
              <w:jc w:val="center"/>
            </w:pPr>
            <w:r>
              <w:rPr>
                <w:rFonts w:ascii="宋体" w:hAnsi="宋体" w:eastAsia="宋体"/>
                <w:sz w:val="16"/>
              </w:rPr>
              <w:t>偏差原因分析：防汛效果未达到部分村民心理预期导致满意度降低；改进措施：强化监管，确保质量。为保证项目顺利运行，在分管领导的时刻监管下，建立全过程、经常化的监管机制，明确责任，确保项目的高质量完成；</w:t>
            </w:r>
          </w:p>
        </w:tc>
      </w:tr>
      <w:tr w14:paraId="4B520B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B0C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47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72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C70DC">
            <w:pPr>
              <w:jc w:val="center"/>
            </w:pPr>
            <w:r>
              <w:rPr>
                <w:rFonts w:ascii="宋体" w:hAnsi="宋体" w:eastAsia="宋体"/>
                <w:sz w:val="16"/>
              </w:rPr>
              <w:t>100分</w:t>
            </w:r>
          </w:p>
        </w:tc>
      </w:tr>
    </w:tbl>
    <w:p w14:paraId="11142CCC">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10"/>
        <w:gridCol w:w="856"/>
        <w:gridCol w:w="610"/>
        <w:gridCol w:w="610"/>
        <w:gridCol w:w="610"/>
        <w:gridCol w:w="610"/>
        <w:gridCol w:w="610"/>
        <w:gridCol w:w="856"/>
        <w:gridCol w:w="630"/>
        <w:gridCol w:w="585"/>
        <w:gridCol w:w="631"/>
      </w:tblGrid>
      <w:tr w14:paraId="5360965E">
        <w:tblPrEx>
          <w:tblCellMar>
            <w:top w:w="0" w:type="dxa"/>
            <w:left w:w="108" w:type="dxa"/>
            <w:bottom w:w="0" w:type="dxa"/>
            <w:right w:w="108" w:type="dxa"/>
          </w:tblCellMar>
        </w:tblPrEx>
        <w:tc>
          <w:tcPr>
            <w:tcW w:w="8848" w:type="dxa"/>
            <w:gridSpan w:val="14"/>
            <w:vAlign w:val="center"/>
          </w:tcPr>
          <w:p w14:paraId="46158F67">
            <w:pPr>
              <w:jc w:val="center"/>
            </w:pPr>
            <w:r>
              <w:rPr>
                <w:rFonts w:ascii="宋体" w:hAnsi="宋体" w:eastAsia="宋体"/>
                <w:sz w:val="24"/>
              </w:rPr>
              <w:t>项目支出绩效自评表</w:t>
            </w:r>
          </w:p>
        </w:tc>
      </w:tr>
      <w:tr w14:paraId="75482225">
        <w:tblPrEx>
          <w:tblCellMar>
            <w:top w:w="0" w:type="dxa"/>
            <w:left w:w="108" w:type="dxa"/>
            <w:bottom w:w="0" w:type="dxa"/>
            <w:right w:w="108" w:type="dxa"/>
          </w:tblCellMar>
        </w:tblPrEx>
        <w:tc>
          <w:tcPr>
            <w:tcW w:w="8848" w:type="dxa"/>
            <w:gridSpan w:val="14"/>
            <w:vAlign w:val="center"/>
          </w:tcPr>
          <w:p w14:paraId="1CF09E4E">
            <w:pPr>
              <w:jc w:val="center"/>
            </w:pPr>
            <w:r>
              <w:rPr>
                <w:rFonts w:ascii="宋体" w:hAnsi="宋体" w:eastAsia="宋体"/>
                <w:sz w:val="24"/>
              </w:rPr>
              <w:t>(2024年度)</w:t>
            </w:r>
          </w:p>
        </w:tc>
      </w:tr>
      <w:tr w14:paraId="5F1B7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33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1E7EDC">
            <w:pPr>
              <w:jc w:val="center"/>
            </w:pPr>
            <w:r>
              <w:rPr>
                <w:rFonts w:hint="eastAsia" w:ascii="宋体" w:hAnsi="宋体"/>
                <w:sz w:val="16"/>
                <w:lang w:eastAsia="zh-CN"/>
              </w:rPr>
              <w:t>塔什库尔干塔吉克自治县</w:t>
            </w:r>
            <w:r>
              <w:rPr>
                <w:rFonts w:ascii="宋体" w:hAnsi="宋体" w:eastAsia="宋体"/>
                <w:sz w:val="16"/>
              </w:rPr>
              <w:t>铅锌矿有限责任公司选矿厂尾矿库风险隐患治理项目（中央补助资金）</w:t>
            </w:r>
          </w:p>
        </w:tc>
      </w:tr>
      <w:tr w14:paraId="4A0AD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1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28538">
            <w:pPr>
              <w:jc w:val="center"/>
            </w:pPr>
            <w:r>
              <w:rPr>
                <w:rFonts w:ascii="宋体" w:hAnsi="宋体" w:eastAsia="宋体"/>
                <w:sz w:val="16"/>
              </w:rPr>
              <w:t>塔什库尔干塔吉克自治县应急管理局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96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A6BCE">
            <w:pPr>
              <w:jc w:val="center"/>
            </w:pPr>
            <w:r>
              <w:rPr>
                <w:rFonts w:ascii="宋体" w:hAnsi="宋体" w:eastAsia="宋体"/>
                <w:sz w:val="16"/>
              </w:rPr>
              <w:t>塔什库尔干塔吉克自治县应急管理局</w:t>
            </w:r>
          </w:p>
        </w:tc>
      </w:tr>
      <w:tr w14:paraId="0B0DD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DF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A0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82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F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3F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46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10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244B">
            <w:pPr>
              <w:jc w:val="center"/>
            </w:pPr>
            <w:r>
              <w:rPr>
                <w:rFonts w:ascii="宋体" w:hAnsi="宋体" w:eastAsia="宋体"/>
                <w:sz w:val="16"/>
              </w:rPr>
              <w:t>得分</w:t>
            </w:r>
          </w:p>
        </w:tc>
      </w:tr>
      <w:tr w14:paraId="29A8C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4B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2B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5A27E">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31E5">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FEBD">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DFC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88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E71D">
            <w:pPr>
              <w:jc w:val="center"/>
            </w:pPr>
            <w:r>
              <w:rPr>
                <w:rFonts w:ascii="宋体" w:hAnsi="宋体" w:eastAsia="宋体"/>
                <w:sz w:val="16"/>
              </w:rPr>
              <w:t>10.00分</w:t>
            </w:r>
          </w:p>
        </w:tc>
      </w:tr>
      <w:tr w14:paraId="543E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97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602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5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6B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B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9B9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6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C4A5">
            <w:pPr>
              <w:jc w:val="center"/>
            </w:pPr>
            <w:r>
              <w:rPr>
                <w:rFonts w:ascii="宋体" w:hAnsi="宋体" w:eastAsia="宋体"/>
                <w:sz w:val="16"/>
              </w:rPr>
              <w:t>—</w:t>
            </w:r>
          </w:p>
        </w:tc>
      </w:tr>
      <w:tr w14:paraId="4847F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FD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5A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5B16">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251C6">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97D9">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A3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B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74C4">
            <w:pPr>
              <w:jc w:val="center"/>
            </w:pPr>
            <w:r>
              <w:rPr>
                <w:rFonts w:ascii="宋体" w:hAnsi="宋体" w:eastAsia="宋体"/>
                <w:sz w:val="16"/>
              </w:rPr>
              <w:t>—</w:t>
            </w:r>
          </w:p>
        </w:tc>
      </w:tr>
      <w:tr w14:paraId="2D2BE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C08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6C8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2522DA">
            <w:pPr>
              <w:jc w:val="center"/>
            </w:pPr>
            <w:r>
              <w:rPr>
                <w:rFonts w:ascii="宋体" w:hAnsi="宋体" w:eastAsia="宋体"/>
                <w:sz w:val="16"/>
              </w:rPr>
              <w:t>实际完成情况</w:t>
            </w:r>
          </w:p>
        </w:tc>
      </w:tr>
      <w:tr w14:paraId="7A750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92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70C58">
            <w:pPr>
              <w:jc w:val="both"/>
            </w:pPr>
            <w:r>
              <w:rPr>
                <w:rFonts w:ascii="宋体" w:hAnsi="宋体" w:eastAsia="宋体"/>
                <w:sz w:val="16"/>
              </w:rPr>
              <w:t>该项目资金420万元，用于</w:t>
            </w:r>
            <w:r>
              <w:rPr>
                <w:rFonts w:hint="eastAsia" w:ascii="宋体" w:hAnsi="宋体"/>
                <w:sz w:val="16"/>
                <w:lang w:eastAsia="zh-CN"/>
              </w:rPr>
              <w:t>塔什库尔干塔吉克自治县</w:t>
            </w:r>
            <w:r>
              <w:rPr>
                <w:rFonts w:ascii="宋体" w:hAnsi="宋体" w:eastAsia="宋体"/>
                <w:sz w:val="16"/>
              </w:rPr>
              <w:t>铅锌矿有限责任公司选矿厂尾矿库风险隐患治理前期补助，确保尾矿库风险隐患治理补助资金到位，有效保障尾矿库风险隐患治理工作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7D7DF">
            <w:pPr>
              <w:jc w:val="both"/>
            </w:pPr>
            <w:r>
              <w:rPr>
                <w:rFonts w:ascii="宋体" w:hAnsi="宋体" w:eastAsia="宋体"/>
                <w:sz w:val="16"/>
              </w:rPr>
              <w:t>本项目计划投资420万元，实际支付420万元，完成了</w:t>
            </w:r>
            <w:r>
              <w:rPr>
                <w:rFonts w:hint="eastAsia" w:ascii="宋体" w:hAnsi="宋体"/>
                <w:sz w:val="16"/>
                <w:lang w:eastAsia="zh-CN"/>
              </w:rPr>
              <w:t>塔什库尔干塔吉克自治县</w:t>
            </w:r>
            <w:r>
              <w:rPr>
                <w:rFonts w:ascii="宋体" w:hAnsi="宋体" w:eastAsia="宋体"/>
                <w:sz w:val="16"/>
              </w:rPr>
              <w:t>铅锌矿尾矿库闭库治理工程，治理内容包括：库内治理、尾矿坝治理、排洪设施、抑尘治理、辅助设施建设等，资金拨付准确率达100%，资金拨付合规率达100%，资金拨付及时性达100%，项目实施有效保障了</w:t>
            </w:r>
            <w:r>
              <w:rPr>
                <w:rFonts w:hint="eastAsia" w:ascii="宋体" w:hAnsi="宋体"/>
                <w:sz w:val="16"/>
                <w:lang w:eastAsia="zh-CN"/>
              </w:rPr>
              <w:t>塔什库尔干塔吉克自治县</w:t>
            </w:r>
            <w:r>
              <w:rPr>
                <w:rFonts w:ascii="宋体" w:hAnsi="宋体" w:eastAsia="宋体"/>
                <w:sz w:val="16"/>
              </w:rPr>
              <w:t>铅锌矿尾矿库风险隐患治理工作，保障了人民的生命财产不受威胁，受助企业对项目实施的满意度达100%。</w:t>
            </w:r>
          </w:p>
        </w:tc>
      </w:tr>
      <w:tr w14:paraId="14504C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29B3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62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18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60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6D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1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A2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19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12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6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D5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55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8CD39">
            <w:pPr>
              <w:jc w:val="center"/>
            </w:pPr>
            <w:r>
              <w:rPr>
                <w:rFonts w:ascii="宋体" w:hAnsi="宋体" w:eastAsia="宋体"/>
                <w:sz w:val="16"/>
              </w:rPr>
              <w:t>偏差原因分析及改进措施</w:t>
            </w:r>
          </w:p>
        </w:tc>
      </w:tr>
      <w:tr w14:paraId="17C5A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26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56D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AD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A40F">
            <w:pPr>
              <w:jc w:val="center"/>
            </w:pPr>
            <w:r>
              <w:rPr>
                <w:rFonts w:ascii="宋体" w:hAnsi="宋体" w:eastAsia="宋体"/>
                <w:sz w:val="16"/>
              </w:rPr>
              <w:t>风险隐患尾矿库治理数量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D6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5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F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A6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13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C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C2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3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1114C">
            <w:pPr>
              <w:jc w:val="center"/>
            </w:pPr>
          </w:p>
        </w:tc>
      </w:tr>
      <w:tr w14:paraId="493AF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1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C3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598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72F">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8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E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DB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2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74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F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F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3701">
            <w:pPr>
              <w:jc w:val="center"/>
            </w:pPr>
          </w:p>
        </w:tc>
      </w:tr>
      <w:tr w14:paraId="09203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2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B2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82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5244">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B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5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B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F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3A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5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6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999D">
            <w:pPr>
              <w:jc w:val="center"/>
            </w:pPr>
          </w:p>
        </w:tc>
      </w:tr>
      <w:tr w14:paraId="1983B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0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F09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806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EAE6">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B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8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2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2B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5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7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9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5D66">
            <w:pPr>
              <w:jc w:val="center"/>
            </w:pPr>
          </w:p>
        </w:tc>
      </w:tr>
      <w:tr w14:paraId="36751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0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D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6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33AE">
            <w:pPr>
              <w:jc w:val="center"/>
            </w:pPr>
            <w:r>
              <w:rPr>
                <w:rFonts w:ascii="宋体" w:hAnsi="宋体" w:eastAsia="宋体"/>
                <w:sz w:val="16"/>
              </w:rPr>
              <w:t>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644">
            <w:pPr>
              <w:jc w:val="center"/>
            </w:pPr>
            <w:r>
              <w:rPr>
                <w:rFonts w:ascii="宋体" w:hAnsi="宋体" w:eastAsia="宋体"/>
                <w:sz w:val="16"/>
              </w:rPr>
              <w:t>2024年12月之前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F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7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E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45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2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7D23">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50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67939">
            <w:pPr>
              <w:jc w:val="center"/>
            </w:pPr>
          </w:p>
        </w:tc>
      </w:tr>
      <w:tr w14:paraId="0D545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C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16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17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7FC2">
            <w:pPr>
              <w:jc w:val="center"/>
            </w:pPr>
            <w:r>
              <w:rPr>
                <w:rFonts w:ascii="宋体" w:hAnsi="宋体" w:eastAsia="宋体"/>
                <w:sz w:val="16"/>
              </w:rPr>
              <w:t>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1F71">
            <w:pPr>
              <w:jc w:val="center"/>
            </w:pPr>
            <w:r>
              <w:rPr>
                <w:rFonts w:ascii="宋体" w:hAnsi="宋体" w:eastAsia="宋体"/>
                <w:sz w:val="16"/>
              </w:rPr>
              <w:t>=4200000元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AD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AC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C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EE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B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C5EC">
            <w:pPr>
              <w:jc w:val="center"/>
            </w:pPr>
            <w:r>
              <w:rPr>
                <w:rFonts w:ascii="宋体" w:hAnsi="宋体" w:eastAsia="宋体"/>
                <w:sz w:val="16"/>
              </w:rPr>
              <w:t>=4200000元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5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FBFE">
            <w:pPr>
              <w:jc w:val="center"/>
            </w:pPr>
          </w:p>
        </w:tc>
      </w:tr>
      <w:tr w14:paraId="7CC63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32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36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FD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3F13">
            <w:pPr>
              <w:jc w:val="center"/>
            </w:pPr>
            <w:r>
              <w:rPr>
                <w:rFonts w:ascii="宋体" w:hAnsi="宋体" w:eastAsia="宋体"/>
                <w:sz w:val="16"/>
              </w:rPr>
              <w:t>保障项目有序进行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015C">
            <w:pPr>
              <w:jc w:val="center"/>
            </w:pPr>
            <w:r>
              <w:rPr>
                <w:rFonts w:ascii="宋体" w:hAnsi="宋体" w:eastAsia="宋体"/>
                <w:sz w:val="16"/>
              </w:rPr>
              <w:t>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B91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4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EC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2C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6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573E">
            <w:pPr>
              <w:jc w:val="center"/>
            </w:pPr>
            <w:r>
              <w:rPr>
                <w:rFonts w:ascii="宋体" w:hAnsi="宋体" w:eastAsia="宋体"/>
                <w:sz w:val="16"/>
              </w:rPr>
              <w:t>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7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7B24">
            <w:pPr>
              <w:jc w:val="center"/>
            </w:pPr>
          </w:p>
        </w:tc>
      </w:tr>
      <w:tr w14:paraId="68BCA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A8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0D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3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CEAA">
            <w:pPr>
              <w:jc w:val="center"/>
            </w:pPr>
            <w:r>
              <w:rPr>
                <w:rFonts w:ascii="宋体" w:hAnsi="宋体" w:eastAsia="宋体"/>
                <w:sz w:val="16"/>
              </w:rPr>
              <w:t>受助企业满意度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F9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0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EE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05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E8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B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C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AB1E">
            <w:pPr>
              <w:jc w:val="center"/>
            </w:pPr>
            <w:r>
              <w:rPr>
                <w:rFonts w:ascii="宋体" w:hAnsi="宋体" w:eastAsia="宋体"/>
                <w:sz w:val="16"/>
              </w:rPr>
              <w:t>偏差原因分析：项目实施情况较好，受助企业满意度高于预期导致出现正偏差，改进措施：基于当前良好表现，重新审视绩效目标，在以后绩效目标设置时设置更具挑战性的目标，以推动业务持续发展。</w:t>
            </w:r>
          </w:p>
        </w:tc>
      </w:tr>
      <w:tr w14:paraId="101E3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E7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B6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4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E36E13">
            <w:pPr>
              <w:jc w:val="center"/>
            </w:pPr>
            <w:r>
              <w:rPr>
                <w:rFonts w:ascii="宋体" w:hAnsi="宋体" w:eastAsia="宋体"/>
                <w:sz w:val="16"/>
              </w:rPr>
              <w:t>100分</w:t>
            </w:r>
          </w:p>
        </w:tc>
      </w:tr>
    </w:tbl>
    <w:p w14:paraId="25241E7A">
      <w:r>
        <w:br w:type="page"/>
      </w:r>
    </w:p>
    <w:p w14:paraId="3EAA4AFB">
      <w:pPr>
        <w:spacing w:line="640" w:lineRule="exact"/>
        <w:ind w:firstLine="640"/>
        <w:jc w:val="both"/>
        <w:outlineLvl w:val="2"/>
      </w:pPr>
      <w:r>
        <w:rPr>
          <w:rFonts w:ascii="黑体" w:hAnsi="黑体" w:eastAsia="黑体"/>
          <w:sz w:val="32"/>
        </w:rPr>
        <w:t>十二、其他需说明的事项</w:t>
      </w:r>
    </w:p>
    <w:p w14:paraId="7B07C94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895619C">
      <w:r>
        <w:br w:type="page"/>
      </w:r>
    </w:p>
    <w:p w14:paraId="44BB3C49">
      <w:pPr>
        <w:spacing w:line="240" w:lineRule="auto"/>
        <w:jc w:val="center"/>
        <w:outlineLvl w:val="1"/>
      </w:pPr>
      <w:r>
        <w:rPr>
          <w:rFonts w:ascii="黑体" w:hAnsi="黑体" w:eastAsia="黑体"/>
          <w:sz w:val="32"/>
        </w:rPr>
        <w:t>第三部分 专业名词解释</w:t>
      </w:r>
    </w:p>
    <w:p w14:paraId="32377A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BED1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FF12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3017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06F84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019C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38F1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A001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9CD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099C2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13BC5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926DF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16DE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3C6E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514101">
      <w:r>
        <w:br w:type="page"/>
      </w:r>
    </w:p>
    <w:p w14:paraId="3BD65825">
      <w:pPr>
        <w:spacing w:line="240" w:lineRule="auto"/>
        <w:jc w:val="center"/>
        <w:outlineLvl w:val="1"/>
      </w:pPr>
      <w:r>
        <w:rPr>
          <w:rFonts w:ascii="黑体" w:hAnsi="黑体" w:eastAsia="黑体"/>
          <w:sz w:val="32"/>
        </w:rPr>
        <w:t>第四部分 部门决算报表（见附表）</w:t>
      </w:r>
    </w:p>
    <w:p w14:paraId="4CCD293A">
      <w:pPr>
        <w:spacing w:line="240" w:lineRule="auto"/>
        <w:ind w:firstLine="640"/>
        <w:jc w:val="both"/>
      </w:pPr>
      <w:r>
        <w:rPr>
          <w:rFonts w:ascii="仿宋_GB2312" w:hAnsi="仿宋_GB2312" w:eastAsia="仿宋_GB2312"/>
          <w:b w:val="0"/>
          <w:sz w:val="32"/>
        </w:rPr>
        <w:t>一、《收入支出决算总表》</w:t>
      </w:r>
    </w:p>
    <w:p w14:paraId="355D40A4">
      <w:pPr>
        <w:spacing w:line="240" w:lineRule="auto"/>
        <w:ind w:firstLine="640"/>
        <w:jc w:val="both"/>
      </w:pPr>
      <w:r>
        <w:rPr>
          <w:rFonts w:ascii="仿宋_GB2312" w:hAnsi="仿宋_GB2312" w:eastAsia="仿宋_GB2312"/>
          <w:b w:val="0"/>
          <w:sz w:val="32"/>
        </w:rPr>
        <w:t>二、《收入决算表》</w:t>
      </w:r>
    </w:p>
    <w:p w14:paraId="635594CD">
      <w:pPr>
        <w:spacing w:line="240" w:lineRule="auto"/>
        <w:ind w:firstLine="640"/>
        <w:jc w:val="both"/>
      </w:pPr>
      <w:r>
        <w:rPr>
          <w:rFonts w:ascii="仿宋_GB2312" w:hAnsi="仿宋_GB2312" w:eastAsia="仿宋_GB2312"/>
          <w:b w:val="0"/>
          <w:sz w:val="32"/>
        </w:rPr>
        <w:t>三、《支出决算表》</w:t>
      </w:r>
    </w:p>
    <w:p w14:paraId="314E22E0">
      <w:pPr>
        <w:spacing w:line="240" w:lineRule="auto"/>
        <w:ind w:firstLine="640"/>
        <w:jc w:val="both"/>
      </w:pPr>
      <w:r>
        <w:rPr>
          <w:rFonts w:ascii="仿宋_GB2312" w:hAnsi="仿宋_GB2312" w:eastAsia="仿宋_GB2312"/>
          <w:b w:val="0"/>
          <w:sz w:val="32"/>
        </w:rPr>
        <w:t>四、《财政拨款收入支出决算总表》</w:t>
      </w:r>
    </w:p>
    <w:p w14:paraId="7933E132">
      <w:pPr>
        <w:spacing w:line="240" w:lineRule="auto"/>
        <w:ind w:firstLine="640"/>
        <w:jc w:val="both"/>
      </w:pPr>
      <w:r>
        <w:rPr>
          <w:rFonts w:ascii="仿宋_GB2312" w:hAnsi="仿宋_GB2312" w:eastAsia="仿宋_GB2312"/>
          <w:b w:val="0"/>
          <w:sz w:val="32"/>
        </w:rPr>
        <w:t>五、《一般公共预算财政拨款支出决算表》</w:t>
      </w:r>
    </w:p>
    <w:p w14:paraId="5BBA8667">
      <w:pPr>
        <w:spacing w:line="240" w:lineRule="auto"/>
        <w:ind w:firstLine="640"/>
        <w:jc w:val="both"/>
      </w:pPr>
      <w:r>
        <w:rPr>
          <w:rFonts w:ascii="仿宋_GB2312" w:hAnsi="仿宋_GB2312" w:eastAsia="仿宋_GB2312"/>
          <w:b w:val="0"/>
          <w:sz w:val="32"/>
        </w:rPr>
        <w:t>六、《一般公共预算财政拨款基本支出决算表》</w:t>
      </w:r>
    </w:p>
    <w:p w14:paraId="71D98F92">
      <w:pPr>
        <w:spacing w:line="240" w:lineRule="auto"/>
        <w:ind w:firstLine="640"/>
        <w:jc w:val="both"/>
      </w:pPr>
      <w:r>
        <w:rPr>
          <w:rFonts w:ascii="仿宋_GB2312" w:hAnsi="仿宋_GB2312" w:eastAsia="仿宋_GB2312"/>
          <w:b w:val="0"/>
          <w:sz w:val="32"/>
        </w:rPr>
        <w:t>七、《政府性基金预算财政拨款收入支出决算表》</w:t>
      </w:r>
    </w:p>
    <w:p w14:paraId="57657AEB">
      <w:pPr>
        <w:spacing w:line="240" w:lineRule="auto"/>
        <w:ind w:firstLine="640"/>
        <w:jc w:val="both"/>
      </w:pPr>
      <w:r>
        <w:rPr>
          <w:rFonts w:ascii="仿宋_GB2312" w:hAnsi="仿宋_GB2312" w:eastAsia="仿宋_GB2312"/>
          <w:b w:val="0"/>
          <w:sz w:val="32"/>
        </w:rPr>
        <w:t>八、《国有资本经营预算财政拨款收入支出决算表》</w:t>
      </w:r>
    </w:p>
    <w:p w14:paraId="7445125A">
      <w:pPr>
        <w:spacing w:line="240" w:lineRule="auto"/>
        <w:ind w:firstLine="640"/>
        <w:jc w:val="both"/>
      </w:pPr>
      <w:r>
        <w:rPr>
          <w:rFonts w:ascii="仿宋_GB2312" w:hAnsi="仿宋_GB2312" w:eastAsia="仿宋_GB2312"/>
          <w:b w:val="0"/>
          <w:sz w:val="32"/>
        </w:rPr>
        <w:t>九、《财政拨款“三公”经费支出决算表》</w:t>
      </w:r>
    </w:p>
    <w:p w14:paraId="29CD984E">
      <w:pPr>
        <w:spacing w:line="240" w:lineRule="auto"/>
        <w:ind w:firstLine="640"/>
        <w:jc w:val="both"/>
      </w:pPr>
    </w:p>
    <w:p w14:paraId="443D9F96">
      <w:pPr>
        <w:spacing w:line="240" w:lineRule="auto"/>
        <w:ind w:firstLine="640"/>
        <w:jc w:val="both"/>
      </w:pPr>
    </w:p>
    <w:p w14:paraId="15FD4120">
      <w:pPr>
        <w:spacing w:line="240" w:lineRule="auto"/>
        <w:ind w:firstLine="640"/>
        <w:jc w:val="both"/>
      </w:pPr>
    </w:p>
    <w:p w14:paraId="6905C92F">
      <w:pPr>
        <w:spacing w:line="240" w:lineRule="auto"/>
        <w:ind w:firstLine="640"/>
        <w:jc w:val="both"/>
      </w:pPr>
    </w:p>
    <w:p w14:paraId="14EE9DB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F101E7"/>
    <w:rsid w:val="13105F5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47328C"/>
    <w:rsid w:val="36A33F3E"/>
    <w:rsid w:val="38006E2C"/>
    <w:rsid w:val="3914510A"/>
    <w:rsid w:val="3B1220C9"/>
    <w:rsid w:val="3D5275AC"/>
    <w:rsid w:val="3EA7725F"/>
    <w:rsid w:val="3EC014A1"/>
    <w:rsid w:val="40834692"/>
    <w:rsid w:val="423A32B2"/>
    <w:rsid w:val="423C0CB4"/>
    <w:rsid w:val="427B5743"/>
    <w:rsid w:val="42E64542"/>
    <w:rsid w:val="437A7658"/>
    <w:rsid w:val="464B7E04"/>
    <w:rsid w:val="464F7E64"/>
    <w:rsid w:val="46901EEE"/>
    <w:rsid w:val="469C74D2"/>
    <w:rsid w:val="47445515"/>
    <w:rsid w:val="4B4C0111"/>
    <w:rsid w:val="4BB23021"/>
    <w:rsid w:val="4F3F074E"/>
    <w:rsid w:val="50263FB3"/>
    <w:rsid w:val="50DB5F45"/>
    <w:rsid w:val="52F92565"/>
    <w:rsid w:val="543D17CB"/>
    <w:rsid w:val="55DA564E"/>
    <w:rsid w:val="56E07045"/>
    <w:rsid w:val="5796460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F03533"/>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6560</Words>
  <Characters>7354</Characters>
  <Lines>0</Lines>
  <Paragraphs>0</Paragraphs>
  <TotalTime>4</TotalTime>
  <ScaleCrop>false</ScaleCrop>
  <LinksUpToDate>false</LinksUpToDate>
  <CharactersWithSpaces>7362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