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塔什库尔干塔吉克自治县档案史志馆2024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35A1021">
      <w:r>
        <w:br w:type="page"/>
      </w:r>
    </w:p>
    <w:p w14:paraId="359F9B61">
      <w:pPr>
        <w:spacing w:line="640" w:lineRule="exact"/>
        <w:jc w:val="center"/>
        <w:outlineLvl w:val="1"/>
      </w:pPr>
      <w:r>
        <w:rPr>
          <w:rFonts w:ascii="黑体" w:hAnsi="黑体" w:eastAsia="黑体"/>
          <w:sz w:val="32"/>
        </w:rPr>
        <w:t>第一部分 单位概况</w:t>
      </w:r>
    </w:p>
    <w:p w14:paraId="0AE7EE4D">
      <w:pPr>
        <w:spacing w:line="640" w:lineRule="exact"/>
        <w:ind w:firstLine="640"/>
        <w:jc w:val="both"/>
        <w:outlineLvl w:val="2"/>
      </w:pPr>
      <w:r>
        <w:rPr>
          <w:rFonts w:ascii="黑体" w:hAnsi="黑体" w:eastAsia="黑体"/>
          <w:sz w:val="32"/>
        </w:rPr>
        <w:t>一、主要职能</w:t>
      </w:r>
    </w:p>
    <w:p w14:paraId="749A858D">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贯彻执行《中华人民共和国档案法》及党和国家有关档案工作的方针、政策，按照统一领导、分级管理的原则对全县档案事业实行统筹规划，制定全县档案工作规范性文件并负责组织实施。</w:t>
      </w:r>
    </w:p>
    <w:p w14:paraId="330E2665">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依法指导、监督、检查、协调全县机关、党派、团体、企事业单位</w:t>
      </w:r>
      <w:r>
        <w:rPr>
          <w:rFonts w:hint="eastAsia" w:ascii="仿宋_GB2312" w:hAnsi="仿宋_GB2312" w:eastAsia="仿宋_GB2312"/>
          <w:sz w:val="32"/>
          <w:lang w:eastAsia="zh-CN"/>
        </w:rPr>
        <w:t>、</w:t>
      </w:r>
      <w:r>
        <w:rPr>
          <w:rFonts w:ascii="仿宋_GB2312" w:hAnsi="仿宋_GB2312" w:eastAsia="仿宋_GB2312"/>
          <w:sz w:val="32"/>
        </w:rPr>
        <w:t>其他组织的档案工作，查处档案违法案件。</w:t>
      </w:r>
    </w:p>
    <w:p w14:paraId="563DF9CC">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组织开展全县档案学术活动、档案宣传、教育培训、专业技术职务评聘工作，负责研究应用现代化科学技术管理保护档案。</w:t>
      </w:r>
    </w:p>
    <w:p w14:paraId="07594D39">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依照国家有关规定，负责接收、征集、整理、集中保管全县机关、党派、团体、企事业单位</w:t>
      </w:r>
      <w:r>
        <w:rPr>
          <w:rFonts w:hint="eastAsia" w:ascii="仿宋_GB2312" w:hAnsi="仿宋_GB2312" w:eastAsia="仿宋_GB2312"/>
          <w:sz w:val="32"/>
          <w:lang w:eastAsia="zh-CN"/>
        </w:rPr>
        <w:t>、</w:t>
      </w:r>
      <w:r>
        <w:rPr>
          <w:rFonts w:ascii="仿宋_GB2312" w:hAnsi="仿宋_GB2312" w:eastAsia="仿宋_GB2312"/>
          <w:sz w:val="32"/>
        </w:rPr>
        <w:t>其他组织的重要档案和涉及本县各个方面的珍贵历史资料，确保档案资料的完</w:t>
      </w:r>
      <w:r>
        <w:rPr>
          <w:rFonts w:hint="eastAsia" w:ascii="仿宋_GB2312" w:hAnsi="仿宋_GB2312" w:eastAsia="仿宋_GB2312"/>
          <w:sz w:val="32"/>
          <w:lang w:eastAsia="zh-CN"/>
        </w:rPr>
        <w:t>全安全</w:t>
      </w:r>
      <w:r>
        <w:rPr>
          <w:rFonts w:ascii="仿宋_GB2312" w:hAnsi="仿宋_GB2312" w:eastAsia="仿宋_GB2312"/>
          <w:sz w:val="32"/>
        </w:rPr>
        <w:t>。</w:t>
      </w:r>
    </w:p>
    <w:p w14:paraId="1E070EEB">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开展档案编辑工作，开发档案信息资源，依法向社会开放档案:负责全县档案目录中心工作，建立全县档案信息网络。</w:t>
      </w:r>
    </w:p>
    <w:p w14:paraId="1E7A2103">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编制组织实施全县党史、修志工作发展规划；负责党史、年鉴、区志的编修、研究、宣传教育、培训和利用、交流工作。</w:t>
      </w:r>
    </w:p>
    <w:p w14:paraId="1B3D2060">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承办上级交办的有关事宜。</w:t>
      </w:r>
    </w:p>
    <w:p w14:paraId="16402ED8">
      <w:pPr>
        <w:spacing w:line="640" w:lineRule="exact"/>
        <w:ind w:firstLine="640"/>
        <w:jc w:val="both"/>
        <w:outlineLvl w:val="2"/>
      </w:pPr>
      <w:r>
        <w:rPr>
          <w:rFonts w:ascii="黑体" w:hAnsi="黑体" w:eastAsia="黑体"/>
          <w:sz w:val="32"/>
        </w:rPr>
        <w:t>二、机构设置及人员情况</w:t>
      </w:r>
    </w:p>
    <w:p w14:paraId="5F526D89">
      <w:pPr>
        <w:spacing w:line="580" w:lineRule="exact"/>
        <w:ind w:firstLine="640"/>
        <w:jc w:val="both"/>
      </w:pPr>
      <w:r>
        <w:rPr>
          <w:rFonts w:ascii="仿宋_GB2312" w:hAnsi="仿宋_GB2312" w:eastAsia="仿宋_GB2312"/>
          <w:sz w:val="32"/>
        </w:rPr>
        <w:t>塔什库尔干塔吉克自治县档案史志馆2024年度，实有人数17人，其中：在职人员6人，减少4人；离休人员0人，增加0人；退休人员11人,增加1人。</w:t>
      </w:r>
    </w:p>
    <w:p w14:paraId="2BC94641">
      <w:pPr>
        <w:spacing w:line="580" w:lineRule="exact"/>
        <w:ind w:firstLine="640"/>
        <w:jc w:val="both"/>
      </w:pPr>
      <w:r>
        <w:rPr>
          <w:rFonts w:ascii="仿宋_GB2312" w:hAnsi="仿宋_GB2312" w:eastAsia="仿宋_GB2312"/>
          <w:sz w:val="32"/>
        </w:rPr>
        <w:t>单位无下属预算单位，下设2个科室，分别是：财务室、综合办公室。</w:t>
      </w:r>
    </w:p>
    <w:p w14:paraId="1E82CEDF">
      <w:r>
        <w:br w:type="page"/>
      </w:r>
    </w:p>
    <w:p w14:paraId="0E67C642">
      <w:pPr>
        <w:spacing w:line="240" w:lineRule="auto"/>
        <w:jc w:val="center"/>
        <w:outlineLvl w:val="1"/>
      </w:pPr>
      <w:r>
        <w:rPr>
          <w:rFonts w:ascii="黑体" w:hAnsi="黑体" w:eastAsia="黑体"/>
          <w:sz w:val="32"/>
        </w:rPr>
        <w:t>第二部分 部门决算情况说明</w:t>
      </w:r>
    </w:p>
    <w:p w14:paraId="594D5E2A">
      <w:pPr>
        <w:spacing w:line="640" w:lineRule="exact"/>
        <w:ind w:firstLine="640"/>
        <w:jc w:val="both"/>
        <w:outlineLvl w:val="2"/>
      </w:pPr>
      <w:r>
        <w:rPr>
          <w:rFonts w:ascii="黑体" w:hAnsi="黑体" w:eastAsia="黑体"/>
          <w:sz w:val="32"/>
        </w:rPr>
        <w:t>一、收入支出决算总体情况说明</w:t>
      </w:r>
    </w:p>
    <w:p w14:paraId="527A36ED">
      <w:pPr>
        <w:spacing w:line="580" w:lineRule="exact"/>
        <w:ind w:firstLine="640"/>
        <w:jc w:val="both"/>
      </w:pPr>
      <w:r>
        <w:rPr>
          <w:rFonts w:ascii="仿宋_GB2312" w:hAnsi="仿宋_GB2312" w:eastAsia="仿宋_GB2312"/>
          <w:b/>
          <w:sz w:val="32"/>
        </w:rPr>
        <w:t>2024年度收入总计184.36万元，</w:t>
      </w:r>
      <w:r>
        <w:rPr>
          <w:rFonts w:ascii="仿宋_GB2312" w:hAnsi="仿宋_GB2312" w:eastAsia="仿宋_GB2312"/>
          <w:b w:val="0"/>
          <w:sz w:val="32"/>
        </w:rPr>
        <w:t>其中：本年收入合计184.36万元，使用非财政拨款结余（含专用结余）0.00万元，年初结转和结余0.00万元。</w:t>
      </w:r>
    </w:p>
    <w:p w14:paraId="0912B43D">
      <w:pPr>
        <w:spacing w:line="580" w:lineRule="exact"/>
        <w:ind w:firstLine="640"/>
        <w:jc w:val="both"/>
      </w:pPr>
      <w:r>
        <w:rPr>
          <w:rFonts w:ascii="仿宋_GB2312" w:hAnsi="仿宋_GB2312" w:eastAsia="仿宋_GB2312"/>
          <w:b/>
          <w:sz w:val="32"/>
        </w:rPr>
        <w:t>2024年度支出总计184.36万元，</w:t>
      </w:r>
      <w:r>
        <w:rPr>
          <w:rFonts w:ascii="仿宋_GB2312" w:hAnsi="仿宋_GB2312" w:eastAsia="仿宋_GB2312"/>
          <w:b w:val="0"/>
          <w:sz w:val="32"/>
        </w:rPr>
        <w:t>其中：本年支出合计184.36万元，结余分配0.00万元，年末结转和结余0.00万元。</w:t>
      </w:r>
    </w:p>
    <w:p w14:paraId="463CAE68">
      <w:pPr>
        <w:spacing w:line="580" w:lineRule="exact"/>
        <w:ind w:firstLine="640"/>
        <w:jc w:val="both"/>
      </w:pPr>
      <w:r>
        <w:rPr>
          <w:rFonts w:ascii="仿宋_GB2312" w:hAnsi="仿宋_GB2312" w:eastAsia="仿宋_GB2312"/>
          <w:b w:val="0"/>
          <w:sz w:val="32"/>
        </w:rPr>
        <w:t>收入支出总体与上年相比，减少75.30万元，下降29.00%，主要原因是：一是本年在职人员减少，相关人员经费减少；二是</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精准扶贫档案数字化智能密集架采购资金和综合档案馆建设项目资金较上年减少。</w:t>
      </w:r>
    </w:p>
    <w:p w14:paraId="21875EDB">
      <w:pPr>
        <w:spacing w:line="640" w:lineRule="exact"/>
        <w:ind w:firstLine="640"/>
        <w:jc w:val="both"/>
        <w:outlineLvl w:val="2"/>
      </w:pPr>
      <w:r>
        <w:rPr>
          <w:rFonts w:ascii="黑体" w:hAnsi="黑体" w:eastAsia="黑体"/>
          <w:sz w:val="32"/>
        </w:rPr>
        <w:t>二、收入决算情况说明</w:t>
      </w:r>
    </w:p>
    <w:p w14:paraId="5CFA29EC">
      <w:pPr>
        <w:spacing w:line="580" w:lineRule="exact"/>
        <w:ind w:firstLine="640"/>
        <w:jc w:val="both"/>
      </w:pPr>
      <w:r>
        <w:rPr>
          <w:rFonts w:ascii="仿宋_GB2312" w:hAnsi="仿宋_GB2312" w:eastAsia="仿宋_GB2312"/>
          <w:b/>
          <w:sz w:val="32"/>
        </w:rPr>
        <w:t>本年收入184.36万元，</w:t>
      </w:r>
      <w:r>
        <w:rPr>
          <w:rFonts w:ascii="仿宋_GB2312" w:hAnsi="仿宋_GB2312" w:eastAsia="仿宋_GB2312"/>
          <w:b w:val="0"/>
          <w:sz w:val="32"/>
        </w:rPr>
        <w:t>其中：财政拨款收入184.36万元，占100.00%；上级补助收入0.00万元，占0.00%；事业收入0.00万元，占0.00%；经营收入0.00万元，占0.00%；附属单位上缴收入0.00万元，占0.00%；其他收入0.00万元，占0.00%。</w:t>
      </w:r>
    </w:p>
    <w:p w14:paraId="22B9B1D1">
      <w:pPr>
        <w:spacing w:line="640" w:lineRule="exact"/>
        <w:ind w:firstLine="640"/>
        <w:jc w:val="both"/>
        <w:outlineLvl w:val="2"/>
      </w:pPr>
      <w:r>
        <w:rPr>
          <w:rFonts w:ascii="黑体" w:hAnsi="黑体" w:eastAsia="黑体"/>
          <w:sz w:val="32"/>
        </w:rPr>
        <w:t>三、支出决算情况说明</w:t>
      </w:r>
    </w:p>
    <w:p w14:paraId="3BE3FD9A">
      <w:pPr>
        <w:spacing w:line="580" w:lineRule="exact"/>
        <w:ind w:firstLine="640"/>
        <w:jc w:val="both"/>
      </w:pPr>
      <w:r>
        <w:rPr>
          <w:rFonts w:ascii="仿宋_GB2312" w:hAnsi="仿宋_GB2312" w:eastAsia="仿宋_GB2312"/>
          <w:b/>
          <w:sz w:val="32"/>
        </w:rPr>
        <w:t>本年支出184.36万元，</w:t>
      </w:r>
      <w:r>
        <w:rPr>
          <w:rFonts w:ascii="仿宋_GB2312" w:hAnsi="仿宋_GB2312" w:eastAsia="仿宋_GB2312"/>
          <w:b w:val="0"/>
          <w:sz w:val="32"/>
        </w:rPr>
        <w:t>其中：基本支出184.36万元，占100.00%；项目支出0.00万元，占0.00%；上缴上级支出0.00万元，占0.00%；经营支出0.00万元，占0.00%；对附属单位补助支出0.00万元，占0.00%。</w:t>
      </w:r>
    </w:p>
    <w:p w14:paraId="08821A0A">
      <w:pPr>
        <w:spacing w:line="640" w:lineRule="exact"/>
        <w:ind w:firstLine="640"/>
        <w:jc w:val="both"/>
        <w:outlineLvl w:val="2"/>
      </w:pPr>
      <w:r>
        <w:rPr>
          <w:rFonts w:ascii="黑体" w:hAnsi="黑体" w:eastAsia="黑体"/>
          <w:sz w:val="32"/>
        </w:rPr>
        <w:t>四、财政拨款收入支出决算总体情况说明</w:t>
      </w:r>
    </w:p>
    <w:p w14:paraId="539B2C9D">
      <w:pPr>
        <w:spacing w:line="580" w:lineRule="exact"/>
        <w:ind w:firstLine="640"/>
        <w:jc w:val="both"/>
      </w:pPr>
      <w:r>
        <w:rPr>
          <w:rFonts w:ascii="仿宋_GB2312" w:hAnsi="仿宋_GB2312" w:eastAsia="仿宋_GB2312"/>
          <w:b/>
          <w:sz w:val="32"/>
        </w:rPr>
        <w:t>2024年度财政拨款收入总计184.36万元，</w:t>
      </w:r>
      <w:r>
        <w:rPr>
          <w:rFonts w:ascii="仿宋_GB2312" w:hAnsi="仿宋_GB2312" w:eastAsia="仿宋_GB2312"/>
          <w:b w:val="0"/>
          <w:sz w:val="32"/>
        </w:rPr>
        <w:t>其中：年初财政拨款结转和结余0.00万元，本年财政拨款收入184.36万元。</w:t>
      </w:r>
      <w:r>
        <w:rPr>
          <w:rFonts w:ascii="仿宋_GB2312" w:hAnsi="仿宋_GB2312" w:eastAsia="仿宋_GB2312"/>
          <w:b/>
          <w:sz w:val="32"/>
        </w:rPr>
        <w:t>财政拨款支出总计184.36万元，</w:t>
      </w:r>
      <w:r>
        <w:rPr>
          <w:rFonts w:ascii="仿宋_GB2312" w:hAnsi="仿宋_GB2312" w:eastAsia="仿宋_GB2312"/>
          <w:b w:val="0"/>
          <w:sz w:val="32"/>
        </w:rPr>
        <w:t>其中：年末财政拨款结转和结余0.00万元，本年财政拨款支出184.36万元。</w:t>
      </w:r>
    </w:p>
    <w:p w14:paraId="32B86E6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减少75.30万元，下降29.00%，主要原因是：一是本年在职人员减少，相关人员经费减少；二是</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精准扶贫档案数字化智能密集架采购资金和综合档案馆建设项目资金较上年减少。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年初预算数213.78万元，决算数184.36万元，预决算差异率-13.76%，主要原因是：本年在职人员减少，年中调减人员经费，导致预决算存在差异。</w:t>
      </w:r>
    </w:p>
    <w:p w14:paraId="7F8158EB">
      <w:pPr>
        <w:spacing w:line="640" w:lineRule="exact"/>
        <w:ind w:firstLine="640"/>
        <w:jc w:val="both"/>
        <w:outlineLvl w:val="2"/>
      </w:pPr>
      <w:r>
        <w:rPr>
          <w:rFonts w:ascii="黑体" w:hAnsi="黑体" w:eastAsia="黑体"/>
          <w:sz w:val="32"/>
        </w:rPr>
        <w:t>五、一般公共预算财政拨款支出决算情况说明</w:t>
      </w:r>
    </w:p>
    <w:p w14:paraId="1C2FDB29">
      <w:pPr>
        <w:spacing w:line="640" w:lineRule="exact"/>
        <w:ind w:firstLine="640"/>
        <w:jc w:val="both"/>
        <w:outlineLvl w:val="3"/>
      </w:pPr>
      <w:r>
        <w:rPr>
          <w:rFonts w:ascii="楷体_GB2312" w:hAnsi="楷体_GB2312" w:eastAsia="楷体_GB2312"/>
          <w:b/>
          <w:sz w:val="32"/>
        </w:rPr>
        <w:t>（一）一般公共预算财政拨款支出决算总体情况</w:t>
      </w:r>
    </w:p>
    <w:p w14:paraId="79736577">
      <w:pPr>
        <w:spacing w:line="580" w:lineRule="exact"/>
        <w:ind w:firstLine="640"/>
        <w:jc w:val="both"/>
      </w:pPr>
      <w:r>
        <w:rPr>
          <w:rFonts w:ascii="仿宋_GB2312" w:hAnsi="仿宋_GB2312" w:eastAsia="仿宋_GB2312"/>
          <w:b/>
          <w:sz w:val="32"/>
        </w:rPr>
        <w:t>2024年度一般公共预算财政拨款支出184.36万元，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减少75.30万元，下降29.00%，主要原因是：一是本年在职人员减少，相关人员经费减少；二是</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精准扶贫档案数字化智能密集架采购资金和综合档案馆建设项目资金较上年减少。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年初预算数213.78万元，决算数184.36万元，预决算差异率-13.76%，主要原因是：本年在职人员减少，年中调减人员经费，导致预决算存在差异。</w:t>
      </w:r>
    </w:p>
    <w:p w14:paraId="18E4ACDA">
      <w:pPr>
        <w:spacing w:line="640" w:lineRule="exact"/>
        <w:ind w:firstLine="640"/>
        <w:jc w:val="both"/>
        <w:outlineLvl w:val="3"/>
      </w:pPr>
      <w:r>
        <w:rPr>
          <w:rFonts w:ascii="楷体_GB2312" w:hAnsi="楷体_GB2312" w:eastAsia="楷体_GB2312"/>
          <w:b/>
          <w:sz w:val="32"/>
        </w:rPr>
        <w:t>（二）一般公共预算财政拨款支出决算结构情况</w:t>
      </w:r>
    </w:p>
    <w:p w14:paraId="455C9F60">
      <w:pPr>
        <w:spacing w:line="580" w:lineRule="exact"/>
        <w:ind w:firstLine="640"/>
        <w:jc w:val="both"/>
      </w:pPr>
      <w:r>
        <w:rPr>
          <w:rFonts w:ascii="仿宋_GB2312" w:hAnsi="仿宋_GB2312" w:eastAsia="仿宋_GB2312"/>
          <w:b w:val="0"/>
          <w:sz w:val="32"/>
        </w:rPr>
        <w:t>1.一般公共服务支出(类)130.73万元,占70.91%。</w:t>
      </w:r>
    </w:p>
    <w:p w14:paraId="00C1B3B7">
      <w:pPr>
        <w:spacing w:line="580" w:lineRule="exact"/>
        <w:ind w:firstLine="640"/>
        <w:jc w:val="both"/>
      </w:pPr>
      <w:r>
        <w:rPr>
          <w:rFonts w:ascii="仿宋_GB2312" w:hAnsi="仿宋_GB2312" w:eastAsia="仿宋_GB2312"/>
          <w:b w:val="0"/>
          <w:sz w:val="32"/>
        </w:rPr>
        <w:t>2.社会保障和就业支出(类)37.13万元,占20.14%。</w:t>
      </w:r>
    </w:p>
    <w:p w14:paraId="22DE474D">
      <w:pPr>
        <w:spacing w:line="580" w:lineRule="exact"/>
        <w:ind w:firstLine="640"/>
        <w:jc w:val="both"/>
      </w:pPr>
      <w:r>
        <w:rPr>
          <w:rFonts w:ascii="仿宋_GB2312" w:hAnsi="仿宋_GB2312" w:eastAsia="仿宋_GB2312"/>
          <w:b w:val="0"/>
          <w:sz w:val="32"/>
        </w:rPr>
        <w:t>3.卫生健康支出(类)6.36万元,占3.45%。</w:t>
      </w:r>
    </w:p>
    <w:p w14:paraId="50F4F57D">
      <w:pPr>
        <w:spacing w:line="580" w:lineRule="exact"/>
        <w:ind w:firstLine="640"/>
        <w:jc w:val="both"/>
      </w:pPr>
      <w:r>
        <w:rPr>
          <w:rFonts w:ascii="仿宋_GB2312" w:hAnsi="仿宋_GB2312" w:eastAsia="仿宋_GB2312"/>
          <w:b w:val="0"/>
          <w:sz w:val="32"/>
        </w:rPr>
        <w:t>4.住房保障支出(类)10.14万元,占5.50%。</w:t>
      </w:r>
    </w:p>
    <w:p w14:paraId="56BB4567">
      <w:pPr>
        <w:spacing w:line="640" w:lineRule="exact"/>
        <w:ind w:firstLine="640"/>
        <w:jc w:val="both"/>
        <w:outlineLvl w:val="3"/>
      </w:pPr>
      <w:r>
        <w:rPr>
          <w:rFonts w:ascii="楷体_GB2312" w:hAnsi="楷体_GB2312" w:eastAsia="楷体_GB2312"/>
          <w:b/>
          <w:sz w:val="32"/>
        </w:rPr>
        <w:t>（三）一般公共预算财政拨款支出决算具体情况</w:t>
      </w:r>
    </w:p>
    <w:p w14:paraId="76CDFF45">
      <w:pPr>
        <w:spacing w:line="580" w:lineRule="exact"/>
        <w:ind w:firstLine="640"/>
        <w:jc w:val="both"/>
      </w:pPr>
      <w:r>
        <w:rPr>
          <w:rFonts w:ascii="仿宋_GB2312" w:hAnsi="仿宋_GB2312" w:eastAsia="仿宋_GB2312"/>
          <w:b w:val="0"/>
          <w:sz w:val="32"/>
        </w:rPr>
        <w:t>1.一般公共服务支出(类)档案事务(款)行政运行(项):支出决算数为130.73万元，比上年决算增加7.92万元，增长6.45%,主要原因是：本年在职人员工资调增，导致相关人员经费较上年有所增加。</w:t>
      </w:r>
    </w:p>
    <w:p w14:paraId="19A8024D">
      <w:pPr>
        <w:spacing w:line="580" w:lineRule="exact"/>
        <w:ind w:firstLine="640"/>
        <w:jc w:val="both"/>
      </w:pPr>
      <w:r>
        <w:rPr>
          <w:rFonts w:ascii="仿宋_GB2312" w:hAnsi="仿宋_GB2312" w:eastAsia="仿宋_GB2312"/>
          <w:b w:val="0"/>
          <w:sz w:val="32"/>
        </w:rPr>
        <w:t>2.一般公共服务支出(类)档案事务(款)档案馆(项):支出决算数为0.00万元，比上年决算减少16.36万元，下降100.00%,主要原因是：本年减少精准扶贫档案数字化智能密集架采购资金。</w:t>
      </w:r>
    </w:p>
    <w:p w14:paraId="0BED3FDD">
      <w:pPr>
        <w:spacing w:line="580" w:lineRule="exact"/>
        <w:ind w:firstLine="640"/>
        <w:jc w:val="both"/>
      </w:pPr>
      <w:r>
        <w:rPr>
          <w:rFonts w:ascii="仿宋_GB2312" w:hAnsi="仿宋_GB2312" w:eastAsia="仿宋_GB2312"/>
          <w:b w:val="0"/>
          <w:sz w:val="32"/>
        </w:rPr>
        <w:t>3.一般公共服务支出(类)档案事务(款)其他档案事务支出(项):支出决算数为0.00万元，比上年决算减少59.09万元，下降100.00%,主要原因是：本年减少综合档案馆建设项目。</w:t>
      </w:r>
    </w:p>
    <w:p w14:paraId="4108A52E">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4.社会保障和就业支出(类)行政事业单位养老支出(款)行政单位离退休(项):支出决算数为13.58万元，比上年决算增加3.44万元，增长33.93%,主要原因是：本年新增退休人员1人，导致退休费较上年增加。</w:t>
      </w:r>
    </w:p>
    <w:p w14:paraId="07BA2CF4">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11.83万元，比上年决算增加0.35万元，增长3.05%,主要原因是：本年在职人员工资基数调增，养老缴费基数上涨，相应支出增加。</w:t>
      </w:r>
    </w:p>
    <w:p w14:paraId="77CD70F2">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11.72万元，比上年决算减少5.54万元，下降32.10%,主要原因是：本年新增退休人员较上年减少，职业年金缴费较上年减少。</w:t>
      </w:r>
    </w:p>
    <w:p w14:paraId="380138BA">
      <w:pPr>
        <w:spacing w:line="580" w:lineRule="exact"/>
        <w:ind w:firstLine="640"/>
        <w:jc w:val="both"/>
      </w:pPr>
      <w:r>
        <w:rPr>
          <w:rFonts w:ascii="仿宋_GB2312" w:hAnsi="仿宋_GB2312" w:eastAsia="仿宋_GB2312"/>
          <w:b w:val="0"/>
          <w:sz w:val="32"/>
        </w:rPr>
        <w:t>7.卫生健康支出(类)行政事业单位医疗(款)行政单位医疗(项):支出决算数为4.88万元，比上年决算减少5.05万元，下降50.86%,主要原因是：本年在职人员减少，行政单位医疗较上年减少。</w:t>
      </w:r>
    </w:p>
    <w:p w14:paraId="3ECC69C7">
      <w:pPr>
        <w:spacing w:line="580" w:lineRule="exact"/>
        <w:ind w:firstLine="640"/>
        <w:jc w:val="both"/>
      </w:pPr>
      <w:r>
        <w:rPr>
          <w:rFonts w:ascii="仿宋_GB2312" w:hAnsi="仿宋_GB2312" w:eastAsia="仿宋_GB2312"/>
          <w:b w:val="0"/>
          <w:sz w:val="32"/>
        </w:rPr>
        <w:t>8.卫生健康支出(类)行政事业单位医疗(款)公务员医疗补助(项):支出决算数为1.48万元，比上年决算减少1.64万元，下降52.56%,主要原因是：本年在职人员减少，公务员医疗补助较上年减少。</w:t>
      </w:r>
    </w:p>
    <w:p w14:paraId="21CEA4E3">
      <w:pPr>
        <w:spacing w:line="580" w:lineRule="exact"/>
        <w:ind w:firstLine="640"/>
        <w:jc w:val="both"/>
      </w:pPr>
      <w:r>
        <w:rPr>
          <w:rFonts w:ascii="仿宋_GB2312" w:hAnsi="仿宋_GB2312" w:eastAsia="仿宋_GB2312"/>
          <w:b w:val="0"/>
          <w:sz w:val="32"/>
        </w:rPr>
        <w:t>9.住房保障支出(类)住房改革支出(款)住房公积金(项):支出决算数为10.14万元，比上年决算增加0.66万元，增长6.96%,主要原因是：本年在职人员工资基数调增，公积金缴费基数上涨，相应支出增加。</w:t>
      </w:r>
    </w:p>
    <w:p w14:paraId="5B43C421">
      <w:pPr>
        <w:spacing w:line="640" w:lineRule="exact"/>
        <w:ind w:firstLine="640"/>
        <w:jc w:val="both"/>
        <w:outlineLvl w:val="2"/>
      </w:pPr>
      <w:r>
        <w:rPr>
          <w:rFonts w:ascii="黑体" w:hAnsi="黑体" w:eastAsia="黑体"/>
          <w:sz w:val="32"/>
        </w:rPr>
        <w:t>六、一般公共预算财政拨款基本支出决算情况说明</w:t>
      </w:r>
    </w:p>
    <w:p w14:paraId="7B2BEDE0">
      <w:pPr>
        <w:spacing w:line="580" w:lineRule="exact"/>
        <w:ind w:firstLine="640"/>
        <w:jc w:val="both"/>
      </w:pPr>
      <w:r>
        <w:rPr>
          <w:rFonts w:ascii="仿宋_GB2312" w:hAnsi="仿宋_GB2312" w:eastAsia="仿宋_GB2312"/>
          <w:b w:val="0"/>
          <w:sz w:val="32"/>
        </w:rPr>
        <w:t>2024年度一般公共预算财政拨款基本支出184.36万元，其中：</w:t>
      </w:r>
      <w:r>
        <w:rPr>
          <w:rFonts w:ascii="仿宋_GB2312" w:hAnsi="仿宋_GB2312" w:eastAsia="仿宋_GB2312"/>
          <w:b/>
          <w:sz w:val="32"/>
        </w:rPr>
        <w:t>人员经费143.01万元，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包括：基本工资、津贴补贴、奖金、机关事业单位基本养老保险缴费、职业年金缴费、职工基本医疗保险缴费、公务员医疗补助缴费、其他社会保障缴费、住房公积金、退休费。</w:t>
      </w:r>
    </w:p>
    <w:p w14:paraId="48B4B39E">
      <w:pPr>
        <w:spacing w:line="580" w:lineRule="exact"/>
        <w:ind w:firstLine="640"/>
        <w:jc w:val="both"/>
      </w:pPr>
      <w:r>
        <w:rPr>
          <w:rFonts w:ascii="仿宋_GB2312" w:hAnsi="仿宋_GB2312" w:eastAsia="仿宋_GB2312"/>
          <w:b/>
          <w:sz w:val="32"/>
        </w:rPr>
        <w:t>公用经费41.35万元，</w:t>
      </w:r>
      <w:r>
        <w:rPr>
          <w:rFonts w:ascii="仿宋_GB2312" w:hAnsi="仿宋_GB2312" w:eastAsia="仿宋_GB2312"/>
          <w:b w:val="0"/>
          <w:sz w:val="32"/>
        </w:rPr>
        <w:t>包括：办公费、印刷费、电费、邮电费、取暖费、差旅费。</w:t>
      </w:r>
    </w:p>
    <w:p w14:paraId="3379AC52">
      <w:pPr>
        <w:spacing w:line="640" w:lineRule="exact"/>
        <w:ind w:firstLine="640"/>
        <w:jc w:val="both"/>
        <w:outlineLvl w:val="2"/>
      </w:pPr>
      <w:r>
        <w:rPr>
          <w:rFonts w:ascii="黑体" w:hAnsi="黑体" w:eastAsia="黑体"/>
          <w:sz w:val="32"/>
        </w:rPr>
        <w:t>七、政府性基金预算财政拨款收入支出决算情况说明</w:t>
      </w:r>
    </w:p>
    <w:p w14:paraId="15C217A3">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196C9C7">
      <w:pPr>
        <w:spacing w:line="640" w:lineRule="exact"/>
        <w:ind w:firstLine="640"/>
        <w:jc w:val="both"/>
        <w:outlineLvl w:val="2"/>
      </w:pPr>
      <w:r>
        <w:rPr>
          <w:rFonts w:ascii="黑体" w:hAnsi="黑体" w:eastAsia="黑体"/>
          <w:sz w:val="32"/>
        </w:rPr>
        <w:t>八、国有资本经营预算财政拨款收入支出决算情况说明</w:t>
      </w:r>
    </w:p>
    <w:p w14:paraId="3743BF3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09D1289">
      <w:pPr>
        <w:spacing w:line="640" w:lineRule="exact"/>
        <w:ind w:firstLine="640"/>
        <w:jc w:val="both"/>
        <w:outlineLvl w:val="2"/>
      </w:pPr>
      <w:r>
        <w:rPr>
          <w:rFonts w:ascii="黑体" w:hAnsi="黑体" w:eastAsia="黑体"/>
          <w:sz w:val="32"/>
        </w:rPr>
        <w:t>九、财政拨款“三公”经费支出决算情况说明</w:t>
      </w:r>
    </w:p>
    <w:p w14:paraId="0BB54ACD">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67E3C3D8">
      <w:pPr>
        <w:spacing w:line="580" w:lineRule="exact"/>
        <w:ind w:firstLine="640"/>
        <w:jc w:val="both"/>
      </w:pPr>
      <w:r>
        <w:rPr>
          <w:rFonts w:ascii="仿宋_GB2312" w:hAnsi="仿宋_GB2312" w:eastAsia="仿宋_GB2312"/>
          <w:b/>
          <w:sz w:val="32"/>
        </w:rPr>
        <w:t>具体情况如下：</w:t>
      </w:r>
    </w:p>
    <w:p w14:paraId="65DB693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40711C9">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75F5A46B">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52BB2F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0.00万元，决算数0.00万元，预决算差异率0.00%，主要原因是：本单位无公务用车运行维护费。公务接待费全年预算数0.00万元，决算数0.00万元，预决算差异率0.00%，主要原因是：本单位无公务接待费。</w:t>
      </w:r>
    </w:p>
    <w:p w14:paraId="1EBA5798">
      <w:pPr>
        <w:spacing w:line="640" w:lineRule="exact"/>
        <w:ind w:firstLine="640"/>
        <w:jc w:val="both"/>
        <w:outlineLvl w:val="2"/>
      </w:pPr>
      <w:r>
        <w:rPr>
          <w:rFonts w:ascii="黑体" w:hAnsi="黑体" w:eastAsia="黑体"/>
          <w:sz w:val="32"/>
        </w:rPr>
        <w:t>十、其他重要事项的情况说明</w:t>
      </w:r>
    </w:p>
    <w:p w14:paraId="6837FACC">
      <w:pPr>
        <w:spacing w:line="640" w:lineRule="exact"/>
        <w:ind w:firstLine="640"/>
        <w:jc w:val="both"/>
        <w:outlineLvl w:val="3"/>
      </w:pPr>
      <w:r>
        <w:rPr>
          <w:rFonts w:ascii="楷体_GB2312" w:hAnsi="楷体_GB2312" w:eastAsia="楷体_GB2312"/>
          <w:b/>
          <w:sz w:val="32"/>
        </w:rPr>
        <w:t>（一）机关运行经费及公用经费支出情况</w:t>
      </w:r>
    </w:p>
    <w:p w14:paraId="1F2CCE79">
      <w:pPr>
        <w:spacing w:line="580" w:lineRule="exact"/>
        <w:ind w:firstLine="640"/>
        <w:jc w:val="both"/>
      </w:pPr>
      <w:r>
        <w:rPr>
          <w:rFonts w:ascii="仿宋_GB2312" w:hAnsi="仿宋_GB2312" w:eastAsia="仿宋_GB2312"/>
          <w:b w:val="0"/>
          <w:sz w:val="32"/>
        </w:rPr>
        <w:t>2024年度塔什库尔干塔吉克自治县档案史志馆（行政单位和参照公务员法管理事业单位）机关运行经费支出41.35万元，比上年增加25.26万元，增长156.99%，主要原因是：增加塔什库尔干档案事业发展经费，导致机关运行经费增加。</w:t>
      </w:r>
    </w:p>
    <w:p w14:paraId="71395C42">
      <w:pPr>
        <w:spacing w:line="640" w:lineRule="exact"/>
        <w:ind w:firstLine="640"/>
        <w:jc w:val="both"/>
        <w:outlineLvl w:val="3"/>
      </w:pPr>
      <w:r>
        <w:rPr>
          <w:rFonts w:ascii="楷体_GB2312" w:hAnsi="楷体_GB2312" w:eastAsia="楷体_GB2312"/>
          <w:b/>
          <w:sz w:val="32"/>
        </w:rPr>
        <w:t>（二）政府采购情况</w:t>
      </w:r>
    </w:p>
    <w:p w14:paraId="7B2E65FD">
      <w:pPr>
        <w:spacing w:line="580" w:lineRule="exact"/>
        <w:ind w:firstLine="640"/>
        <w:jc w:val="both"/>
      </w:pPr>
      <w:r>
        <w:rPr>
          <w:rFonts w:ascii="仿宋_GB2312" w:hAnsi="仿宋_GB2312" w:eastAsia="仿宋_GB2312"/>
          <w:b w:val="0"/>
          <w:sz w:val="32"/>
        </w:rPr>
        <w:t>2024年度政府采购支出总额6.00万元，其中：政府采购货物支出0.00万元、政府采购工程支出0.00万元、政府采购服务支出6.00万元。</w:t>
      </w:r>
    </w:p>
    <w:p w14:paraId="5759225B">
      <w:pPr>
        <w:spacing w:line="580" w:lineRule="exact"/>
        <w:ind w:firstLine="640"/>
        <w:jc w:val="both"/>
      </w:pPr>
      <w:r>
        <w:rPr>
          <w:rFonts w:ascii="仿宋_GB2312" w:hAnsi="仿宋_GB2312" w:eastAsia="仿宋_GB2312"/>
          <w:b w:val="0"/>
          <w:sz w:val="32"/>
        </w:rPr>
        <w:t>授予中小企业合同金额6.00万元，占政府采购支出总额的100.00%，其中：授予小微企业合同金额0.00万元，占政府采购支出总额的0.00%。</w:t>
      </w:r>
    </w:p>
    <w:p w14:paraId="39EB6184">
      <w:pPr>
        <w:spacing w:line="640" w:lineRule="exact"/>
        <w:ind w:firstLine="640"/>
        <w:jc w:val="both"/>
        <w:outlineLvl w:val="3"/>
      </w:pPr>
      <w:r>
        <w:rPr>
          <w:rFonts w:ascii="楷体_GB2312" w:hAnsi="楷体_GB2312" w:eastAsia="楷体_GB2312"/>
          <w:b/>
          <w:sz w:val="32"/>
        </w:rPr>
        <w:t>（三）国有资产占用情况说明</w:t>
      </w:r>
    </w:p>
    <w:p w14:paraId="5BD63482">
      <w:pPr>
        <w:spacing w:line="580" w:lineRule="exact"/>
        <w:ind w:firstLine="640"/>
        <w:jc w:val="both"/>
      </w:pPr>
      <w:r>
        <w:rPr>
          <w:rFonts w:ascii="仿宋_GB2312" w:hAnsi="仿宋_GB2312" w:eastAsia="仿宋_GB2312"/>
          <w:b w:val="0"/>
          <w:sz w:val="32"/>
        </w:rPr>
        <w:t>截至2024年12月31日，房屋1,270.00平方米，价值284.00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658A4C95">
      <w:pPr>
        <w:spacing w:line="640" w:lineRule="exact"/>
        <w:ind w:firstLine="640"/>
        <w:jc w:val="both"/>
        <w:outlineLvl w:val="2"/>
      </w:pPr>
      <w:r>
        <w:rPr>
          <w:rFonts w:ascii="黑体" w:hAnsi="黑体" w:eastAsia="黑体"/>
          <w:sz w:val="32"/>
        </w:rPr>
        <w:t>十一、预算绩效的情况说明</w:t>
      </w:r>
    </w:p>
    <w:p w14:paraId="0E01C84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184.36万元，实际执行总额184.36万元；预算绩效评价项目3个，全年预算数40.39万元，全年执行数36.27万元。预算绩效管理取得的成效：一是本项目能够严格按照《项目实施方案》执行，项目执行情况较好。二是加强组织领导，本项目绩效评价工作，有主要领导亲自挂帅，分管领导具体负责，从项目到资金，均能够很好</w:t>
      </w:r>
      <w:r>
        <w:rPr>
          <w:rFonts w:hint="eastAsia" w:ascii="仿宋_GB2312" w:hAnsi="仿宋_GB2312" w:eastAsia="仿宋_GB2312"/>
          <w:b w:val="0"/>
          <w:sz w:val="32"/>
          <w:lang w:eastAsia="zh-CN"/>
        </w:rPr>
        <w:t>地</w:t>
      </w:r>
      <w:r>
        <w:rPr>
          <w:rFonts w:ascii="仿宋_GB2312" w:hAnsi="仿宋_GB2312" w:eastAsia="仿宋_GB2312"/>
          <w:b w:val="0"/>
          <w:sz w:val="32"/>
        </w:rPr>
        <w:t>执行。三是加强沟通协调，单位及时向领导汇报项目建设进度，加强与施工单位的沟通，确保项目按期完工。发现的问题及原因：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下一步改进措施：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2.项目评价资料有待进一步完善。项目启动时同步做好档案的归纳与整理，及时整理、收集、汇总，健全档案资料。项目后续管理有待进一步加强和跟踪。3.通过绩效管理，发现实施中存在漏洞，以后加强管理，及时掌握与之相关的各类信息，减少成本，使资金效益最大化。4.评价工作应从项目实施方案源头抓起，评价工作和意识应贯穿项目整个过程。具体附整体支出绩效自评表，项目支出绩效自评表和评价报告。</w:t>
      </w:r>
    </w:p>
    <w:p w14:paraId="52FFE89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1016"/>
        <w:gridCol w:w="983"/>
        <w:gridCol w:w="983"/>
        <w:gridCol w:w="983"/>
        <w:gridCol w:w="983"/>
        <w:gridCol w:w="983"/>
        <w:gridCol w:w="983"/>
      </w:tblGrid>
      <w:tr w14:paraId="37A0ED0D">
        <w:tc>
          <w:tcPr>
            <w:tcW w:w="8847" w:type="dxa"/>
            <w:gridSpan w:val="9"/>
            <w:vAlign w:val="center"/>
          </w:tcPr>
          <w:p w14:paraId="7267EEF3">
            <w:pPr>
              <w:jc w:val="center"/>
            </w:pPr>
            <w:r>
              <w:rPr>
                <w:rFonts w:ascii="宋体" w:hAnsi="宋体" w:eastAsia="宋体"/>
                <w:sz w:val="24"/>
              </w:rPr>
              <w:t>单位整体支出绩效自评表</w:t>
            </w:r>
          </w:p>
        </w:tc>
      </w:tr>
      <w:tr w14:paraId="6F92613E">
        <w:tblPrEx>
          <w:tblCellMar>
            <w:top w:w="0" w:type="dxa"/>
            <w:left w:w="108" w:type="dxa"/>
            <w:bottom w:w="0" w:type="dxa"/>
            <w:right w:w="108" w:type="dxa"/>
          </w:tblCellMar>
        </w:tblPrEx>
        <w:tc>
          <w:tcPr>
            <w:tcW w:w="8847" w:type="dxa"/>
            <w:gridSpan w:val="9"/>
            <w:vAlign w:val="center"/>
          </w:tcPr>
          <w:p w14:paraId="295CDF3B">
            <w:pPr>
              <w:jc w:val="center"/>
            </w:pPr>
            <w:r>
              <w:rPr>
                <w:rFonts w:ascii="宋体" w:hAnsi="宋体" w:eastAsia="宋体"/>
                <w:sz w:val="24"/>
              </w:rPr>
              <w:t>（2024年度）</w:t>
            </w:r>
          </w:p>
        </w:tc>
      </w:tr>
      <w:tr w14:paraId="47BA386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DC445">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CE41229">
            <w:pPr>
              <w:jc w:val="center"/>
            </w:pPr>
            <w:r>
              <w:rPr>
                <w:rFonts w:ascii="宋体" w:hAnsi="宋体" w:eastAsia="宋体"/>
                <w:sz w:val="16"/>
              </w:rPr>
              <w:t>塔什库尔干塔吉克自治县档案史志馆</w:t>
            </w:r>
          </w:p>
        </w:tc>
      </w:tr>
      <w:tr w14:paraId="2420CDA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22A129">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F8381">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2A12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9473A">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1B0CE">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163C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81D40">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BF892">
            <w:pPr>
              <w:jc w:val="center"/>
            </w:pPr>
            <w:r>
              <w:rPr>
                <w:rFonts w:ascii="宋体" w:hAnsi="宋体" w:eastAsia="宋体"/>
                <w:sz w:val="16"/>
              </w:rPr>
              <w:t>得分</w:t>
            </w:r>
          </w:p>
        </w:tc>
      </w:tr>
      <w:tr w14:paraId="1A6EE7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A1FA0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B8E96">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E16DF">
            <w:pPr>
              <w:jc w:val="center"/>
            </w:pPr>
            <w:r>
              <w:rPr>
                <w:rFonts w:ascii="宋体" w:hAnsi="宋体" w:eastAsia="宋体"/>
                <w:sz w:val="16"/>
              </w:rPr>
              <w:t>213.78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2D99C">
            <w:pPr>
              <w:jc w:val="center"/>
            </w:pPr>
            <w:r>
              <w:rPr>
                <w:rFonts w:ascii="宋体" w:hAnsi="宋体" w:eastAsia="宋体"/>
                <w:sz w:val="16"/>
              </w:rPr>
              <w:t>184.36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C98DC">
            <w:pPr>
              <w:jc w:val="center"/>
            </w:pPr>
            <w:r>
              <w:rPr>
                <w:rFonts w:ascii="宋体" w:hAnsi="宋体" w:eastAsia="宋体"/>
                <w:sz w:val="16"/>
              </w:rPr>
              <w:t>184.36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4F67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18D00">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5C63C">
            <w:pPr>
              <w:jc w:val="center"/>
            </w:pPr>
            <w:r>
              <w:rPr>
                <w:rFonts w:ascii="宋体" w:hAnsi="宋体" w:eastAsia="宋体"/>
                <w:sz w:val="16"/>
              </w:rPr>
              <w:t>10</w:t>
            </w:r>
          </w:p>
        </w:tc>
      </w:tr>
      <w:tr w14:paraId="39B186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418D4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E324D">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330A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27AB3">
            <w:pPr>
              <w:jc w:val="center"/>
            </w:pPr>
            <w:r>
              <w:rPr>
                <w:rFonts w:ascii="宋体" w:hAnsi="宋体" w:eastAsia="宋体"/>
                <w:sz w:val="16"/>
              </w:rPr>
              <w:t>5.57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615CB">
            <w:pPr>
              <w:jc w:val="center"/>
            </w:pPr>
            <w:r>
              <w:rPr>
                <w:rFonts w:ascii="宋体" w:hAnsi="宋体" w:eastAsia="宋体"/>
                <w:sz w:val="16"/>
              </w:rPr>
              <w:t>5.57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B892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9C20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A0C5B">
            <w:pPr>
              <w:jc w:val="center"/>
            </w:pPr>
            <w:r>
              <w:rPr>
                <w:rFonts w:ascii="宋体" w:hAnsi="宋体" w:eastAsia="宋体"/>
                <w:sz w:val="16"/>
              </w:rPr>
              <w:t>—</w:t>
            </w:r>
          </w:p>
        </w:tc>
      </w:tr>
      <w:tr w14:paraId="670F65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B203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0E4D2">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39EA6">
            <w:pPr>
              <w:jc w:val="center"/>
            </w:pPr>
            <w:r>
              <w:rPr>
                <w:rFonts w:ascii="宋体" w:hAnsi="宋体" w:eastAsia="宋体"/>
                <w:sz w:val="16"/>
              </w:rPr>
              <w:t>213.78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4D7A5">
            <w:pPr>
              <w:jc w:val="center"/>
            </w:pPr>
            <w:r>
              <w:rPr>
                <w:rFonts w:ascii="宋体" w:hAnsi="宋体" w:eastAsia="宋体"/>
                <w:sz w:val="16"/>
              </w:rPr>
              <w:t>178.79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BFF54">
            <w:pPr>
              <w:jc w:val="center"/>
            </w:pPr>
            <w:r>
              <w:rPr>
                <w:rFonts w:ascii="宋体" w:hAnsi="宋体" w:eastAsia="宋体"/>
                <w:sz w:val="16"/>
              </w:rPr>
              <w:t>178.79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BBC2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7996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27450">
            <w:pPr>
              <w:jc w:val="center"/>
            </w:pPr>
            <w:r>
              <w:rPr>
                <w:rFonts w:ascii="宋体" w:hAnsi="宋体" w:eastAsia="宋体"/>
                <w:sz w:val="16"/>
              </w:rPr>
              <w:t>—</w:t>
            </w:r>
          </w:p>
        </w:tc>
      </w:tr>
      <w:tr w14:paraId="182BA5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7D12A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7951D">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83D6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C662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63D3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6B0E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648B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63C62">
            <w:pPr>
              <w:jc w:val="center"/>
            </w:pPr>
            <w:r>
              <w:rPr>
                <w:rFonts w:ascii="宋体" w:hAnsi="宋体" w:eastAsia="宋体"/>
                <w:sz w:val="16"/>
              </w:rPr>
              <w:t>—</w:t>
            </w:r>
          </w:p>
        </w:tc>
      </w:tr>
      <w:tr w14:paraId="5FA92CC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4FCBD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5FC2E7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453230">
            <w:pPr>
              <w:jc w:val="center"/>
              <w:rPr>
                <w:rFonts w:hint="eastAsia" w:eastAsia="宋体"/>
                <w:lang w:eastAsia="zh-CN"/>
              </w:rPr>
            </w:pPr>
            <w:r>
              <w:rPr>
                <w:rFonts w:hint="eastAsia" w:ascii="宋体" w:hAnsi="宋体"/>
                <w:sz w:val="16"/>
                <w:lang w:eastAsia="zh-CN"/>
              </w:rPr>
              <w:t>实际完成情况</w:t>
            </w:r>
          </w:p>
        </w:tc>
      </w:tr>
      <w:tr w14:paraId="584BC3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B47ED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C4F928B">
            <w:pPr>
              <w:jc w:val="both"/>
            </w:pPr>
            <w:r>
              <w:rPr>
                <w:rFonts w:ascii="宋体" w:hAnsi="宋体" w:eastAsia="宋体"/>
                <w:sz w:val="16"/>
              </w:rPr>
              <w:t>2024年，</w:t>
            </w:r>
            <w:r>
              <w:rPr>
                <w:rFonts w:hint="eastAsia" w:ascii="宋体" w:hAnsi="宋体"/>
                <w:sz w:val="16"/>
                <w:lang w:eastAsia="zh-CN"/>
              </w:rPr>
              <w:t>塔什库尔干塔吉克自治县</w:t>
            </w:r>
            <w:r>
              <w:rPr>
                <w:rFonts w:ascii="宋体" w:hAnsi="宋体" w:eastAsia="宋体"/>
                <w:sz w:val="16"/>
              </w:rPr>
              <w:t>委档案史志办将持续深入学习贯彻习近平总书记关于档案工作重要指示批示精神，坚决扛起“为党管档、为国守史、为民服务”政治责任，按照县委各项工作部署要求，</w:t>
            </w:r>
            <w:r>
              <w:rPr>
                <w:rFonts w:hint="eastAsia" w:ascii="宋体" w:hAnsi="宋体"/>
                <w:sz w:val="16"/>
                <w:lang w:eastAsia="zh-CN"/>
              </w:rPr>
              <w:t>围绕中心、服务大局</w:t>
            </w:r>
            <w:r>
              <w:rPr>
                <w:rFonts w:ascii="宋体" w:hAnsi="宋体" w:eastAsia="宋体"/>
                <w:sz w:val="16"/>
              </w:rPr>
              <w:t>，坚持问题导向，持续补短强弱，增强工作主动性，持续在落实“三个机制”，开展“五个行动”，实现“三个突破”中不断强化档案史志事业“强基础、上台阶、开新局”。持续开展“档案归集应归尽归”行动，做好存量档案接收进馆工作；持续开展“档案数字化”行动，持续做好重大项目接收数字化工作；开展驻点业务指导；开展档案工作执法调研；开展档案工作风险排查行动；在</w:t>
            </w:r>
            <w:r>
              <w:rPr>
                <w:rFonts w:hint="eastAsia" w:ascii="宋体" w:hAnsi="宋体"/>
                <w:sz w:val="16"/>
                <w:lang w:eastAsia="zh-CN"/>
              </w:rPr>
              <w:t>塔什库尔干塔吉克自治县</w:t>
            </w:r>
            <w:r>
              <w:rPr>
                <w:rFonts w:ascii="宋体" w:hAnsi="宋体" w:eastAsia="宋体"/>
                <w:sz w:val="16"/>
              </w:rPr>
              <w:t>扶贫志、党史、年鉴编纂上持续着力，实现新突破。保障机关正常运转，职工工资、社保、公积金按时发放和缴纳。</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5EA1AE">
            <w:pPr>
              <w:jc w:val="both"/>
            </w:pPr>
            <w:r>
              <w:rPr>
                <w:rFonts w:ascii="宋体" w:hAnsi="宋体" w:eastAsia="宋体"/>
                <w:sz w:val="16"/>
              </w:rPr>
              <w:t>2024年，</w:t>
            </w:r>
            <w:r>
              <w:rPr>
                <w:rFonts w:hint="eastAsia" w:ascii="宋体" w:hAnsi="宋体"/>
                <w:sz w:val="16"/>
                <w:lang w:eastAsia="zh-CN"/>
              </w:rPr>
              <w:t>塔什库尔干塔吉克自治县</w:t>
            </w:r>
            <w:r>
              <w:rPr>
                <w:rFonts w:ascii="宋体" w:hAnsi="宋体" w:eastAsia="宋体"/>
                <w:sz w:val="16"/>
              </w:rPr>
              <w:t>委档案史志办持续深入学习贯彻习近平总书记关于档案工作重要指示批示精神，坚决扛起“为党管档、为国守史、为民服务”政治责任，按照县委各项工作部署要求，</w:t>
            </w:r>
            <w:r>
              <w:rPr>
                <w:rFonts w:hint="eastAsia" w:ascii="宋体" w:hAnsi="宋体"/>
                <w:sz w:val="16"/>
                <w:lang w:eastAsia="zh-CN"/>
              </w:rPr>
              <w:t>围绕中心、服务大局</w:t>
            </w:r>
            <w:r>
              <w:rPr>
                <w:rFonts w:ascii="宋体" w:hAnsi="宋体" w:eastAsia="宋体"/>
                <w:sz w:val="16"/>
              </w:rPr>
              <w:t>，坚持问题导向，持续补短强弱，增强工作主动性，持续在落实“三个机制”，开展“五个行动”，实现“三个突破”中不断强化档案史志事业“强基础、上台阶、开新局”。持续开展“档案归集应归尽归”行动，做好存量档案接收进馆工作；持续开展“档案数字化”行动，持续做好重大项目接收数字化工作；开展驻点业务指导；开展档案工作执法调研；开展档案工作风险排查行动；在</w:t>
            </w:r>
            <w:r>
              <w:rPr>
                <w:rFonts w:hint="eastAsia" w:ascii="宋体" w:hAnsi="宋体"/>
                <w:sz w:val="16"/>
                <w:lang w:eastAsia="zh-CN"/>
              </w:rPr>
              <w:t>塔什库尔干塔吉克自治县</w:t>
            </w:r>
            <w:r>
              <w:rPr>
                <w:rFonts w:ascii="宋体" w:hAnsi="宋体" w:eastAsia="宋体"/>
                <w:sz w:val="16"/>
              </w:rPr>
              <w:t>扶贫志、党史、年鉴编纂上持续着力，实现新突破。保障机关正常运转，职工工资、社保、公积金按时发放和缴纳。2024年具体完成的重要工作有：对全县档案员进行业务轮训次数2次，开展档案业务指导活动期数1期，进行《塔什库尔干县年鉴（2024）》编印期数1期，组织《中国共产党塔什库尔干塔吉克自治县扶贫志》参加自治区评审工作次数1次，征订或整理文献资料1套。</w:t>
            </w:r>
          </w:p>
        </w:tc>
      </w:tr>
      <w:tr w14:paraId="48A1556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C285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B71A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4799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C9960">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B7825">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FA587">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2228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02374">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0F113">
            <w:pPr>
              <w:jc w:val="center"/>
            </w:pPr>
            <w:r>
              <w:rPr>
                <w:rFonts w:ascii="宋体" w:hAnsi="宋体" w:eastAsia="宋体"/>
                <w:sz w:val="16"/>
              </w:rPr>
              <w:t>得分</w:t>
            </w:r>
          </w:p>
        </w:tc>
      </w:tr>
      <w:tr w14:paraId="0FF0657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5B85BC">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9AA90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4CF76">
            <w:pPr>
              <w:jc w:val="center"/>
            </w:pPr>
            <w:r>
              <w:rPr>
                <w:rFonts w:ascii="宋体" w:hAnsi="宋体" w:eastAsia="宋体"/>
                <w:sz w:val="16"/>
              </w:rPr>
              <w:t>对全县档案员进行业务轮训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9548C">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6FE5E">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0446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5B358">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EF62C">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D0F29">
            <w:pPr>
              <w:jc w:val="center"/>
            </w:pPr>
            <w:r>
              <w:rPr>
                <w:rFonts w:ascii="宋体" w:hAnsi="宋体" w:eastAsia="宋体"/>
                <w:sz w:val="16"/>
              </w:rPr>
              <w:t>20</w:t>
            </w:r>
          </w:p>
        </w:tc>
      </w:tr>
      <w:tr w14:paraId="648C2F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DB87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175A5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7FDDA">
            <w:pPr>
              <w:jc w:val="center"/>
            </w:pPr>
            <w:r>
              <w:rPr>
                <w:rFonts w:ascii="宋体" w:hAnsi="宋体" w:eastAsia="宋体"/>
                <w:sz w:val="16"/>
              </w:rPr>
              <w:t>开展档案业务指导活动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C976A">
            <w:pPr>
              <w:jc w:val="center"/>
            </w:pPr>
            <w:r>
              <w:rPr>
                <w:rFonts w:ascii="宋体" w:hAnsi="宋体" w:eastAsia="宋体"/>
                <w:sz w:val="16"/>
              </w:rPr>
              <w:t>=1期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B20B2">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0182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56063">
            <w:pPr>
              <w:jc w:val="center"/>
            </w:pPr>
            <w:r>
              <w:rPr>
                <w:rFonts w:ascii="宋体" w:hAnsi="宋体" w:eastAsia="宋体"/>
                <w:sz w:val="16"/>
              </w:rPr>
              <w:t>1期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87ABB">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CADEB">
            <w:pPr>
              <w:jc w:val="center"/>
            </w:pPr>
            <w:r>
              <w:rPr>
                <w:rFonts w:ascii="宋体" w:hAnsi="宋体" w:eastAsia="宋体"/>
                <w:sz w:val="16"/>
              </w:rPr>
              <w:t>20</w:t>
            </w:r>
          </w:p>
        </w:tc>
      </w:tr>
      <w:tr w14:paraId="0F3752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41E42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6140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E7ED5">
            <w:pPr>
              <w:jc w:val="center"/>
            </w:pPr>
            <w:r>
              <w:rPr>
                <w:rFonts w:ascii="宋体" w:hAnsi="宋体" w:eastAsia="宋体"/>
                <w:sz w:val="16"/>
              </w:rPr>
              <w:t>《塔什库尔干县年鉴（2024）》编印数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7E5D1">
            <w:pPr>
              <w:jc w:val="center"/>
            </w:pPr>
            <w:r>
              <w:rPr>
                <w:rFonts w:ascii="宋体" w:hAnsi="宋体" w:eastAsia="宋体"/>
                <w:sz w:val="16"/>
              </w:rPr>
              <w:t>=1期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BFCD4">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7A3B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B4FC0">
            <w:pPr>
              <w:jc w:val="center"/>
            </w:pPr>
            <w:r>
              <w:rPr>
                <w:rFonts w:ascii="宋体" w:hAnsi="宋体" w:eastAsia="宋体"/>
                <w:sz w:val="16"/>
              </w:rPr>
              <w:t>1期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C410F">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C833A">
            <w:pPr>
              <w:jc w:val="center"/>
            </w:pPr>
            <w:r>
              <w:rPr>
                <w:rFonts w:ascii="宋体" w:hAnsi="宋体" w:eastAsia="宋体"/>
                <w:sz w:val="16"/>
              </w:rPr>
              <w:t>20</w:t>
            </w:r>
          </w:p>
        </w:tc>
      </w:tr>
      <w:tr w14:paraId="001301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956E2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D9DE0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DECBE">
            <w:pPr>
              <w:jc w:val="center"/>
            </w:pPr>
            <w:r>
              <w:rPr>
                <w:rFonts w:ascii="宋体" w:hAnsi="宋体" w:eastAsia="宋体"/>
                <w:sz w:val="16"/>
              </w:rPr>
              <w:t>《中国共产党塔什库尔干塔吉克自治县扶贫志》参加自治区评审工作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3A5D0">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DB4F3">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1660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BBDF3">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B852C">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29912">
            <w:pPr>
              <w:jc w:val="center"/>
            </w:pPr>
            <w:r>
              <w:rPr>
                <w:rFonts w:ascii="宋体" w:hAnsi="宋体" w:eastAsia="宋体"/>
                <w:sz w:val="16"/>
              </w:rPr>
              <w:t>20</w:t>
            </w:r>
          </w:p>
        </w:tc>
      </w:tr>
      <w:tr w14:paraId="086EDF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8BFF8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1455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0E176">
            <w:pPr>
              <w:jc w:val="center"/>
            </w:pPr>
            <w:r>
              <w:rPr>
                <w:rFonts w:ascii="宋体" w:hAnsi="宋体" w:eastAsia="宋体"/>
                <w:sz w:val="16"/>
              </w:rPr>
              <w:t>征订或整理文献资料数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9A017">
            <w:pPr>
              <w:jc w:val="center"/>
            </w:pPr>
            <w:r>
              <w:rPr>
                <w:rFonts w:ascii="宋体" w:hAnsi="宋体" w:eastAsia="宋体"/>
                <w:sz w:val="16"/>
              </w:rPr>
              <w:t>&gt;=1套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BFC25">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7E8A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07623">
            <w:pPr>
              <w:jc w:val="center"/>
            </w:pPr>
            <w:r>
              <w:rPr>
                <w:rFonts w:ascii="宋体" w:hAnsi="宋体" w:eastAsia="宋体"/>
                <w:sz w:val="16"/>
              </w:rPr>
              <w:t>1套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03E62">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E5204">
            <w:pPr>
              <w:jc w:val="center"/>
            </w:pPr>
            <w:r>
              <w:rPr>
                <w:rFonts w:ascii="宋体" w:hAnsi="宋体" w:eastAsia="宋体"/>
                <w:sz w:val="16"/>
              </w:rPr>
              <w:t>10</w:t>
            </w:r>
          </w:p>
        </w:tc>
      </w:tr>
    </w:tbl>
    <w:p w14:paraId="7FF4273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0D54643C">
        <w:tblPrEx>
          <w:tblCellMar>
            <w:top w:w="0" w:type="dxa"/>
            <w:left w:w="108" w:type="dxa"/>
            <w:bottom w:w="0" w:type="dxa"/>
            <w:right w:w="108" w:type="dxa"/>
          </w:tblCellMar>
        </w:tblPrEx>
        <w:tc>
          <w:tcPr>
            <w:tcW w:w="8848" w:type="dxa"/>
            <w:gridSpan w:val="14"/>
            <w:vAlign w:val="center"/>
          </w:tcPr>
          <w:p w14:paraId="7444828D">
            <w:pPr>
              <w:jc w:val="center"/>
            </w:pPr>
            <w:r>
              <w:rPr>
                <w:rFonts w:ascii="宋体" w:hAnsi="宋体" w:eastAsia="宋体"/>
                <w:sz w:val="24"/>
              </w:rPr>
              <w:t>项目支出绩效自评表</w:t>
            </w:r>
          </w:p>
        </w:tc>
      </w:tr>
      <w:tr w14:paraId="4F7E955E">
        <w:tblPrEx>
          <w:tblCellMar>
            <w:top w:w="0" w:type="dxa"/>
            <w:left w:w="108" w:type="dxa"/>
            <w:bottom w:w="0" w:type="dxa"/>
            <w:right w:w="108" w:type="dxa"/>
          </w:tblCellMar>
        </w:tblPrEx>
        <w:tc>
          <w:tcPr>
            <w:tcW w:w="8848" w:type="dxa"/>
            <w:gridSpan w:val="14"/>
            <w:vAlign w:val="center"/>
          </w:tcPr>
          <w:p w14:paraId="1E8970FF">
            <w:pPr>
              <w:jc w:val="center"/>
            </w:pPr>
            <w:r>
              <w:rPr>
                <w:rFonts w:ascii="宋体" w:hAnsi="宋体" w:eastAsia="宋体"/>
                <w:sz w:val="24"/>
              </w:rPr>
              <w:t>(2024年度)</w:t>
            </w:r>
          </w:p>
        </w:tc>
      </w:tr>
      <w:tr w14:paraId="1CD49B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4F45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DEFBB90">
            <w:pPr>
              <w:jc w:val="center"/>
            </w:pPr>
            <w:r>
              <w:rPr>
                <w:rFonts w:ascii="宋体" w:hAnsi="宋体" w:eastAsia="宋体"/>
                <w:sz w:val="16"/>
              </w:rPr>
              <w:t>2024《塔什库尔干年鉴》（2022、2023、2024）编纂出版项目</w:t>
            </w:r>
          </w:p>
        </w:tc>
      </w:tr>
      <w:tr w14:paraId="7D41E8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44D8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EC3826">
            <w:pPr>
              <w:jc w:val="center"/>
            </w:pPr>
            <w:r>
              <w:rPr>
                <w:rFonts w:ascii="宋体" w:hAnsi="宋体" w:eastAsia="宋体"/>
                <w:sz w:val="16"/>
              </w:rPr>
              <w:t>塔什库尔干塔吉克自治县档案史志馆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E283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47A2B6">
            <w:pPr>
              <w:jc w:val="center"/>
            </w:pPr>
            <w:r>
              <w:rPr>
                <w:rFonts w:ascii="宋体" w:hAnsi="宋体" w:eastAsia="宋体"/>
                <w:sz w:val="16"/>
              </w:rPr>
              <w:t>塔什库尔干塔吉克自治县档案史志馆</w:t>
            </w:r>
          </w:p>
        </w:tc>
      </w:tr>
      <w:tr w14:paraId="414339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48483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C277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367C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EB21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9C10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B80F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579C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EBDA5">
            <w:pPr>
              <w:jc w:val="center"/>
            </w:pPr>
            <w:r>
              <w:rPr>
                <w:rFonts w:ascii="宋体" w:hAnsi="宋体" w:eastAsia="宋体"/>
                <w:sz w:val="16"/>
              </w:rPr>
              <w:t>得分</w:t>
            </w:r>
          </w:p>
        </w:tc>
      </w:tr>
      <w:tr w14:paraId="514DF4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56F45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DD33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4A0C1">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56DB8">
            <w:pPr>
              <w:jc w:val="center"/>
            </w:pPr>
            <w:r>
              <w:rPr>
                <w:rFonts w:ascii="宋体" w:hAnsi="宋体" w:eastAsia="宋体"/>
                <w:sz w:val="16"/>
              </w:rPr>
              <w:t>15.57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6AB83">
            <w:pPr>
              <w:jc w:val="center"/>
            </w:pPr>
            <w:r>
              <w:rPr>
                <w:rFonts w:ascii="宋体" w:hAnsi="宋体" w:eastAsia="宋体"/>
                <w:sz w:val="16"/>
              </w:rPr>
              <w:t>15.57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89C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BE38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BF508">
            <w:pPr>
              <w:jc w:val="center"/>
            </w:pPr>
            <w:r>
              <w:rPr>
                <w:rFonts w:ascii="宋体" w:hAnsi="宋体" w:eastAsia="宋体"/>
                <w:sz w:val="16"/>
              </w:rPr>
              <w:t>10.00分</w:t>
            </w:r>
          </w:p>
        </w:tc>
      </w:tr>
      <w:tr w14:paraId="2CD910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0D7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AF66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86956">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F62AB">
            <w:pPr>
              <w:jc w:val="center"/>
            </w:pPr>
            <w:r>
              <w:rPr>
                <w:rFonts w:ascii="宋体" w:hAnsi="宋体" w:eastAsia="宋体"/>
                <w:sz w:val="16"/>
              </w:rPr>
              <w:t>15.57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A9667">
            <w:pPr>
              <w:jc w:val="center"/>
            </w:pPr>
            <w:r>
              <w:rPr>
                <w:rFonts w:ascii="宋体" w:hAnsi="宋体" w:eastAsia="宋体"/>
                <w:sz w:val="16"/>
              </w:rPr>
              <w:t>15.57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D74A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CDA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62F19">
            <w:pPr>
              <w:jc w:val="center"/>
            </w:pPr>
            <w:r>
              <w:rPr>
                <w:rFonts w:ascii="宋体" w:hAnsi="宋体" w:eastAsia="宋体"/>
                <w:sz w:val="16"/>
              </w:rPr>
              <w:t>—</w:t>
            </w:r>
          </w:p>
        </w:tc>
      </w:tr>
      <w:tr w14:paraId="16F66C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8C1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BF03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EF6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75D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886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F73A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3ED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5B105">
            <w:pPr>
              <w:jc w:val="center"/>
            </w:pPr>
            <w:r>
              <w:rPr>
                <w:rFonts w:ascii="宋体" w:hAnsi="宋体" w:eastAsia="宋体"/>
                <w:sz w:val="16"/>
              </w:rPr>
              <w:t>—</w:t>
            </w:r>
          </w:p>
        </w:tc>
      </w:tr>
      <w:tr w14:paraId="6D25C4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50CC5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ABFA2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B702AC">
            <w:pPr>
              <w:jc w:val="center"/>
            </w:pPr>
            <w:r>
              <w:rPr>
                <w:rFonts w:ascii="宋体" w:hAnsi="宋体" w:eastAsia="宋体"/>
                <w:sz w:val="16"/>
              </w:rPr>
              <w:t>实际完成情况</w:t>
            </w:r>
          </w:p>
        </w:tc>
      </w:tr>
      <w:tr w14:paraId="2712F3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B663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F569F6">
            <w:pPr>
              <w:jc w:val="both"/>
            </w:pPr>
            <w:r>
              <w:rPr>
                <w:rFonts w:ascii="宋体" w:hAnsi="宋体" w:eastAsia="宋体"/>
                <w:sz w:val="16"/>
              </w:rPr>
              <w:t>该项目用于年鉴编纂3本，通过项目的实施全面、系统、科学、准确记录2022年、 2023年、2024年三本书全县自然、政治、经济、文化、社会等各方面情况和年度大事、要事、新事、特事，为资政存史提供坚实的资料基础，为各级决策和管理服务提供可靠的参考依据，为社会各界提供有效的信息服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8AD5C6">
            <w:pPr>
              <w:jc w:val="both"/>
            </w:pPr>
            <w:r>
              <w:rPr>
                <w:rFonts w:ascii="宋体" w:hAnsi="宋体" w:eastAsia="宋体"/>
                <w:sz w:val="16"/>
              </w:rPr>
              <w:t>项目实际支出15.57万元，用于3本年鉴编纂，年鉴审读合格率达100%，年鉴编纂完成及时率达100%，项目的实施全面、系统、科学、准确</w:t>
            </w:r>
            <w:r>
              <w:rPr>
                <w:rFonts w:hint="eastAsia" w:ascii="宋体" w:hAnsi="宋体"/>
                <w:sz w:val="16"/>
                <w:lang w:eastAsia="zh-CN"/>
              </w:rPr>
              <w:t>地</w:t>
            </w:r>
            <w:r>
              <w:rPr>
                <w:rFonts w:ascii="宋体" w:hAnsi="宋体" w:eastAsia="宋体"/>
                <w:sz w:val="16"/>
              </w:rPr>
              <w:t>记录了2022年、 2023年、2024年全县自然、政治、经济、文化、社会等各方面情况和年度大事、要事、新事、特事，为资政存史提供了坚实的资料基础，为各级决策和管理服务提供了可靠的参考依据，为社会各界提供了有效的信息服务，使全县机关满意度达到了100%。</w:t>
            </w:r>
          </w:p>
        </w:tc>
      </w:tr>
      <w:tr w14:paraId="77FD63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FF7CE7">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05F5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DC58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C147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8CF2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430C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C8A3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EA53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E517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18B6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E9B5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ADC9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F6C40">
            <w:pPr>
              <w:jc w:val="center"/>
            </w:pPr>
            <w:r>
              <w:rPr>
                <w:rFonts w:ascii="宋体" w:hAnsi="宋体" w:eastAsia="宋体"/>
                <w:sz w:val="16"/>
              </w:rPr>
              <w:t>偏差原因分析及改进措施</w:t>
            </w:r>
          </w:p>
        </w:tc>
      </w:tr>
      <w:tr w14:paraId="085F32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8E3C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52673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1E8F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3EA99">
            <w:pPr>
              <w:jc w:val="center"/>
            </w:pPr>
            <w:r>
              <w:rPr>
                <w:rFonts w:ascii="宋体" w:hAnsi="宋体" w:eastAsia="宋体"/>
                <w:sz w:val="16"/>
              </w:rPr>
              <w:t>年鉴编纂数量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9EB01">
            <w:pPr>
              <w:jc w:val="center"/>
            </w:pPr>
            <w:r>
              <w:rPr>
                <w:rFonts w:ascii="宋体" w:hAnsi="宋体" w:eastAsia="宋体"/>
                <w:sz w:val="16"/>
              </w:rPr>
              <w:t>&gt;=3本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5E4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D9A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F78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E2F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C15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B6D9D">
            <w:pPr>
              <w:jc w:val="center"/>
            </w:pPr>
            <w:r>
              <w:rPr>
                <w:rFonts w:ascii="宋体" w:hAnsi="宋体" w:eastAsia="宋体"/>
                <w:sz w:val="16"/>
              </w:rPr>
              <w:t>=3本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39A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CB6CE">
            <w:pPr>
              <w:jc w:val="center"/>
            </w:pPr>
          </w:p>
        </w:tc>
      </w:tr>
      <w:tr w14:paraId="1B1CAA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05C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F95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F791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DDA07">
            <w:pPr>
              <w:jc w:val="center"/>
            </w:pPr>
            <w:r>
              <w:rPr>
                <w:rFonts w:ascii="宋体" w:hAnsi="宋体" w:eastAsia="宋体"/>
                <w:sz w:val="16"/>
              </w:rPr>
              <w:t>年鉴审读合格率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D59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BDE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CAA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AE6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028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B7C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D2C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AA48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7FE77">
            <w:pPr>
              <w:jc w:val="center"/>
            </w:pPr>
          </w:p>
        </w:tc>
      </w:tr>
      <w:tr w14:paraId="6270E7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A6C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98F6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FE3EE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F40ED">
            <w:pPr>
              <w:jc w:val="center"/>
            </w:pPr>
            <w:r>
              <w:rPr>
                <w:rFonts w:ascii="宋体" w:hAnsi="宋体" w:eastAsia="宋体"/>
                <w:sz w:val="16"/>
              </w:rPr>
              <w:t>年鉴编纂完成及时率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644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609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59A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C5D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9D4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329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B3C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923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BE4E1">
            <w:pPr>
              <w:jc w:val="center"/>
            </w:pPr>
          </w:p>
        </w:tc>
      </w:tr>
      <w:tr w14:paraId="01CE64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D24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C61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EC6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A628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8D057">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3BF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762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812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F1CF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E9A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C6A7F">
            <w:pPr>
              <w:jc w:val="center"/>
            </w:pPr>
            <w:r>
              <w:rPr>
                <w:rFonts w:ascii="宋体" w:hAnsi="宋体" w:eastAsia="宋体"/>
                <w:sz w:val="16"/>
              </w:rPr>
              <w:t>=</w:t>
            </w:r>
            <w:r>
              <w:rPr>
                <w:rFonts w:hint="eastAsia" w:ascii="宋体" w:hAnsi="宋体"/>
                <w:sz w:val="16"/>
                <w:lang w:eastAsia="zh-CN"/>
              </w:rPr>
              <w:t>2024年12月2日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59B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AE9FE">
            <w:pPr>
              <w:jc w:val="center"/>
            </w:pPr>
          </w:p>
        </w:tc>
      </w:tr>
      <w:tr w14:paraId="39336F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5F1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ADE9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4469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7878E">
            <w:pPr>
              <w:jc w:val="center"/>
            </w:pPr>
            <w:r>
              <w:rPr>
                <w:rFonts w:ascii="宋体" w:hAnsi="宋体" w:eastAsia="宋体"/>
                <w:sz w:val="16"/>
              </w:rPr>
              <w:t>编纂年鉴成本费用标准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6C5BC">
            <w:pPr>
              <w:jc w:val="center"/>
            </w:pPr>
            <w:r>
              <w:rPr>
                <w:rFonts w:ascii="宋体" w:hAnsi="宋体" w:eastAsia="宋体"/>
                <w:sz w:val="16"/>
              </w:rPr>
              <w:t>&lt;=5.19万元/本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E3B9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E92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6792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F17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8F0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2CCE9">
            <w:pPr>
              <w:jc w:val="center"/>
            </w:pPr>
            <w:r>
              <w:rPr>
                <w:rFonts w:ascii="宋体" w:hAnsi="宋体" w:eastAsia="宋体"/>
                <w:sz w:val="16"/>
              </w:rPr>
              <w:t>=5.19万元/本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ACA9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07DB4">
            <w:pPr>
              <w:jc w:val="center"/>
            </w:pPr>
          </w:p>
        </w:tc>
      </w:tr>
      <w:tr w14:paraId="1421A5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DB2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DD6B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8BEA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7D38B">
            <w:pPr>
              <w:jc w:val="center"/>
            </w:pPr>
            <w:r>
              <w:rPr>
                <w:rFonts w:ascii="宋体" w:hAnsi="宋体" w:eastAsia="宋体"/>
                <w:sz w:val="16"/>
              </w:rPr>
              <w:t>为各级决策和管理服务提供可靠的参考依据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D05BC">
            <w:pPr>
              <w:jc w:val="center"/>
            </w:pPr>
            <w:r>
              <w:rPr>
                <w:rFonts w:ascii="宋体" w:hAnsi="宋体" w:eastAsia="宋体"/>
                <w:sz w:val="16"/>
              </w:rPr>
              <w:t>参考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379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2C8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B099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CF7A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7B3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2A3BD">
            <w:pPr>
              <w:jc w:val="center"/>
            </w:pPr>
            <w:r>
              <w:rPr>
                <w:rFonts w:ascii="宋体" w:hAnsi="宋体" w:eastAsia="宋体"/>
                <w:sz w:val="16"/>
              </w:rPr>
              <w:t>参考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BEA5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FA0DD">
            <w:pPr>
              <w:jc w:val="center"/>
            </w:pPr>
          </w:p>
        </w:tc>
      </w:tr>
      <w:tr w14:paraId="6B7223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F11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A5A7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5392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69B1C">
            <w:pPr>
              <w:jc w:val="center"/>
            </w:pPr>
            <w:r>
              <w:rPr>
                <w:rFonts w:ascii="宋体" w:hAnsi="宋体" w:eastAsia="宋体"/>
                <w:sz w:val="16"/>
              </w:rPr>
              <w:t>全县机关满意度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303A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890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876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5FA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331C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2AA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546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2EA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856C9">
            <w:pPr>
              <w:jc w:val="center"/>
            </w:pPr>
            <w:r>
              <w:rPr>
                <w:rFonts w:ascii="宋体" w:hAnsi="宋体" w:eastAsia="宋体"/>
                <w:sz w:val="16"/>
              </w:rPr>
              <w:t>偏差原因分析：项目实施情况较好，全县机关满意度高于预期，导致出现正偏差，改进措施：基于当前良好表现，重新审视绩效目标，在以后绩效目标设置时设置更具挑战性的目标，以推动业务持续发展。</w:t>
            </w:r>
          </w:p>
        </w:tc>
      </w:tr>
      <w:tr w14:paraId="20FBCD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D604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000E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0B94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0D8B19">
            <w:pPr>
              <w:jc w:val="center"/>
            </w:pPr>
            <w:r>
              <w:rPr>
                <w:rFonts w:ascii="宋体" w:hAnsi="宋体" w:eastAsia="宋体"/>
                <w:sz w:val="16"/>
              </w:rPr>
              <w:t>100分</w:t>
            </w:r>
          </w:p>
        </w:tc>
      </w:tr>
    </w:tbl>
    <w:p w14:paraId="15A39A0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32"/>
        <w:gridCol w:w="632"/>
        <w:gridCol w:w="632"/>
        <w:gridCol w:w="632"/>
      </w:tblGrid>
      <w:tr w14:paraId="4F788FED">
        <w:tc>
          <w:tcPr>
            <w:tcW w:w="8848" w:type="dxa"/>
            <w:gridSpan w:val="14"/>
            <w:vAlign w:val="center"/>
          </w:tcPr>
          <w:p w14:paraId="567232CB">
            <w:pPr>
              <w:jc w:val="center"/>
            </w:pPr>
            <w:r>
              <w:rPr>
                <w:rFonts w:ascii="宋体" w:hAnsi="宋体" w:eastAsia="宋体"/>
                <w:sz w:val="24"/>
              </w:rPr>
              <w:t>项目支出绩效自评表</w:t>
            </w:r>
          </w:p>
        </w:tc>
      </w:tr>
      <w:tr w14:paraId="1B186B22">
        <w:tblPrEx>
          <w:tblCellMar>
            <w:top w:w="0" w:type="dxa"/>
            <w:left w:w="108" w:type="dxa"/>
            <w:bottom w:w="0" w:type="dxa"/>
            <w:right w:w="108" w:type="dxa"/>
          </w:tblCellMar>
        </w:tblPrEx>
        <w:tc>
          <w:tcPr>
            <w:tcW w:w="8848" w:type="dxa"/>
            <w:gridSpan w:val="14"/>
            <w:vAlign w:val="center"/>
          </w:tcPr>
          <w:p w14:paraId="432B9F51">
            <w:pPr>
              <w:jc w:val="center"/>
            </w:pPr>
            <w:r>
              <w:rPr>
                <w:rFonts w:ascii="宋体" w:hAnsi="宋体" w:eastAsia="宋体"/>
                <w:sz w:val="24"/>
              </w:rPr>
              <w:t>(2024年度)</w:t>
            </w:r>
          </w:p>
        </w:tc>
      </w:tr>
      <w:tr w14:paraId="656FE4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DF5E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2EEB828">
            <w:pPr>
              <w:jc w:val="center"/>
            </w:pPr>
            <w:r>
              <w:rPr>
                <w:rFonts w:ascii="宋体" w:hAnsi="宋体" w:eastAsia="宋体"/>
                <w:sz w:val="16"/>
              </w:rPr>
              <w:t>2024年度《塔什库尔干县扶贫志》编纂经费项目</w:t>
            </w:r>
          </w:p>
        </w:tc>
      </w:tr>
      <w:tr w14:paraId="474138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FC1D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2FC021">
            <w:pPr>
              <w:jc w:val="center"/>
            </w:pPr>
            <w:r>
              <w:rPr>
                <w:rFonts w:ascii="宋体" w:hAnsi="宋体" w:eastAsia="宋体"/>
                <w:sz w:val="16"/>
              </w:rPr>
              <w:t>塔什库尔干塔吉克自治县档案史志馆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C469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40E6C1">
            <w:pPr>
              <w:jc w:val="center"/>
            </w:pPr>
            <w:r>
              <w:rPr>
                <w:rFonts w:ascii="宋体" w:hAnsi="宋体" w:eastAsia="宋体"/>
                <w:sz w:val="16"/>
              </w:rPr>
              <w:t>塔什库尔干塔吉克自治县档案史志馆</w:t>
            </w:r>
          </w:p>
        </w:tc>
      </w:tr>
      <w:tr w14:paraId="05C95B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3C9E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4DAC6">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A4BB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F920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12C4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35E5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C92D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2AEC5">
            <w:pPr>
              <w:jc w:val="center"/>
            </w:pPr>
            <w:r>
              <w:rPr>
                <w:rFonts w:ascii="宋体" w:hAnsi="宋体" w:eastAsia="宋体"/>
                <w:sz w:val="16"/>
              </w:rPr>
              <w:t>得分</w:t>
            </w:r>
          </w:p>
        </w:tc>
      </w:tr>
      <w:tr w14:paraId="31E72A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AB729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BFF9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4B726">
            <w:pPr>
              <w:jc w:val="center"/>
            </w:pPr>
            <w:r>
              <w:rPr>
                <w:rFonts w:ascii="宋体" w:hAnsi="宋体" w:eastAsia="宋体"/>
                <w:sz w:val="16"/>
              </w:rPr>
              <w:t>38.40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550A9">
            <w:pPr>
              <w:jc w:val="center"/>
            </w:pPr>
            <w:r>
              <w:rPr>
                <w:rFonts w:ascii="宋体" w:hAnsi="宋体" w:eastAsia="宋体"/>
                <w:sz w:val="16"/>
              </w:rPr>
              <w:t>23.32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175A5">
            <w:pPr>
              <w:jc w:val="center"/>
            </w:pPr>
            <w:r>
              <w:rPr>
                <w:rFonts w:ascii="宋体" w:hAnsi="宋体" w:eastAsia="宋体"/>
                <w:sz w:val="16"/>
              </w:rPr>
              <w:t>19.20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1FD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1569C">
            <w:pPr>
              <w:jc w:val="center"/>
            </w:pPr>
            <w:r>
              <w:rPr>
                <w:rFonts w:ascii="宋体" w:hAnsi="宋体" w:eastAsia="宋体"/>
                <w:sz w:val="16"/>
              </w:rPr>
              <w:t>82.3%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1F806">
            <w:pPr>
              <w:jc w:val="center"/>
            </w:pPr>
            <w:r>
              <w:rPr>
                <w:rFonts w:ascii="宋体" w:hAnsi="宋体" w:eastAsia="宋体"/>
                <w:sz w:val="16"/>
              </w:rPr>
              <w:t>5.58分</w:t>
            </w:r>
          </w:p>
        </w:tc>
      </w:tr>
      <w:tr w14:paraId="7B9291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884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8C1F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707D1">
            <w:pPr>
              <w:jc w:val="center"/>
            </w:pPr>
            <w:r>
              <w:rPr>
                <w:rFonts w:ascii="宋体" w:hAnsi="宋体" w:eastAsia="宋体"/>
                <w:sz w:val="16"/>
              </w:rPr>
              <w:t>38.40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4640C">
            <w:pPr>
              <w:jc w:val="center"/>
            </w:pPr>
            <w:r>
              <w:rPr>
                <w:rFonts w:ascii="宋体" w:hAnsi="宋体" w:eastAsia="宋体"/>
                <w:sz w:val="16"/>
              </w:rPr>
              <w:t>23.32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5E620">
            <w:pPr>
              <w:jc w:val="center"/>
            </w:pPr>
            <w:r>
              <w:rPr>
                <w:rFonts w:ascii="宋体" w:hAnsi="宋体" w:eastAsia="宋体"/>
                <w:sz w:val="16"/>
              </w:rPr>
              <w:t>19.20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922F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A8A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460BF">
            <w:pPr>
              <w:jc w:val="center"/>
            </w:pPr>
            <w:r>
              <w:rPr>
                <w:rFonts w:ascii="宋体" w:hAnsi="宋体" w:eastAsia="宋体"/>
                <w:sz w:val="16"/>
              </w:rPr>
              <w:t>—</w:t>
            </w:r>
          </w:p>
        </w:tc>
      </w:tr>
      <w:tr w14:paraId="191912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DEE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179E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17C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20D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03E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7BEA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F7A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F41AE">
            <w:pPr>
              <w:jc w:val="center"/>
            </w:pPr>
            <w:r>
              <w:rPr>
                <w:rFonts w:ascii="宋体" w:hAnsi="宋体" w:eastAsia="宋体"/>
                <w:sz w:val="16"/>
              </w:rPr>
              <w:t>—</w:t>
            </w:r>
          </w:p>
        </w:tc>
      </w:tr>
      <w:tr w14:paraId="4434E0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70AA9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6B910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CA92FE">
            <w:pPr>
              <w:jc w:val="center"/>
            </w:pPr>
            <w:r>
              <w:rPr>
                <w:rFonts w:ascii="宋体" w:hAnsi="宋体" w:eastAsia="宋体"/>
                <w:sz w:val="16"/>
              </w:rPr>
              <w:t>实际完成情况</w:t>
            </w:r>
          </w:p>
        </w:tc>
      </w:tr>
      <w:tr w14:paraId="0B3A07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9BD9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3C9873">
            <w:pPr>
              <w:jc w:val="both"/>
            </w:pPr>
            <w:r>
              <w:rPr>
                <w:rFonts w:ascii="宋体" w:hAnsi="宋体" w:eastAsia="宋体"/>
                <w:sz w:val="16"/>
              </w:rPr>
              <w:t>该项目用于编纂《塔什库尔干县扶贫志》1本计划2024年上半年完成初稿，年底前进入书稿的评审阶段，编纂《扶贫志》上限1949年10月起，下限2021年2月至，全书分8个编、约60万字。通过项目实施以志书的形式全面、真实、系统</w:t>
            </w:r>
            <w:r>
              <w:rPr>
                <w:rFonts w:hint="eastAsia" w:ascii="宋体" w:hAnsi="宋体"/>
                <w:sz w:val="16"/>
                <w:lang w:eastAsia="zh-CN"/>
              </w:rPr>
              <w:t>记录</w:t>
            </w:r>
            <w:r>
              <w:rPr>
                <w:rFonts w:ascii="宋体" w:hAnsi="宋体" w:eastAsia="宋体"/>
                <w:sz w:val="16"/>
              </w:rPr>
              <w:t>在党中央亲切关怀下，在自治区党委和政府，地委和行署的坚强领导下，县委、县政府团结带领全县各族人民进行脱贫攻坚和全面建成小康社会的历史进程和取得的历史性、决定性成就，科学总结中国特色扶贫开发和全面建成小康社会在塔县的成功经验和创新做法，大力彰显中国道路的科学正确和中国特色社会主义制度的优势，详实记述在铸牢中华民族共同体意识伟大实践中的塔县故事，充分证明中华民族的聪明智慧和各族人民的团结奋斗，激发全县各族人民在中国共产党领导下奋进新时代、建设美好塔县的信心和决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8CDF18">
            <w:pPr>
              <w:jc w:val="both"/>
            </w:pPr>
            <w:r>
              <w:rPr>
                <w:rFonts w:ascii="宋体" w:hAnsi="宋体" w:eastAsia="宋体"/>
                <w:sz w:val="16"/>
              </w:rPr>
              <w:t>截至2024年12月25日，项目实际支出19.20万元，完成了1部《塔什库尔干县扶贫志》的编纂工作，并通过了评审，编纂《扶贫志》上限1949年10月起，下限2021年2月至，全书分8个编、约60万字。以志书的形式全面、真实、系统</w:t>
            </w:r>
            <w:r>
              <w:rPr>
                <w:rFonts w:hint="eastAsia" w:ascii="宋体" w:hAnsi="宋体"/>
                <w:sz w:val="16"/>
                <w:lang w:eastAsia="zh-CN"/>
              </w:rPr>
              <w:t>记录</w:t>
            </w:r>
            <w:r>
              <w:rPr>
                <w:rFonts w:ascii="宋体" w:hAnsi="宋体" w:eastAsia="宋体"/>
                <w:sz w:val="16"/>
              </w:rPr>
              <w:t>了在党中央亲切关怀下，在自治区党委和政府，地委和行署的坚强领导下，县委、县政府团结带领全县各族人民进行脱贫攻坚和全面建成小康社会的历史进程和取得的历史性、决定性成就，科学</w:t>
            </w:r>
            <w:r>
              <w:rPr>
                <w:rFonts w:hint="eastAsia" w:ascii="宋体" w:hAnsi="宋体"/>
                <w:sz w:val="16"/>
                <w:lang w:eastAsia="zh-CN"/>
              </w:rPr>
              <w:t>地</w:t>
            </w:r>
            <w:r>
              <w:rPr>
                <w:rFonts w:ascii="宋体" w:hAnsi="宋体" w:eastAsia="宋体"/>
                <w:sz w:val="16"/>
              </w:rPr>
              <w:t>总结了中国特色扶贫开发和全面建成小康社会在塔县的成功经验和创新做法，大力彰显了中国道路的科学正确和中国特色社会主义制度的优势，详实记述了在铸牢中华民族共同体意</w:t>
            </w:r>
            <w:r>
              <w:rPr>
                <w:rFonts w:hint="eastAsia" w:ascii="宋体" w:hAnsi="宋体"/>
                <w:sz w:val="16"/>
                <w:lang w:eastAsia="zh-CN"/>
              </w:rPr>
              <w:t>识的</w:t>
            </w:r>
            <w:r>
              <w:rPr>
                <w:rFonts w:ascii="宋体" w:hAnsi="宋体" w:eastAsia="宋体"/>
                <w:sz w:val="16"/>
              </w:rPr>
              <w:t>伟大实践中的塔县故事，充分证明了中华民族的聪明智慧和各族人民的团结奋斗，激发了全县各族人民在中国共产党领导下奋进新时代、建设美好塔县的信心和决心。</w:t>
            </w:r>
          </w:p>
        </w:tc>
      </w:tr>
      <w:tr w14:paraId="07349C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88069F">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7061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4208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D236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F54B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ACBF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515D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5F4E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566A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ED03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B683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4721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0FCB5">
            <w:pPr>
              <w:jc w:val="center"/>
            </w:pPr>
            <w:r>
              <w:rPr>
                <w:rFonts w:ascii="宋体" w:hAnsi="宋体" w:eastAsia="宋体"/>
                <w:sz w:val="16"/>
              </w:rPr>
              <w:t>偏差原因分析及改进措施</w:t>
            </w:r>
          </w:p>
        </w:tc>
      </w:tr>
      <w:tr w14:paraId="081277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1C75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5C880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3593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5B38B">
            <w:pPr>
              <w:jc w:val="center"/>
            </w:pPr>
            <w:r>
              <w:rPr>
                <w:rFonts w:ascii="宋体" w:hAnsi="宋体" w:eastAsia="宋体"/>
                <w:sz w:val="16"/>
              </w:rPr>
              <w:t>编纂《塔什库尔干县扶贫志》数量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E9DB8">
            <w:pPr>
              <w:jc w:val="center"/>
            </w:pPr>
            <w:r>
              <w:rPr>
                <w:rFonts w:ascii="宋体" w:hAnsi="宋体" w:eastAsia="宋体"/>
                <w:sz w:val="16"/>
              </w:rPr>
              <w:t>&gt;=1本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E70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FF0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C01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9BE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5FF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6ACBA">
            <w:pPr>
              <w:jc w:val="center"/>
            </w:pPr>
            <w:r>
              <w:rPr>
                <w:rFonts w:ascii="宋体" w:hAnsi="宋体" w:eastAsia="宋体"/>
                <w:sz w:val="16"/>
              </w:rPr>
              <w:t>=1本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858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DEBBE">
            <w:pPr>
              <w:jc w:val="center"/>
            </w:pPr>
          </w:p>
        </w:tc>
      </w:tr>
      <w:tr w14:paraId="56FC51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779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29B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89D1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AF971">
            <w:pPr>
              <w:jc w:val="center"/>
            </w:pPr>
            <w:r>
              <w:rPr>
                <w:rFonts w:ascii="宋体" w:hAnsi="宋体" w:eastAsia="宋体"/>
                <w:sz w:val="16"/>
              </w:rPr>
              <w:t>书籍评审合格率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273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212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997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E95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522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B87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BD7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DF1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7DC1B">
            <w:pPr>
              <w:jc w:val="center"/>
            </w:pPr>
          </w:p>
        </w:tc>
      </w:tr>
      <w:tr w14:paraId="6559D7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497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2F78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A8CAE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AC968">
            <w:pPr>
              <w:jc w:val="center"/>
            </w:pPr>
            <w:r>
              <w:rPr>
                <w:rFonts w:ascii="宋体" w:hAnsi="宋体" w:eastAsia="宋体"/>
                <w:sz w:val="16"/>
              </w:rPr>
              <w:t>书籍编纂完成及时率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54A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A44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523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2A1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5FE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A5D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BE7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A8F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FF0F6">
            <w:pPr>
              <w:jc w:val="center"/>
            </w:pPr>
          </w:p>
        </w:tc>
      </w:tr>
      <w:tr w14:paraId="426B8A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B0B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42A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96C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64DD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F8AD6">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C47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593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BF2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F14B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D66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B032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A4F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CD740">
            <w:pPr>
              <w:jc w:val="center"/>
            </w:pPr>
          </w:p>
        </w:tc>
      </w:tr>
      <w:tr w14:paraId="2BD962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E81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78AF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4F77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B8EB9">
            <w:pPr>
              <w:jc w:val="center"/>
            </w:pPr>
            <w:r>
              <w:rPr>
                <w:rFonts w:ascii="宋体" w:hAnsi="宋体" w:eastAsia="宋体"/>
                <w:sz w:val="16"/>
              </w:rPr>
              <w:t>编纂书籍成本费用-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1F611">
            <w:pPr>
              <w:jc w:val="center"/>
            </w:pPr>
            <w:r>
              <w:rPr>
                <w:rFonts w:ascii="宋体" w:hAnsi="宋体" w:eastAsia="宋体"/>
                <w:sz w:val="16"/>
              </w:rPr>
              <w:t>&lt;=23.32万元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7331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7BA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CFB5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FDF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0B5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9F523">
            <w:pPr>
              <w:jc w:val="center"/>
            </w:pPr>
            <w:r>
              <w:rPr>
                <w:rFonts w:ascii="宋体" w:hAnsi="宋体" w:eastAsia="宋体"/>
                <w:sz w:val="16"/>
              </w:rPr>
              <w:t>=19.2万元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859DE">
            <w:pPr>
              <w:jc w:val="center"/>
            </w:pPr>
            <w:r>
              <w:rPr>
                <w:rFonts w:ascii="宋体" w:hAnsi="宋体" w:eastAsia="宋体"/>
                <w:sz w:val="16"/>
              </w:rPr>
              <w:t>11.16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07303">
            <w:pPr>
              <w:jc w:val="center"/>
            </w:pPr>
            <w:r>
              <w:rPr>
                <w:rFonts w:ascii="宋体" w:hAnsi="宋体" w:eastAsia="宋体"/>
                <w:sz w:val="16"/>
              </w:rPr>
              <w:t>偏差原因：目前只支付了合同价的82.33%，剩余费用在2025年支出，改进措施：督促服务单位及时提供支付申请资料，严格按合同约定的支付条款时间向财政申请资金，及时支付款项</w:t>
            </w:r>
          </w:p>
        </w:tc>
      </w:tr>
      <w:tr w14:paraId="4C6477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6B9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DD12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CA53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5890A">
            <w:pPr>
              <w:jc w:val="center"/>
            </w:pPr>
            <w:r>
              <w:rPr>
                <w:rFonts w:ascii="宋体" w:hAnsi="宋体" w:eastAsia="宋体"/>
                <w:sz w:val="16"/>
              </w:rPr>
              <w:t>详实记述在铸牢中华民族共同体意识伟大实践中的塔县故事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2A618">
            <w:pPr>
              <w:jc w:val="center"/>
            </w:pPr>
            <w:r>
              <w:rPr>
                <w:rFonts w:ascii="宋体" w:hAnsi="宋体" w:eastAsia="宋体"/>
                <w:sz w:val="16"/>
              </w:rPr>
              <w:t>详实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6A3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534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FD54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D905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850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BE36B">
            <w:pPr>
              <w:jc w:val="center"/>
            </w:pPr>
            <w:r>
              <w:rPr>
                <w:rFonts w:ascii="宋体" w:hAnsi="宋体" w:eastAsia="宋体"/>
                <w:sz w:val="16"/>
              </w:rPr>
              <w:t>详实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DA1B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F34A7">
            <w:pPr>
              <w:jc w:val="center"/>
            </w:pPr>
          </w:p>
        </w:tc>
      </w:tr>
      <w:tr w14:paraId="6EF261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7BF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9D0A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09B3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10023">
            <w:pPr>
              <w:jc w:val="center"/>
            </w:pPr>
            <w:r>
              <w:rPr>
                <w:rFonts w:ascii="宋体" w:hAnsi="宋体" w:eastAsia="宋体"/>
                <w:sz w:val="16"/>
              </w:rPr>
              <w:t>全县群众满意度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E9D7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4EF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D87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AA5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6AE2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FC1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380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AEF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8DEA0">
            <w:pPr>
              <w:jc w:val="center"/>
            </w:pPr>
            <w:r>
              <w:rPr>
                <w:rFonts w:ascii="宋体" w:hAnsi="宋体" w:eastAsia="宋体"/>
                <w:sz w:val="16"/>
              </w:rPr>
              <w:t>偏差原因：项目实施情况较好，全县群众满意度高于预期，导致出现正偏差，改进措施：基于当前良好表现，重新审视绩效目标，在以后绩效目标设置时设置更具挑战性的目标，以推动业务持续发展。</w:t>
            </w:r>
          </w:p>
        </w:tc>
      </w:tr>
      <w:tr w14:paraId="5F6E74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CB28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95CC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6B6E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9F96DA">
            <w:pPr>
              <w:jc w:val="center"/>
            </w:pPr>
            <w:r>
              <w:rPr>
                <w:rFonts w:ascii="宋体" w:hAnsi="宋体" w:eastAsia="宋体"/>
                <w:sz w:val="16"/>
              </w:rPr>
              <w:t>86.74分</w:t>
            </w:r>
          </w:p>
        </w:tc>
      </w:tr>
    </w:tbl>
    <w:p w14:paraId="0DF0AB0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4A55B5A8">
        <w:tblPrEx>
          <w:tblCellMar>
            <w:top w:w="0" w:type="dxa"/>
            <w:left w:w="108" w:type="dxa"/>
            <w:bottom w:w="0" w:type="dxa"/>
            <w:right w:w="108" w:type="dxa"/>
          </w:tblCellMar>
        </w:tblPrEx>
        <w:tc>
          <w:tcPr>
            <w:tcW w:w="8848" w:type="dxa"/>
            <w:gridSpan w:val="14"/>
            <w:vAlign w:val="center"/>
          </w:tcPr>
          <w:p w14:paraId="0C30E12F">
            <w:pPr>
              <w:jc w:val="center"/>
            </w:pPr>
            <w:r>
              <w:rPr>
                <w:rFonts w:ascii="宋体" w:hAnsi="宋体" w:eastAsia="宋体"/>
                <w:sz w:val="24"/>
              </w:rPr>
              <w:t>项目支出绩效自评表</w:t>
            </w:r>
          </w:p>
        </w:tc>
      </w:tr>
      <w:tr w14:paraId="1A41FBB0">
        <w:tblPrEx>
          <w:tblCellMar>
            <w:top w:w="0" w:type="dxa"/>
            <w:left w:w="108" w:type="dxa"/>
            <w:bottom w:w="0" w:type="dxa"/>
            <w:right w:w="108" w:type="dxa"/>
          </w:tblCellMar>
        </w:tblPrEx>
        <w:tc>
          <w:tcPr>
            <w:tcW w:w="8848" w:type="dxa"/>
            <w:gridSpan w:val="14"/>
            <w:vAlign w:val="center"/>
          </w:tcPr>
          <w:p w14:paraId="52F19A07">
            <w:pPr>
              <w:jc w:val="center"/>
            </w:pPr>
            <w:r>
              <w:rPr>
                <w:rFonts w:ascii="宋体" w:hAnsi="宋体" w:eastAsia="宋体"/>
                <w:sz w:val="24"/>
              </w:rPr>
              <w:t>(2024年度)</w:t>
            </w:r>
          </w:p>
        </w:tc>
      </w:tr>
      <w:tr w14:paraId="0390E0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86F5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4006759">
            <w:pPr>
              <w:jc w:val="center"/>
            </w:pPr>
            <w:r>
              <w:rPr>
                <w:rFonts w:ascii="宋体" w:hAnsi="宋体" w:eastAsia="宋体"/>
                <w:sz w:val="16"/>
              </w:rPr>
              <w:t>2024年度</w:t>
            </w:r>
            <w:r>
              <w:rPr>
                <w:rFonts w:hint="eastAsia" w:ascii="宋体" w:hAnsi="宋体"/>
                <w:sz w:val="16"/>
                <w:lang w:eastAsia="zh-CN"/>
              </w:rPr>
              <w:t>塔什库尔干塔吉克自治县</w:t>
            </w:r>
            <w:r>
              <w:rPr>
                <w:rFonts w:ascii="宋体" w:hAnsi="宋体" w:eastAsia="宋体"/>
                <w:sz w:val="16"/>
              </w:rPr>
              <w:t>综合档案馆事业发展项目</w:t>
            </w:r>
          </w:p>
        </w:tc>
      </w:tr>
      <w:tr w14:paraId="114FB3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F75C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0B230F">
            <w:pPr>
              <w:jc w:val="center"/>
            </w:pPr>
            <w:r>
              <w:rPr>
                <w:rFonts w:ascii="宋体" w:hAnsi="宋体" w:eastAsia="宋体"/>
                <w:sz w:val="16"/>
              </w:rPr>
              <w:t>塔什库尔干塔吉克自治县档案史志馆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C1B9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22791F">
            <w:pPr>
              <w:jc w:val="center"/>
            </w:pPr>
            <w:r>
              <w:rPr>
                <w:rFonts w:ascii="宋体" w:hAnsi="宋体" w:eastAsia="宋体"/>
                <w:sz w:val="16"/>
              </w:rPr>
              <w:t>塔什库尔干塔吉克自治县档案史志馆</w:t>
            </w:r>
          </w:p>
        </w:tc>
      </w:tr>
      <w:tr w14:paraId="443E3D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2CEC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1DC07">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A2E5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C594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1013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D1F1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DBBD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311B1">
            <w:pPr>
              <w:jc w:val="center"/>
            </w:pPr>
            <w:r>
              <w:rPr>
                <w:rFonts w:ascii="宋体" w:hAnsi="宋体" w:eastAsia="宋体"/>
                <w:sz w:val="16"/>
              </w:rPr>
              <w:t>得分</w:t>
            </w:r>
          </w:p>
        </w:tc>
      </w:tr>
      <w:tr w14:paraId="3032A5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856D4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DE1E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315AC">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34440">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A4A3B">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C64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B3B1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1BB62">
            <w:pPr>
              <w:jc w:val="center"/>
            </w:pPr>
            <w:r>
              <w:rPr>
                <w:rFonts w:ascii="宋体" w:hAnsi="宋体" w:eastAsia="宋体"/>
                <w:sz w:val="16"/>
              </w:rPr>
              <w:t>10.00分</w:t>
            </w:r>
          </w:p>
        </w:tc>
      </w:tr>
      <w:tr w14:paraId="713E77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ABC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66DF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6F28C">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6B5CE">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36801">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1C5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DC4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CC4FB">
            <w:pPr>
              <w:jc w:val="center"/>
            </w:pPr>
            <w:r>
              <w:rPr>
                <w:rFonts w:ascii="宋体" w:hAnsi="宋体" w:eastAsia="宋体"/>
                <w:sz w:val="16"/>
              </w:rPr>
              <w:t>—</w:t>
            </w:r>
          </w:p>
        </w:tc>
      </w:tr>
      <w:tr w14:paraId="246366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807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7A31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345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007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87B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872D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E24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C0D4F">
            <w:pPr>
              <w:jc w:val="center"/>
            </w:pPr>
            <w:r>
              <w:rPr>
                <w:rFonts w:ascii="宋体" w:hAnsi="宋体" w:eastAsia="宋体"/>
                <w:sz w:val="16"/>
              </w:rPr>
              <w:t>—</w:t>
            </w:r>
          </w:p>
        </w:tc>
      </w:tr>
      <w:tr w14:paraId="556A6D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2C19F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2148E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BF3AA5">
            <w:pPr>
              <w:jc w:val="center"/>
            </w:pPr>
            <w:r>
              <w:rPr>
                <w:rFonts w:ascii="宋体" w:hAnsi="宋体" w:eastAsia="宋体"/>
                <w:sz w:val="16"/>
              </w:rPr>
              <w:t>实际完成情况</w:t>
            </w:r>
          </w:p>
        </w:tc>
      </w:tr>
      <w:tr w14:paraId="6812D7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BB58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2D97EA">
            <w:pPr>
              <w:jc w:val="both"/>
            </w:pPr>
            <w:r>
              <w:rPr>
                <w:rFonts w:ascii="宋体" w:hAnsi="宋体" w:eastAsia="宋体"/>
                <w:sz w:val="16"/>
              </w:rPr>
              <w:t>该项目用于县档案史志馆申请5万元用于馆藏档案数字化和设备采购1批，通过该项目的实施进一步优化档案工作设备设施，较好完成年内档案工作任务。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8141B3">
            <w:pPr>
              <w:jc w:val="both"/>
            </w:pPr>
            <w:r>
              <w:rPr>
                <w:rFonts w:ascii="宋体" w:hAnsi="宋体" w:eastAsia="宋体"/>
                <w:sz w:val="16"/>
              </w:rPr>
              <w:t>项目实际支出1.5万元，用于采购一批档案工作日常用品，含得力JS114木工胶水160个，斯图6324装订耗材104件，恒利源档案盒2000个，采购用品验收合格率达100%，资金拨付及时率达100%，项目实施保障了塔什库尔干塔吉克自治县档案史志馆的正常运行，使各部门档案能够有序归档，提高了其工作效率，对国家综合档案馆事业发展起到了促进作用。</w:t>
            </w:r>
          </w:p>
        </w:tc>
      </w:tr>
      <w:tr w14:paraId="47EEFA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7FDCCB">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9CFA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545E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1E71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CD89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79C6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AE9A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CC3D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96CA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7A85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D06D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E2E5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18EAB">
            <w:pPr>
              <w:jc w:val="center"/>
            </w:pPr>
            <w:r>
              <w:rPr>
                <w:rFonts w:ascii="宋体" w:hAnsi="宋体" w:eastAsia="宋体"/>
                <w:sz w:val="16"/>
              </w:rPr>
              <w:t>偏差原因分析及改进措施</w:t>
            </w:r>
          </w:p>
        </w:tc>
      </w:tr>
      <w:tr w14:paraId="721043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F4E6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B3AFB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F50B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345FB">
            <w:pPr>
              <w:jc w:val="center"/>
            </w:pPr>
            <w:r>
              <w:rPr>
                <w:rFonts w:ascii="宋体" w:hAnsi="宋体" w:eastAsia="宋体"/>
                <w:sz w:val="16"/>
              </w:rPr>
              <w:t>采购一批档案工作日常用品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E9B33">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A66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EC7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1A5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735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F4F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D6A23">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1B1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E9BAB">
            <w:pPr>
              <w:jc w:val="center"/>
            </w:pPr>
          </w:p>
        </w:tc>
      </w:tr>
      <w:tr w14:paraId="3AC21E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0A1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380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3B84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F4E93">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801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B98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40E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248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4C0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364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3B1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16C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18868">
            <w:pPr>
              <w:jc w:val="center"/>
            </w:pPr>
          </w:p>
        </w:tc>
      </w:tr>
      <w:tr w14:paraId="7918EB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134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CA57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6E73D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7231C">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9DCFC">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C8E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D2D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939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74F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652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9AD32">
            <w:pPr>
              <w:jc w:val="center"/>
            </w:pPr>
            <w:r>
              <w:rPr>
                <w:rFonts w:ascii="宋体" w:hAnsi="宋体" w:eastAsia="宋体"/>
                <w:sz w:val="16"/>
              </w:rPr>
              <w:t>=2024年8月27日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C36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31B16">
            <w:pPr>
              <w:jc w:val="center"/>
            </w:pPr>
          </w:p>
        </w:tc>
      </w:tr>
      <w:tr w14:paraId="5D0C56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692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5EA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E23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7FDA4">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ED1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2D9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C5F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2DC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2039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63D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C98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AD8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778D9">
            <w:pPr>
              <w:jc w:val="center"/>
            </w:pPr>
          </w:p>
        </w:tc>
      </w:tr>
      <w:tr w14:paraId="0F1664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7CC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0CA9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0E0E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2DA87">
            <w:pPr>
              <w:jc w:val="center"/>
            </w:pPr>
            <w:r>
              <w:rPr>
                <w:rFonts w:ascii="宋体" w:hAnsi="宋体" w:eastAsia="宋体"/>
                <w:sz w:val="16"/>
              </w:rPr>
              <w:t>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EC568">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A41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28F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7F13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E49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7F7C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614DA">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7640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B05B0">
            <w:pPr>
              <w:jc w:val="center"/>
            </w:pPr>
          </w:p>
        </w:tc>
      </w:tr>
      <w:tr w14:paraId="045A33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612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5329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6271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4EBCB">
            <w:pPr>
              <w:jc w:val="center"/>
            </w:pPr>
            <w:r>
              <w:rPr>
                <w:rFonts w:ascii="宋体" w:hAnsi="宋体" w:eastAsia="宋体"/>
                <w:sz w:val="16"/>
              </w:rPr>
              <w:t>保障国家综合档案馆事业发展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73FCA">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A22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51A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B5F2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0FE9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582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3FF6E">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7C8F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B8154">
            <w:pPr>
              <w:jc w:val="center"/>
            </w:pPr>
          </w:p>
        </w:tc>
      </w:tr>
      <w:tr w14:paraId="04477F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CB4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A333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4A1B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6DA46">
            <w:pPr>
              <w:jc w:val="center"/>
            </w:pPr>
            <w:r>
              <w:rPr>
                <w:rFonts w:ascii="宋体" w:hAnsi="宋体" w:eastAsia="宋体"/>
                <w:sz w:val="16"/>
              </w:rPr>
              <w:t>档案馆干部满意度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1458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41C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4B6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4A4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D1FD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6EC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4F5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D80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DF0A9">
            <w:pPr>
              <w:jc w:val="center"/>
            </w:pPr>
            <w:r>
              <w:rPr>
                <w:rFonts w:ascii="宋体" w:hAnsi="宋体" w:eastAsia="宋体"/>
                <w:sz w:val="16"/>
              </w:rPr>
              <w:t>偏差原因分析：项目完成情况较好，实际档案馆干部满意度较高，所以指标出现正偏差；改进措施：基于当前良好表现，重新审视绩效目标，在以后绩效目标设置时设置更具挑战性的目标，以推动业务持续发展。</w:t>
            </w:r>
          </w:p>
        </w:tc>
      </w:tr>
      <w:tr w14:paraId="0AC921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B49B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C4C5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3E1D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6A1633">
            <w:pPr>
              <w:jc w:val="center"/>
            </w:pPr>
            <w:r>
              <w:rPr>
                <w:rFonts w:ascii="宋体" w:hAnsi="宋体" w:eastAsia="宋体"/>
                <w:sz w:val="16"/>
              </w:rPr>
              <w:t>100分</w:t>
            </w:r>
          </w:p>
        </w:tc>
      </w:tr>
    </w:tbl>
    <w:p w14:paraId="5EC444E0">
      <w:r>
        <w:br w:type="page"/>
      </w:r>
    </w:p>
    <w:p w14:paraId="5F8E1806">
      <w:pPr>
        <w:spacing w:line="640" w:lineRule="exact"/>
        <w:ind w:firstLine="640"/>
        <w:jc w:val="both"/>
        <w:outlineLvl w:val="2"/>
      </w:pPr>
      <w:r>
        <w:rPr>
          <w:rFonts w:ascii="黑体" w:hAnsi="黑体" w:eastAsia="黑体"/>
          <w:sz w:val="32"/>
        </w:rPr>
        <w:t>十二、其他需说明的事项</w:t>
      </w:r>
    </w:p>
    <w:p w14:paraId="433B417A">
      <w:pPr>
        <w:spacing w:line="580" w:lineRule="exact"/>
        <w:ind w:firstLine="640"/>
        <w:jc w:val="both"/>
      </w:pPr>
      <w:r>
        <w:rPr>
          <w:rFonts w:ascii="仿宋_GB2312" w:hAnsi="仿宋_GB2312" w:eastAsia="仿宋_GB2312"/>
          <w:b w:val="0"/>
          <w:sz w:val="32"/>
        </w:rPr>
        <w:t>本年度本单位政府采购为大中型企业采购，故授予小微企业合同金额为0.00万元。</w:t>
      </w:r>
    </w:p>
    <w:p w14:paraId="261F64A1">
      <w:r>
        <w:br w:type="page"/>
      </w:r>
    </w:p>
    <w:p w14:paraId="390C4DA0">
      <w:pPr>
        <w:spacing w:line="240" w:lineRule="auto"/>
        <w:jc w:val="center"/>
        <w:outlineLvl w:val="1"/>
      </w:pPr>
      <w:r>
        <w:rPr>
          <w:rFonts w:ascii="黑体" w:hAnsi="黑体" w:eastAsia="黑体"/>
          <w:sz w:val="32"/>
        </w:rPr>
        <w:t>第三部分 专业名词解释</w:t>
      </w:r>
    </w:p>
    <w:p w14:paraId="5A5DD31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EB77F4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77BCA8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97F838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0531D1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71029E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D41F1A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7AF0B8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DFBA4B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E257E4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DCBF09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B2D38A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48278B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BF5DB3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F2E70AA">
      <w:r>
        <w:br w:type="page"/>
      </w:r>
    </w:p>
    <w:p w14:paraId="2B16E445">
      <w:pPr>
        <w:spacing w:line="240" w:lineRule="auto"/>
        <w:jc w:val="center"/>
        <w:outlineLvl w:val="1"/>
      </w:pPr>
      <w:r>
        <w:rPr>
          <w:rFonts w:ascii="黑体" w:hAnsi="黑体" w:eastAsia="黑体"/>
          <w:sz w:val="32"/>
        </w:rPr>
        <w:t>第四部分 部门决算报表（见附表）</w:t>
      </w:r>
    </w:p>
    <w:p w14:paraId="0E5500B1">
      <w:pPr>
        <w:spacing w:line="240" w:lineRule="auto"/>
        <w:ind w:firstLine="640"/>
        <w:jc w:val="both"/>
      </w:pPr>
      <w:r>
        <w:rPr>
          <w:rFonts w:ascii="仿宋_GB2312" w:hAnsi="仿宋_GB2312" w:eastAsia="仿宋_GB2312"/>
          <w:b w:val="0"/>
          <w:sz w:val="32"/>
        </w:rPr>
        <w:t>一、《收入支出决算总表》</w:t>
      </w:r>
    </w:p>
    <w:p w14:paraId="25D794CD">
      <w:pPr>
        <w:spacing w:line="240" w:lineRule="auto"/>
        <w:ind w:firstLine="640"/>
        <w:jc w:val="both"/>
      </w:pPr>
      <w:r>
        <w:rPr>
          <w:rFonts w:ascii="仿宋_GB2312" w:hAnsi="仿宋_GB2312" w:eastAsia="仿宋_GB2312"/>
          <w:b w:val="0"/>
          <w:sz w:val="32"/>
        </w:rPr>
        <w:t>二、《收入决算表》</w:t>
      </w:r>
    </w:p>
    <w:p w14:paraId="771BD344">
      <w:pPr>
        <w:spacing w:line="240" w:lineRule="auto"/>
        <w:ind w:firstLine="640"/>
        <w:jc w:val="both"/>
      </w:pPr>
      <w:r>
        <w:rPr>
          <w:rFonts w:ascii="仿宋_GB2312" w:hAnsi="仿宋_GB2312" w:eastAsia="仿宋_GB2312"/>
          <w:b w:val="0"/>
          <w:sz w:val="32"/>
        </w:rPr>
        <w:t>三、《支出决算表》</w:t>
      </w:r>
    </w:p>
    <w:p w14:paraId="37218A0B">
      <w:pPr>
        <w:spacing w:line="240" w:lineRule="auto"/>
        <w:ind w:firstLine="640"/>
        <w:jc w:val="both"/>
      </w:pPr>
      <w:r>
        <w:rPr>
          <w:rFonts w:ascii="仿宋_GB2312" w:hAnsi="仿宋_GB2312" w:eastAsia="仿宋_GB2312"/>
          <w:b w:val="0"/>
          <w:sz w:val="32"/>
        </w:rPr>
        <w:t>四、《财政拨款收入支出决算总表》</w:t>
      </w:r>
    </w:p>
    <w:p w14:paraId="50855997">
      <w:pPr>
        <w:spacing w:line="240" w:lineRule="auto"/>
        <w:ind w:firstLine="640"/>
        <w:jc w:val="both"/>
      </w:pPr>
      <w:r>
        <w:rPr>
          <w:rFonts w:ascii="仿宋_GB2312" w:hAnsi="仿宋_GB2312" w:eastAsia="仿宋_GB2312"/>
          <w:b w:val="0"/>
          <w:sz w:val="32"/>
        </w:rPr>
        <w:t>五、《一般公共预算财政拨款支出决算表》</w:t>
      </w:r>
    </w:p>
    <w:p w14:paraId="42060219">
      <w:pPr>
        <w:spacing w:line="240" w:lineRule="auto"/>
        <w:ind w:firstLine="640"/>
        <w:jc w:val="both"/>
      </w:pPr>
      <w:r>
        <w:rPr>
          <w:rFonts w:ascii="仿宋_GB2312" w:hAnsi="仿宋_GB2312" w:eastAsia="仿宋_GB2312"/>
          <w:b w:val="0"/>
          <w:sz w:val="32"/>
        </w:rPr>
        <w:t>六、《一般公共预算财政拨款基本支出决算表》</w:t>
      </w:r>
    </w:p>
    <w:p w14:paraId="1F029A3D">
      <w:pPr>
        <w:spacing w:line="240" w:lineRule="auto"/>
        <w:ind w:firstLine="640"/>
        <w:jc w:val="both"/>
      </w:pPr>
      <w:r>
        <w:rPr>
          <w:rFonts w:ascii="仿宋_GB2312" w:hAnsi="仿宋_GB2312" w:eastAsia="仿宋_GB2312"/>
          <w:b w:val="0"/>
          <w:sz w:val="32"/>
        </w:rPr>
        <w:t>七、《政府性基金预算财政拨款收入支出决算表》</w:t>
      </w:r>
    </w:p>
    <w:p w14:paraId="608D89A9">
      <w:pPr>
        <w:spacing w:line="240" w:lineRule="auto"/>
        <w:ind w:firstLine="640"/>
        <w:jc w:val="both"/>
      </w:pPr>
      <w:r>
        <w:rPr>
          <w:rFonts w:ascii="仿宋_GB2312" w:hAnsi="仿宋_GB2312" w:eastAsia="仿宋_GB2312"/>
          <w:b w:val="0"/>
          <w:sz w:val="32"/>
        </w:rPr>
        <w:t>八、《国有资本经营预算财政拨款收入支出决算表》</w:t>
      </w:r>
    </w:p>
    <w:p w14:paraId="342E048B">
      <w:pPr>
        <w:spacing w:line="240" w:lineRule="auto"/>
        <w:ind w:firstLine="640"/>
        <w:jc w:val="both"/>
      </w:pPr>
      <w:r>
        <w:rPr>
          <w:rFonts w:ascii="仿宋_GB2312" w:hAnsi="仿宋_GB2312" w:eastAsia="仿宋_GB2312"/>
          <w:b w:val="0"/>
          <w:sz w:val="32"/>
        </w:rPr>
        <w:t>九、《财政拨款“三公”经费支出决算表》</w:t>
      </w:r>
    </w:p>
    <w:p w14:paraId="7F91E709">
      <w:pPr>
        <w:spacing w:line="240" w:lineRule="auto"/>
        <w:ind w:firstLine="640"/>
        <w:jc w:val="both"/>
      </w:pPr>
    </w:p>
    <w:p w14:paraId="4D68BD79">
      <w:pPr>
        <w:spacing w:line="240" w:lineRule="auto"/>
        <w:ind w:firstLine="640"/>
        <w:jc w:val="both"/>
      </w:pPr>
    </w:p>
    <w:p w14:paraId="6AEE56C1">
      <w:pPr>
        <w:spacing w:line="240" w:lineRule="auto"/>
        <w:ind w:firstLine="640"/>
        <w:jc w:val="both"/>
      </w:pPr>
    </w:p>
    <w:p w14:paraId="1A066800">
      <w:pPr>
        <w:spacing w:line="240" w:lineRule="auto"/>
        <w:ind w:firstLine="640"/>
        <w:jc w:val="both"/>
      </w:pPr>
    </w:p>
    <w:p w14:paraId="7C6BC27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4E15528"/>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C5A7700"/>
    <w:rsid w:val="2D1136DF"/>
    <w:rsid w:val="2DAE0E44"/>
    <w:rsid w:val="2FD27414"/>
    <w:rsid w:val="313F1D52"/>
    <w:rsid w:val="318029AB"/>
    <w:rsid w:val="31C63837"/>
    <w:rsid w:val="326F0A17"/>
    <w:rsid w:val="3277581B"/>
    <w:rsid w:val="38006E2C"/>
    <w:rsid w:val="3914510A"/>
    <w:rsid w:val="3B1220C9"/>
    <w:rsid w:val="3D5275AC"/>
    <w:rsid w:val="3EA7725F"/>
    <w:rsid w:val="3EC014A1"/>
    <w:rsid w:val="3FAF3485"/>
    <w:rsid w:val="40834692"/>
    <w:rsid w:val="423A32B2"/>
    <w:rsid w:val="423C0CB4"/>
    <w:rsid w:val="427B5743"/>
    <w:rsid w:val="42E64542"/>
    <w:rsid w:val="464B7E04"/>
    <w:rsid w:val="464F7E64"/>
    <w:rsid w:val="4687470B"/>
    <w:rsid w:val="46901EEE"/>
    <w:rsid w:val="469C74D2"/>
    <w:rsid w:val="47445515"/>
    <w:rsid w:val="4B4C0111"/>
    <w:rsid w:val="4BB23021"/>
    <w:rsid w:val="4F3F074E"/>
    <w:rsid w:val="50DB5F45"/>
    <w:rsid w:val="52F92565"/>
    <w:rsid w:val="543D17CB"/>
    <w:rsid w:val="55DA564E"/>
    <w:rsid w:val="56E07045"/>
    <w:rsid w:val="583059FA"/>
    <w:rsid w:val="587E6212"/>
    <w:rsid w:val="5AFC6609"/>
    <w:rsid w:val="5E2D061D"/>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59F708F"/>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5035</Words>
  <Characters>5719</Characters>
  <Lines>0</Lines>
  <Paragraphs>0</Paragraphs>
  <TotalTime>9</TotalTime>
  <ScaleCrop>false</ScaleCrop>
  <LinksUpToDate>false</LinksUpToDate>
  <CharactersWithSpaces>5727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2025-09-04T09:02:09Z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