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新疆塔什库尔干塔吉克自治县总工会2024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2FF51B4">
      <w:r>
        <w:br w:type="page"/>
      </w:r>
    </w:p>
    <w:p w14:paraId="7CC89C38">
      <w:pPr>
        <w:spacing w:line="640" w:lineRule="exact"/>
        <w:jc w:val="center"/>
        <w:outlineLvl w:val="1"/>
      </w:pPr>
      <w:r>
        <w:rPr>
          <w:rFonts w:ascii="黑体" w:hAnsi="黑体" w:eastAsia="黑体"/>
          <w:sz w:val="32"/>
        </w:rPr>
        <w:t>第一部分 单位概况</w:t>
      </w:r>
    </w:p>
    <w:p w14:paraId="6EACB9A2">
      <w:pPr>
        <w:spacing w:line="640" w:lineRule="exact"/>
        <w:ind w:firstLine="640"/>
        <w:jc w:val="both"/>
        <w:outlineLvl w:val="2"/>
      </w:pPr>
      <w:r>
        <w:rPr>
          <w:rFonts w:ascii="黑体" w:hAnsi="黑体" w:eastAsia="黑体"/>
          <w:sz w:val="32"/>
        </w:rPr>
        <w:t>一、主要职能</w:t>
      </w:r>
    </w:p>
    <w:p w14:paraId="76114F0D">
      <w:pPr>
        <w:spacing w:line="580" w:lineRule="exact"/>
        <w:ind w:firstLine="640"/>
        <w:jc w:val="both"/>
      </w:pPr>
      <w:r>
        <w:rPr>
          <w:rFonts w:ascii="仿宋_GB2312" w:hAnsi="仿宋_GB2312" w:eastAsia="仿宋_GB2312"/>
          <w:sz w:val="32"/>
        </w:rPr>
        <w:t>1.维护职工合法权益。</w:t>
      </w:r>
    </w:p>
    <w:p w14:paraId="3FB3C8EC">
      <w:pPr>
        <w:spacing w:line="580" w:lineRule="exact"/>
        <w:ind w:firstLine="640"/>
        <w:jc w:val="both"/>
      </w:pPr>
      <w:r>
        <w:rPr>
          <w:rFonts w:ascii="仿宋_GB2312" w:hAnsi="仿宋_GB2312" w:eastAsia="仿宋_GB2312"/>
          <w:sz w:val="32"/>
        </w:rPr>
        <w:t>参与涉及职工切身利益的政策制定，为职工提供法律咨询、法律援助等服务，帮助解决劳动纠纷（如工资拖欠、社保缴纳、工伤赔偿等）。</w:t>
      </w:r>
    </w:p>
    <w:p w14:paraId="0D500EA6">
      <w:pPr>
        <w:spacing w:line="580" w:lineRule="exact"/>
        <w:ind w:firstLine="640"/>
        <w:jc w:val="both"/>
      </w:pPr>
      <w:r>
        <w:rPr>
          <w:rFonts w:ascii="仿宋_GB2312" w:hAnsi="仿宋_GB2312" w:eastAsia="仿宋_GB2312"/>
          <w:sz w:val="32"/>
        </w:rPr>
        <w:t>监督用人单位执行劳动法律法规，保障职工在劳动就业、休息休假、劳动安全卫生等方面的权益。</w:t>
      </w:r>
    </w:p>
    <w:p w14:paraId="04097A86">
      <w:pPr>
        <w:spacing w:line="580" w:lineRule="exact"/>
        <w:ind w:firstLine="640"/>
        <w:jc w:val="both"/>
      </w:pPr>
      <w:r>
        <w:rPr>
          <w:rFonts w:ascii="仿宋_GB2312" w:hAnsi="仿宋_GB2312" w:eastAsia="仿宋_GB2312"/>
          <w:sz w:val="32"/>
        </w:rPr>
        <w:t>2.服务职工生产生活。</w:t>
      </w:r>
    </w:p>
    <w:p w14:paraId="7E98D0A5">
      <w:pPr>
        <w:spacing w:line="580" w:lineRule="exact"/>
        <w:ind w:firstLine="640"/>
        <w:jc w:val="both"/>
      </w:pPr>
      <w:r>
        <w:rPr>
          <w:rFonts w:ascii="仿宋_GB2312" w:hAnsi="仿宋_GB2312" w:eastAsia="仿宋_GB2312"/>
          <w:sz w:val="32"/>
        </w:rPr>
        <w:t>开展职工技能培训、职业介绍等活动，助力职工提升就业能力。</w:t>
      </w:r>
    </w:p>
    <w:p w14:paraId="0D8BE8C2">
      <w:pPr>
        <w:spacing w:line="580" w:lineRule="exact"/>
        <w:ind w:firstLine="640"/>
        <w:jc w:val="both"/>
      </w:pPr>
      <w:r>
        <w:rPr>
          <w:rFonts w:ascii="仿宋_GB2312" w:hAnsi="仿宋_GB2312" w:eastAsia="仿宋_GB2312"/>
          <w:sz w:val="32"/>
        </w:rPr>
        <w:t>关心职工生活，组织困难职工帮扶（如助学、医疗救助、生活补助）、送温暖等活动，解决职工实际困难。</w:t>
      </w:r>
    </w:p>
    <w:p w14:paraId="4FDDD7DC">
      <w:pPr>
        <w:spacing w:line="580" w:lineRule="exact"/>
        <w:ind w:firstLine="640"/>
        <w:jc w:val="both"/>
      </w:pPr>
      <w:r>
        <w:rPr>
          <w:rFonts w:ascii="仿宋_GB2312" w:hAnsi="仿宋_GB2312" w:eastAsia="仿宋_GB2312"/>
          <w:sz w:val="32"/>
        </w:rPr>
        <w:t>3.组织动员职工。</w:t>
      </w:r>
    </w:p>
    <w:p w14:paraId="32EAF149">
      <w:pPr>
        <w:spacing w:line="580" w:lineRule="exact"/>
        <w:ind w:firstLine="640"/>
        <w:jc w:val="both"/>
      </w:pPr>
      <w:r>
        <w:rPr>
          <w:rFonts w:ascii="仿宋_GB2312" w:hAnsi="仿宋_GB2312" w:eastAsia="仿宋_GB2312"/>
          <w:sz w:val="32"/>
        </w:rPr>
        <w:t>引导职工立足岗位参与经济建设，开展劳动竞赛、技术创新等活动，提升职工素质和劳动效率。</w:t>
      </w:r>
    </w:p>
    <w:p w14:paraId="5F58EA19">
      <w:pPr>
        <w:spacing w:line="580" w:lineRule="exact"/>
        <w:ind w:firstLine="640"/>
        <w:jc w:val="both"/>
      </w:pPr>
      <w:r>
        <w:rPr>
          <w:rFonts w:ascii="仿宋_GB2312" w:hAnsi="仿宋_GB2312" w:eastAsia="仿宋_GB2312"/>
          <w:sz w:val="32"/>
        </w:rPr>
        <w:t>加强职工思想引领，弘扬劳模精神、劳动精神、工匠精神，增强职工凝聚力。</w:t>
      </w:r>
    </w:p>
    <w:p w14:paraId="274C24A6">
      <w:pPr>
        <w:spacing w:line="580" w:lineRule="exact"/>
        <w:ind w:firstLine="640"/>
        <w:jc w:val="both"/>
      </w:pPr>
      <w:r>
        <w:rPr>
          <w:rFonts w:ascii="仿宋_GB2312" w:hAnsi="仿宋_GB2312" w:eastAsia="仿宋_GB2312"/>
          <w:sz w:val="32"/>
        </w:rPr>
        <w:t>4.加强工会自身建设。</w:t>
      </w:r>
    </w:p>
    <w:p w14:paraId="05E15755">
      <w:pPr>
        <w:spacing w:line="580" w:lineRule="exact"/>
        <w:ind w:firstLine="640"/>
        <w:jc w:val="both"/>
      </w:pPr>
      <w:r>
        <w:rPr>
          <w:rFonts w:ascii="仿宋_GB2312" w:hAnsi="仿宋_GB2312" w:eastAsia="仿宋_GB2312"/>
          <w:sz w:val="32"/>
        </w:rPr>
        <w:t>发展基层工会组织，扩大工会覆盖面，规范工会运作，提升工会服务能力。</w:t>
      </w:r>
    </w:p>
    <w:p w14:paraId="27CD686F">
      <w:pPr>
        <w:spacing w:line="580" w:lineRule="exact"/>
        <w:ind w:firstLine="640"/>
        <w:jc w:val="both"/>
      </w:pPr>
      <w:r>
        <w:rPr>
          <w:rFonts w:ascii="仿宋_GB2312" w:hAnsi="仿宋_GB2312" w:eastAsia="仿宋_GB2312"/>
          <w:sz w:val="32"/>
        </w:rPr>
        <w:t>协调与政府、企业等各方关系，为职工创造良好环境。</w:t>
      </w:r>
    </w:p>
    <w:p w14:paraId="1ADF089D">
      <w:pPr>
        <w:spacing w:line="580" w:lineRule="exact"/>
        <w:ind w:firstLine="640"/>
        <w:jc w:val="both"/>
      </w:pPr>
      <w:r>
        <w:rPr>
          <w:rFonts w:ascii="仿宋_GB2312" w:hAnsi="仿宋_GB2312" w:eastAsia="仿宋_GB2312"/>
          <w:sz w:val="32"/>
        </w:rPr>
        <w:t>这些职能的核心是切实维护职工合法权益，同时促进职工与企业、社会的和谐发展。</w:t>
      </w:r>
    </w:p>
    <w:p w14:paraId="7C1D4C55">
      <w:pPr>
        <w:spacing w:line="640" w:lineRule="exact"/>
        <w:ind w:firstLine="640"/>
        <w:jc w:val="both"/>
        <w:outlineLvl w:val="2"/>
      </w:pPr>
      <w:r>
        <w:rPr>
          <w:rFonts w:ascii="黑体" w:hAnsi="黑体" w:eastAsia="黑体"/>
          <w:sz w:val="32"/>
        </w:rPr>
        <w:t>二、机构设置及人员情况</w:t>
      </w:r>
    </w:p>
    <w:p w14:paraId="215C5432">
      <w:pPr>
        <w:spacing w:line="580" w:lineRule="exact"/>
        <w:ind w:firstLine="640"/>
        <w:jc w:val="both"/>
      </w:pPr>
      <w:r>
        <w:rPr>
          <w:rFonts w:ascii="仿宋_GB2312" w:hAnsi="仿宋_GB2312" w:eastAsia="仿宋_GB2312"/>
          <w:sz w:val="32"/>
        </w:rPr>
        <w:t>新疆塔什库尔干塔吉克自治县总工会2024年度，实有人数7人，其中：在职人员2人，增加1人；离休人员0人，增加0人；退休人员5人,增加0人。</w:t>
      </w:r>
    </w:p>
    <w:p w14:paraId="7C6144C1">
      <w:pPr>
        <w:spacing w:line="580" w:lineRule="exact"/>
        <w:ind w:firstLine="640"/>
        <w:jc w:val="both"/>
      </w:pPr>
      <w:r>
        <w:rPr>
          <w:rFonts w:ascii="仿宋_GB2312" w:hAnsi="仿宋_GB2312" w:eastAsia="仿宋_GB2312"/>
          <w:sz w:val="32"/>
        </w:rPr>
        <w:t>单位无下属预算单位，下设2个科室，分别是：职工服务中心、财务室。</w:t>
      </w:r>
    </w:p>
    <w:p w14:paraId="0C5DAC44">
      <w:r>
        <w:br w:type="page"/>
      </w:r>
    </w:p>
    <w:p w14:paraId="7953283E">
      <w:pPr>
        <w:spacing w:line="240" w:lineRule="auto"/>
        <w:jc w:val="center"/>
        <w:outlineLvl w:val="1"/>
      </w:pPr>
      <w:r>
        <w:rPr>
          <w:rFonts w:ascii="黑体" w:hAnsi="黑体" w:eastAsia="黑体"/>
          <w:sz w:val="32"/>
        </w:rPr>
        <w:t>第二部分 部门决算情况说明</w:t>
      </w:r>
    </w:p>
    <w:p w14:paraId="4B51E05C">
      <w:pPr>
        <w:spacing w:line="640" w:lineRule="exact"/>
        <w:ind w:firstLine="640"/>
        <w:jc w:val="both"/>
        <w:outlineLvl w:val="2"/>
      </w:pPr>
      <w:r>
        <w:rPr>
          <w:rFonts w:ascii="黑体" w:hAnsi="黑体" w:eastAsia="黑体"/>
          <w:sz w:val="32"/>
        </w:rPr>
        <w:t>一、收入支出决算总体情况说明</w:t>
      </w:r>
    </w:p>
    <w:p w14:paraId="4BAC3BEE">
      <w:pPr>
        <w:spacing w:line="580" w:lineRule="exact"/>
        <w:ind w:firstLine="640"/>
        <w:jc w:val="both"/>
      </w:pPr>
      <w:r>
        <w:rPr>
          <w:rFonts w:ascii="仿宋_GB2312" w:hAnsi="仿宋_GB2312" w:eastAsia="仿宋_GB2312"/>
          <w:b/>
          <w:sz w:val="32"/>
        </w:rPr>
        <w:t>2024年度收入总计42.20万元，</w:t>
      </w:r>
      <w:r>
        <w:rPr>
          <w:rFonts w:ascii="仿宋_GB2312" w:hAnsi="仿宋_GB2312" w:eastAsia="仿宋_GB2312"/>
          <w:b w:val="0"/>
          <w:sz w:val="32"/>
        </w:rPr>
        <w:t>其中：本年收入合计42.20万元，使用非财政拨款结余（含专用结余）0.00万元，年初结转和结余0.00万元。</w:t>
      </w:r>
    </w:p>
    <w:p w14:paraId="3FD15D01">
      <w:pPr>
        <w:spacing w:line="580" w:lineRule="exact"/>
        <w:ind w:firstLine="640"/>
        <w:jc w:val="both"/>
      </w:pPr>
      <w:r>
        <w:rPr>
          <w:rFonts w:ascii="仿宋_GB2312" w:hAnsi="仿宋_GB2312" w:eastAsia="仿宋_GB2312"/>
          <w:b/>
          <w:sz w:val="32"/>
        </w:rPr>
        <w:t>2024年度支出总计42.20万元，</w:t>
      </w:r>
      <w:r>
        <w:rPr>
          <w:rFonts w:ascii="仿宋_GB2312" w:hAnsi="仿宋_GB2312" w:eastAsia="仿宋_GB2312"/>
          <w:b w:val="0"/>
          <w:sz w:val="32"/>
        </w:rPr>
        <w:t>其中：本年支出合计42.20万元，结余分配0.00万元，年末结转和结余0.00万元。</w:t>
      </w:r>
    </w:p>
    <w:p w14:paraId="401F8000">
      <w:pPr>
        <w:spacing w:line="580" w:lineRule="exact"/>
        <w:ind w:firstLine="640"/>
        <w:jc w:val="both"/>
      </w:pPr>
      <w:r>
        <w:rPr>
          <w:rFonts w:ascii="仿宋_GB2312" w:hAnsi="仿宋_GB2312" w:eastAsia="仿宋_GB2312"/>
          <w:b w:val="0"/>
          <w:sz w:val="32"/>
        </w:rPr>
        <w:t>收入支出总体与上年相比，减少32.93万元，下降43.83%，主要原因是：本年减少聘用人员，相关人员经费减少。</w:t>
      </w:r>
    </w:p>
    <w:p w14:paraId="5300098B">
      <w:pPr>
        <w:spacing w:line="640" w:lineRule="exact"/>
        <w:ind w:firstLine="640"/>
        <w:jc w:val="both"/>
        <w:outlineLvl w:val="2"/>
      </w:pPr>
      <w:r>
        <w:rPr>
          <w:rFonts w:ascii="黑体" w:hAnsi="黑体" w:eastAsia="黑体"/>
          <w:sz w:val="32"/>
        </w:rPr>
        <w:t>二、收入决算情况说明</w:t>
      </w:r>
    </w:p>
    <w:p w14:paraId="79130059">
      <w:pPr>
        <w:spacing w:line="580" w:lineRule="exact"/>
        <w:ind w:firstLine="640"/>
        <w:jc w:val="both"/>
      </w:pPr>
      <w:r>
        <w:rPr>
          <w:rFonts w:ascii="仿宋_GB2312" w:hAnsi="仿宋_GB2312" w:eastAsia="仿宋_GB2312"/>
          <w:b/>
          <w:sz w:val="32"/>
        </w:rPr>
        <w:t>本年收入42.20万元，</w:t>
      </w:r>
      <w:r>
        <w:rPr>
          <w:rFonts w:ascii="仿宋_GB2312" w:hAnsi="仿宋_GB2312" w:eastAsia="仿宋_GB2312"/>
          <w:b w:val="0"/>
          <w:sz w:val="32"/>
        </w:rPr>
        <w:t>其中：财政拨款收入42.20万元，占100.00%；上级补助收入0.00万元，占0.00%；事业收入0.00万元，占0.00%；经营收入0.00万元，占0.00%；附属单位上缴收入0.00万元，占0.00%；其他收入0.00万元，占0.00%。</w:t>
      </w:r>
    </w:p>
    <w:p w14:paraId="23175BD5">
      <w:pPr>
        <w:spacing w:line="640" w:lineRule="exact"/>
        <w:ind w:firstLine="640"/>
        <w:jc w:val="both"/>
        <w:outlineLvl w:val="2"/>
      </w:pPr>
      <w:r>
        <w:rPr>
          <w:rFonts w:ascii="黑体" w:hAnsi="黑体" w:eastAsia="黑体"/>
          <w:sz w:val="32"/>
        </w:rPr>
        <w:t>三、支出决算情况说明</w:t>
      </w:r>
    </w:p>
    <w:p w14:paraId="267AFDDF">
      <w:pPr>
        <w:spacing w:line="580" w:lineRule="exact"/>
        <w:ind w:firstLine="640"/>
        <w:jc w:val="both"/>
      </w:pPr>
      <w:r>
        <w:rPr>
          <w:rFonts w:ascii="仿宋_GB2312" w:hAnsi="仿宋_GB2312" w:eastAsia="仿宋_GB2312"/>
          <w:b/>
          <w:sz w:val="32"/>
        </w:rPr>
        <w:t>本年支出42.20万元，</w:t>
      </w:r>
      <w:r>
        <w:rPr>
          <w:rFonts w:ascii="仿宋_GB2312" w:hAnsi="仿宋_GB2312" w:eastAsia="仿宋_GB2312"/>
          <w:b w:val="0"/>
          <w:sz w:val="32"/>
        </w:rPr>
        <w:t>其中：基本支出42.20万元，占100.00%；项目支出0.00万元，占0.00%；上缴上级支出0.00万元，占0.00%；经营支出0.00万元，占0.00%；对附属单位补助支出0.00万元，占0.00%。</w:t>
      </w:r>
    </w:p>
    <w:p w14:paraId="5811292D">
      <w:pPr>
        <w:spacing w:line="640" w:lineRule="exact"/>
        <w:ind w:firstLine="640"/>
        <w:jc w:val="both"/>
        <w:outlineLvl w:val="2"/>
      </w:pPr>
      <w:r>
        <w:rPr>
          <w:rFonts w:ascii="黑体" w:hAnsi="黑体" w:eastAsia="黑体"/>
          <w:sz w:val="32"/>
        </w:rPr>
        <w:t>四、财政拨款收入支出决算总体情况说明</w:t>
      </w:r>
    </w:p>
    <w:p w14:paraId="6C28ED0C">
      <w:pPr>
        <w:spacing w:line="580" w:lineRule="exact"/>
        <w:ind w:firstLine="640"/>
        <w:jc w:val="both"/>
      </w:pPr>
      <w:r>
        <w:rPr>
          <w:rFonts w:ascii="仿宋_GB2312" w:hAnsi="仿宋_GB2312" w:eastAsia="仿宋_GB2312"/>
          <w:b/>
          <w:sz w:val="32"/>
        </w:rPr>
        <w:t>2024年度财政拨款收入总计42.20万元，</w:t>
      </w:r>
      <w:r>
        <w:rPr>
          <w:rFonts w:ascii="仿宋_GB2312" w:hAnsi="仿宋_GB2312" w:eastAsia="仿宋_GB2312"/>
          <w:b w:val="0"/>
          <w:sz w:val="32"/>
        </w:rPr>
        <w:t>其中：年初财政拨款结转和结余0.00万元，本年财政拨款收入42.20万元。</w:t>
      </w:r>
      <w:r>
        <w:rPr>
          <w:rFonts w:ascii="仿宋_GB2312" w:hAnsi="仿宋_GB2312" w:eastAsia="仿宋_GB2312"/>
          <w:b/>
          <w:sz w:val="32"/>
        </w:rPr>
        <w:t>财政拨款支出总计42.20万元，</w:t>
      </w:r>
      <w:r>
        <w:rPr>
          <w:rFonts w:ascii="仿宋_GB2312" w:hAnsi="仿宋_GB2312" w:eastAsia="仿宋_GB2312"/>
          <w:b w:val="0"/>
          <w:sz w:val="32"/>
        </w:rPr>
        <w:t>其中：年末财政拨款结转和结余0.00万元，本年财政拨款支出42.20万元。</w:t>
      </w:r>
    </w:p>
    <w:p w14:paraId="36BF7A3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减少32.93万元，下降43.83%，主要原因是：本年减少聘用人员，相关人员经费减少。</w:t>
      </w:r>
      <w:r>
        <w:rPr>
          <w:rFonts w:ascii="仿宋_GB2312" w:hAnsi="仿宋_GB2312" w:eastAsia="仿宋_GB2312"/>
          <w:b/>
          <w:sz w:val="32"/>
        </w:rPr>
        <w:t>与年初预算相比，</w:t>
      </w:r>
      <w:r>
        <w:rPr>
          <w:rFonts w:ascii="仿宋_GB2312" w:hAnsi="仿宋_GB2312" w:eastAsia="仿宋_GB2312"/>
          <w:b w:val="0"/>
          <w:sz w:val="32"/>
        </w:rPr>
        <w:t>年初预算数35.77万元，决算数42.20万元，预决算差异率17.98%，主要原因是：年中追加人员工资、社保、公积金基数调增部分资金，导致预决算存在差异。</w:t>
      </w:r>
    </w:p>
    <w:p w14:paraId="08445B6F">
      <w:pPr>
        <w:spacing w:line="640" w:lineRule="exact"/>
        <w:ind w:firstLine="640"/>
        <w:jc w:val="both"/>
        <w:outlineLvl w:val="2"/>
      </w:pPr>
      <w:r>
        <w:rPr>
          <w:rFonts w:ascii="黑体" w:hAnsi="黑体" w:eastAsia="黑体"/>
          <w:sz w:val="32"/>
        </w:rPr>
        <w:t>五、一般公共预算财政拨款支出决算情况说明</w:t>
      </w:r>
    </w:p>
    <w:p w14:paraId="6C532CC9">
      <w:pPr>
        <w:spacing w:line="640" w:lineRule="exact"/>
        <w:ind w:firstLine="640"/>
        <w:jc w:val="both"/>
        <w:outlineLvl w:val="3"/>
      </w:pPr>
      <w:r>
        <w:rPr>
          <w:rFonts w:ascii="楷体_GB2312" w:hAnsi="楷体_GB2312" w:eastAsia="楷体_GB2312"/>
          <w:b/>
          <w:sz w:val="32"/>
        </w:rPr>
        <w:t>（一）一般公共预算财政拨款支出决算总体情况</w:t>
      </w:r>
    </w:p>
    <w:p w14:paraId="104A19E5">
      <w:pPr>
        <w:spacing w:line="580" w:lineRule="exact"/>
        <w:ind w:firstLine="640"/>
        <w:jc w:val="both"/>
      </w:pPr>
      <w:r>
        <w:rPr>
          <w:rFonts w:ascii="仿宋_GB2312" w:hAnsi="仿宋_GB2312" w:eastAsia="仿宋_GB2312"/>
          <w:b/>
          <w:sz w:val="32"/>
        </w:rPr>
        <w:t>2024年度一般公共预算财政拨款支出42.20万元，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减少32.93万元，下降43.83%，主要原因是：本年减少聘用人员，相关人员经费减少。</w:t>
      </w:r>
      <w:r>
        <w:rPr>
          <w:rFonts w:ascii="仿宋_GB2312" w:hAnsi="仿宋_GB2312" w:eastAsia="仿宋_GB2312"/>
          <w:b/>
          <w:sz w:val="32"/>
        </w:rPr>
        <w:t>与年初预算相比,</w:t>
      </w:r>
      <w:r>
        <w:rPr>
          <w:rFonts w:ascii="仿宋_GB2312" w:hAnsi="仿宋_GB2312" w:eastAsia="仿宋_GB2312"/>
          <w:b w:val="0"/>
          <w:sz w:val="32"/>
        </w:rPr>
        <w:t>年初预算数35.77万元，决算数42.20万元，预决算差异率17.98%，主要原因是：年中追加人员工资、社保、公积金基数调增部分资金，导致预决算存在差异。</w:t>
      </w:r>
    </w:p>
    <w:p w14:paraId="640F3045">
      <w:pPr>
        <w:spacing w:line="640" w:lineRule="exact"/>
        <w:ind w:firstLine="640"/>
        <w:jc w:val="both"/>
        <w:outlineLvl w:val="3"/>
      </w:pPr>
      <w:r>
        <w:rPr>
          <w:rFonts w:ascii="楷体_GB2312" w:hAnsi="楷体_GB2312" w:eastAsia="楷体_GB2312"/>
          <w:b/>
          <w:sz w:val="32"/>
        </w:rPr>
        <w:t>（二）一般公共预算财政拨款支出决算结构情况</w:t>
      </w:r>
    </w:p>
    <w:p w14:paraId="3FD78F26">
      <w:pPr>
        <w:spacing w:line="580" w:lineRule="exact"/>
        <w:ind w:firstLine="640"/>
        <w:jc w:val="both"/>
      </w:pPr>
      <w:r>
        <w:rPr>
          <w:rFonts w:ascii="仿宋_GB2312" w:hAnsi="仿宋_GB2312" w:eastAsia="仿宋_GB2312"/>
          <w:b w:val="0"/>
          <w:sz w:val="32"/>
        </w:rPr>
        <w:t>1.一般公共服务支出(类)27.06万元,占64.12%。</w:t>
      </w:r>
    </w:p>
    <w:p w14:paraId="33C287B0">
      <w:pPr>
        <w:spacing w:line="580" w:lineRule="exact"/>
        <w:ind w:firstLine="640"/>
        <w:jc w:val="both"/>
      </w:pPr>
      <w:r>
        <w:rPr>
          <w:rFonts w:ascii="仿宋_GB2312" w:hAnsi="仿宋_GB2312" w:eastAsia="仿宋_GB2312"/>
          <w:b w:val="0"/>
          <w:sz w:val="32"/>
        </w:rPr>
        <w:t>2.社会保障和就业支出(类)10.49万元,占24.86%。</w:t>
      </w:r>
    </w:p>
    <w:p w14:paraId="362B0B3F">
      <w:pPr>
        <w:spacing w:line="580" w:lineRule="exact"/>
        <w:ind w:firstLine="640"/>
        <w:jc w:val="both"/>
      </w:pPr>
      <w:r>
        <w:rPr>
          <w:rFonts w:ascii="仿宋_GB2312" w:hAnsi="仿宋_GB2312" w:eastAsia="仿宋_GB2312"/>
          <w:b w:val="0"/>
          <w:sz w:val="32"/>
        </w:rPr>
        <w:t>3.卫生健康支出(类)1.82万元,占4.31%。</w:t>
      </w:r>
    </w:p>
    <w:p w14:paraId="3D126436">
      <w:pPr>
        <w:spacing w:line="580" w:lineRule="exact"/>
        <w:ind w:firstLine="640"/>
        <w:jc w:val="both"/>
      </w:pPr>
      <w:r>
        <w:rPr>
          <w:rFonts w:ascii="仿宋_GB2312" w:hAnsi="仿宋_GB2312" w:eastAsia="仿宋_GB2312"/>
          <w:b w:val="0"/>
          <w:sz w:val="32"/>
        </w:rPr>
        <w:t>4.住房保障支出(类)2.83万元,占6.71%。</w:t>
      </w:r>
    </w:p>
    <w:p w14:paraId="5DA01887">
      <w:pPr>
        <w:spacing w:line="640" w:lineRule="exact"/>
        <w:ind w:firstLine="640"/>
        <w:jc w:val="both"/>
        <w:outlineLvl w:val="3"/>
      </w:pPr>
      <w:r>
        <w:rPr>
          <w:rFonts w:ascii="楷体_GB2312" w:hAnsi="楷体_GB2312" w:eastAsia="楷体_GB2312"/>
          <w:b/>
          <w:sz w:val="32"/>
        </w:rPr>
        <w:t>（三）一般公共预算财政拨款支出决算具体情况</w:t>
      </w:r>
    </w:p>
    <w:p w14:paraId="7136BEA7">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1.一般公共服务支出(类)政府办公厅（室）及相关机构事务(款)行政运行(项):支出决算数为0.50万元，比上年决算增加0.50万元，增长100.00%,主要原因是：本年增加在职人员奖金。</w:t>
      </w:r>
    </w:p>
    <w:p w14:paraId="626FB5E3">
      <w:pPr>
        <w:spacing w:line="580" w:lineRule="exact"/>
        <w:ind w:firstLine="640"/>
        <w:jc w:val="both"/>
      </w:pPr>
      <w:r>
        <w:rPr>
          <w:rFonts w:ascii="仿宋_GB2312" w:hAnsi="仿宋_GB2312" w:eastAsia="仿宋_GB2312"/>
          <w:b w:val="0"/>
          <w:sz w:val="32"/>
        </w:rPr>
        <w:t>2.一般公共服务支出(类)群众团体事务(款)行政运行(项):支出决算数为26.56万元，比上年决算减少19.00万元，下降41.70%,主要原因是：本年减少聘用人员，相关人员经费减少。</w:t>
      </w:r>
    </w:p>
    <w:p w14:paraId="559B7FED">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3.社会保障和就业支出(类)行政事业单位养老支出(款)行政单位离退休(项):支出决算数为7.18万元，比上年决算增加2.58万元，增长56.09%,主要原因是：本年增加退休人员绩效奖。</w:t>
      </w:r>
    </w:p>
    <w:p w14:paraId="1AFC55BD">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4.社会保障和就业支出(类)行政事业单位养老支出(款)机关事业单位基本养老保险缴费支出(项):支出决算数为3.30万元，比上年决算减少1.21万元，下降26.83%,主要原因是：本年减少聘用人员，养老保险缴费减少。</w:t>
      </w:r>
    </w:p>
    <w:p w14:paraId="07DF589B">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5.社会保障和就业支出(类)行政事业单位养老支出(款)机关事业单位职业年金缴费支出(项):支出决算数为0.00万元，比上年决算减少10.50万元，下降100.00%,主要原因是：本年无</w:t>
      </w:r>
      <w:r>
        <w:rPr>
          <w:rFonts w:hint="eastAsia" w:ascii="仿宋_GB2312" w:hAnsi="仿宋_GB2312" w:eastAsia="仿宋_GB2312"/>
          <w:b w:val="0"/>
          <w:sz w:val="32"/>
          <w:lang w:val="en-US" w:eastAsia="zh-CN"/>
        </w:rPr>
        <w:t>新增</w:t>
      </w:r>
      <w:r>
        <w:rPr>
          <w:rFonts w:ascii="仿宋_GB2312" w:hAnsi="仿宋_GB2312" w:eastAsia="仿宋_GB2312"/>
          <w:b w:val="0"/>
          <w:sz w:val="32"/>
        </w:rPr>
        <w:t>退休人员，减少职业年金缴费。</w:t>
      </w:r>
    </w:p>
    <w:p w14:paraId="4E785D03">
      <w:pPr>
        <w:spacing w:line="580" w:lineRule="exact"/>
        <w:ind w:firstLine="640"/>
        <w:jc w:val="both"/>
      </w:pPr>
      <w:r>
        <w:rPr>
          <w:rFonts w:ascii="仿宋_GB2312" w:hAnsi="仿宋_GB2312" w:eastAsia="仿宋_GB2312"/>
          <w:b w:val="0"/>
          <w:sz w:val="32"/>
        </w:rPr>
        <w:t>6.卫生健康支出(类)行政事业单位医疗(款)行政单位医疗(项):支出决算数为1.40万元，比上年决算减少3.32万元，下降70.34%,主要原因是：本年减少聘用人员，医疗保险缴费减少。</w:t>
      </w:r>
    </w:p>
    <w:p w14:paraId="14F089F8">
      <w:pPr>
        <w:spacing w:line="580" w:lineRule="exact"/>
        <w:ind w:firstLine="640"/>
        <w:jc w:val="both"/>
      </w:pPr>
      <w:r>
        <w:rPr>
          <w:rFonts w:ascii="仿宋_GB2312" w:hAnsi="仿宋_GB2312" w:eastAsia="仿宋_GB2312"/>
          <w:b w:val="0"/>
          <w:sz w:val="32"/>
        </w:rPr>
        <w:t>7.卫生健康支出(类)行政事业单位医疗(款)公务员医疗补助(项):支出决算数为0.41万元，比上年决算减少1.09万元，下降72.67%,主要原因是：本年在职人员调入调出，人员职级不同，缴费基数不同，导致公务员医疗补助较上年减少。</w:t>
      </w:r>
    </w:p>
    <w:p w14:paraId="64841D0F">
      <w:pPr>
        <w:spacing w:line="580" w:lineRule="exact"/>
        <w:ind w:firstLine="640"/>
        <w:jc w:val="both"/>
      </w:pPr>
      <w:r>
        <w:rPr>
          <w:rFonts w:ascii="仿宋_GB2312" w:hAnsi="仿宋_GB2312" w:eastAsia="仿宋_GB2312"/>
          <w:b w:val="0"/>
          <w:sz w:val="32"/>
        </w:rPr>
        <w:t>8.住房保障支出(类)住房改革支出(款)住房公积金(项):支出决算数为2.83万元，比上年决算减少0.91万元，下降24.33%,主要原因是：本年减少聘用人员，住房公积金缴费减少。</w:t>
      </w:r>
    </w:p>
    <w:p w14:paraId="31E1DA88">
      <w:pPr>
        <w:spacing w:line="640" w:lineRule="exact"/>
        <w:ind w:firstLine="640"/>
        <w:jc w:val="both"/>
        <w:outlineLvl w:val="2"/>
      </w:pPr>
      <w:r>
        <w:rPr>
          <w:rFonts w:ascii="黑体" w:hAnsi="黑体" w:eastAsia="黑体"/>
          <w:sz w:val="32"/>
        </w:rPr>
        <w:t>六、一般公共预算财政拨款基本支出决算情况说明</w:t>
      </w:r>
    </w:p>
    <w:p w14:paraId="0152652F">
      <w:pPr>
        <w:spacing w:line="580" w:lineRule="exact"/>
        <w:ind w:firstLine="640"/>
        <w:jc w:val="both"/>
      </w:pPr>
      <w:r>
        <w:rPr>
          <w:rFonts w:ascii="仿宋_GB2312" w:hAnsi="仿宋_GB2312" w:eastAsia="仿宋_GB2312"/>
          <w:b w:val="0"/>
          <w:sz w:val="32"/>
        </w:rPr>
        <w:t>2024年度一般公共预算财政拨款基本支出42.20万元，其中：</w:t>
      </w:r>
      <w:r>
        <w:rPr>
          <w:rFonts w:ascii="仿宋_GB2312" w:hAnsi="仿宋_GB2312" w:eastAsia="仿宋_GB2312"/>
          <w:b/>
          <w:sz w:val="32"/>
        </w:rPr>
        <w:t>人员经费39.27万元，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353A6DCE">
      <w:pPr>
        <w:spacing w:line="580" w:lineRule="exact"/>
        <w:ind w:firstLine="640"/>
        <w:jc w:val="both"/>
      </w:pPr>
      <w:r>
        <w:rPr>
          <w:rFonts w:ascii="仿宋_GB2312" w:hAnsi="仿宋_GB2312" w:eastAsia="仿宋_GB2312"/>
          <w:b/>
          <w:sz w:val="32"/>
        </w:rPr>
        <w:t>公用经费2.93万元，</w:t>
      </w:r>
      <w:r>
        <w:rPr>
          <w:rFonts w:ascii="仿宋_GB2312" w:hAnsi="仿宋_GB2312" w:eastAsia="仿宋_GB2312"/>
          <w:b w:val="0"/>
          <w:sz w:val="32"/>
        </w:rPr>
        <w:t>包括：办公费、取暖费、公务用车运行维护费。</w:t>
      </w:r>
    </w:p>
    <w:p w14:paraId="5D2CB681">
      <w:pPr>
        <w:spacing w:line="640" w:lineRule="exact"/>
        <w:ind w:firstLine="640"/>
        <w:jc w:val="both"/>
        <w:outlineLvl w:val="2"/>
      </w:pPr>
      <w:r>
        <w:rPr>
          <w:rFonts w:ascii="黑体" w:hAnsi="黑体" w:eastAsia="黑体"/>
          <w:sz w:val="32"/>
        </w:rPr>
        <w:t>七、政府性基金预算财政拨款收入支出决算情况说明</w:t>
      </w:r>
    </w:p>
    <w:p w14:paraId="17C4F36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FDC05B9">
      <w:pPr>
        <w:spacing w:line="640" w:lineRule="exact"/>
        <w:ind w:firstLine="640"/>
        <w:jc w:val="both"/>
        <w:outlineLvl w:val="2"/>
      </w:pPr>
      <w:r>
        <w:rPr>
          <w:rFonts w:ascii="黑体" w:hAnsi="黑体" w:eastAsia="黑体"/>
          <w:sz w:val="32"/>
        </w:rPr>
        <w:t>八、国有资本经营预算财政拨款收入支出决算情况说明</w:t>
      </w:r>
    </w:p>
    <w:p w14:paraId="689D8E3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7A23EB5">
      <w:pPr>
        <w:spacing w:line="640" w:lineRule="exact"/>
        <w:ind w:firstLine="640"/>
        <w:jc w:val="both"/>
        <w:outlineLvl w:val="2"/>
      </w:pPr>
      <w:r>
        <w:rPr>
          <w:rFonts w:ascii="黑体" w:hAnsi="黑体" w:eastAsia="黑体"/>
          <w:sz w:val="32"/>
        </w:rPr>
        <w:t>九、财政拨款“三公”经费支出决算情况说明</w:t>
      </w:r>
    </w:p>
    <w:p w14:paraId="2D207FCF">
      <w:pPr>
        <w:spacing w:line="580" w:lineRule="exact"/>
        <w:ind w:firstLine="640"/>
        <w:jc w:val="both"/>
      </w:pPr>
      <w:r>
        <w:rPr>
          <w:rFonts w:ascii="仿宋_GB2312" w:hAnsi="仿宋_GB2312" w:eastAsia="仿宋_GB2312"/>
          <w:b/>
          <w:sz w:val="32"/>
        </w:rPr>
        <w:t>2024年度财政拨款“三公”经费支出0.83万元，</w:t>
      </w:r>
      <w:r>
        <w:rPr>
          <w:rFonts w:ascii="仿宋_GB2312" w:hAnsi="仿宋_GB2312" w:eastAsia="仿宋_GB2312"/>
          <w:b w:val="0"/>
          <w:sz w:val="32"/>
        </w:rPr>
        <w:t>比上年减少0.97万元，下降53.89%，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0.83万元，占100.00%，比上年减少0.97万元，下降53.89%，主要原因是：严格落实中央八项规定精神，厉行节约，减少公务用车运行维护费。公务接待费支出0.00万元，占0.00%，比上年增加0.00万元，增长0.00%，主要原因是：2023年与2024年均未安排公务接待费支出。</w:t>
      </w:r>
    </w:p>
    <w:p w14:paraId="4EC4EC62">
      <w:pPr>
        <w:spacing w:line="580" w:lineRule="exact"/>
        <w:ind w:firstLine="640"/>
        <w:jc w:val="both"/>
      </w:pPr>
      <w:r>
        <w:rPr>
          <w:rFonts w:ascii="仿宋_GB2312" w:hAnsi="仿宋_GB2312" w:eastAsia="仿宋_GB2312"/>
          <w:b/>
          <w:sz w:val="32"/>
        </w:rPr>
        <w:t>具体情况如下：</w:t>
      </w:r>
    </w:p>
    <w:p w14:paraId="0B3F2CF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603C6A1">
      <w:pPr>
        <w:spacing w:line="580" w:lineRule="exact"/>
        <w:ind w:firstLine="640"/>
        <w:jc w:val="both"/>
      </w:pPr>
      <w:r>
        <w:rPr>
          <w:rFonts w:ascii="仿宋_GB2312" w:hAnsi="仿宋_GB2312" w:eastAsia="仿宋_GB2312"/>
          <w:b w:val="0"/>
          <w:sz w:val="32"/>
        </w:rPr>
        <w:t>公务用车购置及运行维护费0.83万元，其中：公务用车购置费0.00万元，公务用车运行维护费0.83万元。公务用车运行维护费开支内容包括车辆加油费、维修费、保险费、审车费。公务用车购置数0辆，公务用车保有量1辆。国有资产占用情况中固定资产车辆1辆，与公务用车保有量差异原因是：本单位固定资产车辆与公务用车保有量一致无差异。</w:t>
      </w:r>
    </w:p>
    <w:p w14:paraId="44682B1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FE7E76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0.83万元，决算数0.83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0.83万元，决算数0.83万元，预决算差异率0.00%，主要原因是：严格按照预算执行，预决算无差异。公务接待费全年预算数0.00万元，决算数0.00万元，预决算差异率0.00%，主要原因是：本单位无公务接待费。</w:t>
      </w:r>
    </w:p>
    <w:p w14:paraId="429501FE">
      <w:pPr>
        <w:spacing w:line="640" w:lineRule="exact"/>
        <w:ind w:firstLine="640"/>
        <w:jc w:val="both"/>
        <w:outlineLvl w:val="2"/>
      </w:pPr>
      <w:r>
        <w:rPr>
          <w:rFonts w:ascii="黑体" w:hAnsi="黑体" w:eastAsia="黑体"/>
          <w:sz w:val="32"/>
        </w:rPr>
        <w:t>十、其他重要事项的情况说明</w:t>
      </w:r>
    </w:p>
    <w:p w14:paraId="0ECF26A7">
      <w:pPr>
        <w:spacing w:line="640" w:lineRule="exact"/>
        <w:ind w:firstLine="640"/>
        <w:jc w:val="both"/>
        <w:outlineLvl w:val="3"/>
      </w:pPr>
      <w:r>
        <w:rPr>
          <w:rFonts w:ascii="楷体_GB2312" w:hAnsi="楷体_GB2312" w:eastAsia="楷体_GB2312"/>
          <w:b/>
          <w:sz w:val="32"/>
        </w:rPr>
        <w:t>（一）机关运行经费及公用经费支出情况</w:t>
      </w:r>
    </w:p>
    <w:p w14:paraId="0147DCD2">
      <w:pPr>
        <w:spacing w:line="580" w:lineRule="exact"/>
        <w:ind w:firstLine="640"/>
        <w:jc w:val="both"/>
      </w:pPr>
      <w:r>
        <w:rPr>
          <w:rFonts w:ascii="仿宋_GB2312" w:hAnsi="仿宋_GB2312" w:eastAsia="仿宋_GB2312"/>
          <w:b w:val="0"/>
          <w:sz w:val="32"/>
        </w:rPr>
        <w:t>2024年度新疆塔什库尔干塔吉克自治县总工会（行政单位和参照公务员法管理事业单位）机关运行经费支出2.93万元，比上年增加0.78万元，增长36.28%，主要原因是：本年更新、维护补充办公用品，导致机关运行经费较上年增加。</w:t>
      </w:r>
    </w:p>
    <w:p w14:paraId="1927B6B5">
      <w:pPr>
        <w:spacing w:line="640" w:lineRule="exact"/>
        <w:ind w:firstLine="640"/>
        <w:jc w:val="both"/>
        <w:outlineLvl w:val="3"/>
      </w:pPr>
      <w:r>
        <w:rPr>
          <w:rFonts w:ascii="楷体_GB2312" w:hAnsi="楷体_GB2312" w:eastAsia="楷体_GB2312"/>
          <w:b/>
          <w:sz w:val="32"/>
        </w:rPr>
        <w:t>（二）政府采购情况</w:t>
      </w:r>
    </w:p>
    <w:p w14:paraId="66A4B3F1">
      <w:pPr>
        <w:spacing w:line="580" w:lineRule="exact"/>
        <w:ind w:firstLine="640"/>
        <w:jc w:val="both"/>
      </w:pPr>
      <w:r>
        <w:rPr>
          <w:rFonts w:ascii="仿宋_GB2312" w:hAnsi="仿宋_GB2312" w:eastAsia="仿宋_GB2312"/>
          <w:b w:val="0"/>
          <w:sz w:val="32"/>
        </w:rPr>
        <w:t>2024年度政府采购支出总额0.33万元，其中：政府采购货物支出0.02万元、政府采购工程支出0.00万元、政府采购服务支出0.31万元。</w:t>
      </w:r>
    </w:p>
    <w:p w14:paraId="49601A74">
      <w:pPr>
        <w:spacing w:line="580" w:lineRule="exact"/>
        <w:ind w:firstLine="640"/>
        <w:jc w:val="both"/>
      </w:pPr>
      <w:r>
        <w:rPr>
          <w:rFonts w:ascii="仿宋_GB2312" w:hAnsi="仿宋_GB2312" w:eastAsia="仿宋_GB2312"/>
          <w:b w:val="0"/>
          <w:sz w:val="32"/>
        </w:rPr>
        <w:t>授予中小企业合同金额0.31万元，占政府采购支出总额的93.94%，其中：授予小微企业合同金额0.31万元，占政府采购支出总额的93.94%。</w:t>
      </w:r>
    </w:p>
    <w:p w14:paraId="10E2C7A4">
      <w:pPr>
        <w:spacing w:line="640" w:lineRule="exact"/>
        <w:ind w:firstLine="640"/>
        <w:jc w:val="both"/>
        <w:outlineLvl w:val="3"/>
      </w:pPr>
      <w:r>
        <w:rPr>
          <w:rFonts w:ascii="楷体_GB2312" w:hAnsi="楷体_GB2312" w:eastAsia="楷体_GB2312"/>
          <w:b/>
          <w:sz w:val="32"/>
        </w:rPr>
        <w:t>（三）国有资产占用情况说明</w:t>
      </w:r>
    </w:p>
    <w:p w14:paraId="4D0B1ADA">
      <w:pPr>
        <w:spacing w:line="580" w:lineRule="exact"/>
        <w:ind w:firstLine="640"/>
        <w:jc w:val="both"/>
      </w:pPr>
      <w:r>
        <w:rPr>
          <w:rFonts w:ascii="仿宋_GB2312" w:hAnsi="仿宋_GB2312" w:eastAsia="仿宋_GB2312"/>
          <w:b w:val="0"/>
          <w:sz w:val="32"/>
        </w:rPr>
        <w:t>截至2024年12月31日，房屋0.00平方米，价值0.00万元。车辆1辆，价值5.46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4694E319">
      <w:pPr>
        <w:spacing w:line="640" w:lineRule="exact"/>
        <w:ind w:firstLine="640"/>
        <w:jc w:val="both"/>
        <w:outlineLvl w:val="2"/>
      </w:pPr>
      <w:r>
        <w:rPr>
          <w:rFonts w:ascii="黑体" w:hAnsi="黑体" w:eastAsia="黑体"/>
          <w:sz w:val="32"/>
        </w:rPr>
        <w:t>十一、预算绩效的情况说明</w:t>
      </w:r>
    </w:p>
    <w:p w14:paraId="7359B1F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42.20万元，实际执行总额42.20万元；预算绩效评价项目0个，全年预算数0.00万元，全年执行数0.00万元。预算绩效管理取得的成效：2024年我单位无预算绩效项目。发现的问题及原因：2024年我单位无预算绩效项目。下一步改进措施：2024年我单位无预算绩效项目。</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w:t>
      </w:r>
    </w:p>
    <w:p w14:paraId="44F033C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1B79042">
        <w:tblPrEx>
          <w:tblCellMar>
            <w:top w:w="0" w:type="dxa"/>
            <w:left w:w="108" w:type="dxa"/>
            <w:bottom w:w="0" w:type="dxa"/>
            <w:right w:w="108" w:type="dxa"/>
          </w:tblCellMar>
        </w:tblPrEx>
        <w:tc>
          <w:tcPr>
            <w:tcW w:w="8847" w:type="dxa"/>
            <w:gridSpan w:val="9"/>
            <w:vAlign w:val="center"/>
          </w:tcPr>
          <w:p w14:paraId="7AAC1B38">
            <w:pPr>
              <w:jc w:val="center"/>
            </w:pPr>
            <w:r>
              <w:rPr>
                <w:rFonts w:ascii="宋体" w:hAnsi="宋体" w:eastAsia="宋体"/>
                <w:sz w:val="24"/>
              </w:rPr>
              <w:t>单位整体支出绩效自评表</w:t>
            </w:r>
          </w:p>
        </w:tc>
      </w:tr>
      <w:tr w14:paraId="561266FE">
        <w:tblPrEx>
          <w:tblCellMar>
            <w:top w:w="0" w:type="dxa"/>
            <w:left w:w="108" w:type="dxa"/>
            <w:bottom w:w="0" w:type="dxa"/>
            <w:right w:w="108" w:type="dxa"/>
          </w:tblCellMar>
        </w:tblPrEx>
        <w:tc>
          <w:tcPr>
            <w:tcW w:w="8847" w:type="dxa"/>
            <w:gridSpan w:val="9"/>
            <w:vAlign w:val="center"/>
          </w:tcPr>
          <w:p w14:paraId="4584D4A1">
            <w:pPr>
              <w:jc w:val="center"/>
            </w:pPr>
            <w:r>
              <w:rPr>
                <w:rFonts w:ascii="宋体" w:hAnsi="宋体" w:eastAsia="宋体"/>
                <w:sz w:val="24"/>
              </w:rPr>
              <w:t>（2024年度）</w:t>
            </w:r>
          </w:p>
        </w:tc>
      </w:tr>
      <w:tr w14:paraId="4101B8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AD6A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AE98FD">
            <w:pPr>
              <w:jc w:val="center"/>
            </w:pPr>
            <w:r>
              <w:rPr>
                <w:rFonts w:ascii="宋体" w:hAnsi="宋体" w:eastAsia="宋体"/>
                <w:sz w:val="16"/>
              </w:rPr>
              <w:t>新疆塔什库尔干塔吉克自治县总工会</w:t>
            </w:r>
          </w:p>
        </w:tc>
      </w:tr>
      <w:tr w14:paraId="1E4131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700E2">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4DAE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3455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5F8E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0CBA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1D21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92F9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38F1E">
            <w:pPr>
              <w:jc w:val="center"/>
            </w:pPr>
            <w:r>
              <w:rPr>
                <w:rFonts w:ascii="宋体" w:hAnsi="宋体" w:eastAsia="宋体"/>
                <w:sz w:val="16"/>
              </w:rPr>
              <w:t>得分</w:t>
            </w:r>
          </w:p>
        </w:tc>
      </w:tr>
      <w:tr w14:paraId="0CF563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27E1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8C96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86566">
            <w:pPr>
              <w:jc w:val="center"/>
            </w:pPr>
            <w:r>
              <w:rPr>
                <w:rFonts w:ascii="宋体" w:hAnsi="宋体" w:eastAsia="宋体"/>
                <w:sz w:val="16"/>
              </w:rPr>
              <w:t>35.77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FFBB9">
            <w:pPr>
              <w:jc w:val="center"/>
            </w:pPr>
            <w:r>
              <w:rPr>
                <w:rFonts w:ascii="宋体" w:hAnsi="宋体" w:eastAsia="宋体"/>
                <w:sz w:val="16"/>
              </w:rPr>
              <w:t>42.20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7A3D3">
            <w:pPr>
              <w:jc w:val="center"/>
            </w:pPr>
            <w:r>
              <w:rPr>
                <w:rFonts w:ascii="宋体" w:hAnsi="宋体" w:eastAsia="宋体"/>
                <w:sz w:val="16"/>
              </w:rPr>
              <w:t>42.20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F14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B38D3">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F11F0">
            <w:pPr>
              <w:jc w:val="center"/>
            </w:pPr>
            <w:r>
              <w:rPr>
                <w:rFonts w:ascii="宋体" w:hAnsi="宋体" w:eastAsia="宋体"/>
                <w:sz w:val="16"/>
              </w:rPr>
              <w:t>10</w:t>
            </w:r>
          </w:p>
        </w:tc>
      </w:tr>
      <w:tr w14:paraId="129D4E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581A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ED78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2FF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B96A4">
            <w:pPr>
              <w:jc w:val="center"/>
            </w:pPr>
            <w:r>
              <w:rPr>
                <w:rFonts w:ascii="宋体" w:hAnsi="宋体" w:eastAsia="宋体"/>
                <w:sz w:val="16"/>
              </w:rPr>
              <w:t>8.99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B7159">
            <w:pPr>
              <w:jc w:val="center"/>
            </w:pPr>
            <w:r>
              <w:rPr>
                <w:rFonts w:ascii="宋体" w:hAnsi="宋体" w:eastAsia="宋体"/>
                <w:sz w:val="16"/>
              </w:rPr>
              <w:t>8.99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397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8372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68757">
            <w:pPr>
              <w:jc w:val="center"/>
            </w:pPr>
            <w:r>
              <w:rPr>
                <w:rFonts w:ascii="宋体" w:hAnsi="宋体" w:eastAsia="宋体"/>
                <w:sz w:val="16"/>
              </w:rPr>
              <w:t>—</w:t>
            </w:r>
          </w:p>
        </w:tc>
      </w:tr>
      <w:tr w14:paraId="35DE6E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FA9C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45AC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1E4E3">
            <w:pPr>
              <w:jc w:val="center"/>
            </w:pPr>
            <w:r>
              <w:rPr>
                <w:rFonts w:ascii="宋体" w:hAnsi="宋体" w:eastAsia="宋体"/>
                <w:sz w:val="16"/>
              </w:rPr>
              <w:t>35.77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D88A3">
            <w:pPr>
              <w:jc w:val="center"/>
            </w:pPr>
            <w:r>
              <w:rPr>
                <w:rFonts w:ascii="宋体" w:hAnsi="宋体" w:eastAsia="宋体"/>
                <w:sz w:val="16"/>
              </w:rPr>
              <w:t>33.21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B0D58">
            <w:pPr>
              <w:jc w:val="center"/>
            </w:pPr>
            <w:r>
              <w:rPr>
                <w:rFonts w:ascii="宋体" w:hAnsi="宋体" w:eastAsia="宋体"/>
                <w:sz w:val="16"/>
              </w:rPr>
              <w:t>33.21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853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5A4A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D2627">
            <w:pPr>
              <w:jc w:val="center"/>
            </w:pPr>
            <w:r>
              <w:rPr>
                <w:rFonts w:ascii="宋体" w:hAnsi="宋体" w:eastAsia="宋体"/>
                <w:sz w:val="16"/>
              </w:rPr>
              <w:t>—</w:t>
            </w:r>
          </w:p>
        </w:tc>
      </w:tr>
      <w:tr w14:paraId="1A452A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90F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FDEA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296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AE5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F9F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0C5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9558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F3701">
            <w:pPr>
              <w:jc w:val="center"/>
            </w:pPr>
            <w:r>
              <w:rPr>
                <w:rFonts w:ascii="宋体" w:hAnsi="宋体" w:eastAsia="宋体"/>
                <w:sz w:val="16"/>
              </w:rPr>
              <w:t>—</w:t>
            </w:r>
          </w:p>
        </w:tc>
      </w:tr>
      <w:tr w14:paraId="72E355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78B8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345D0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A43D1E">
            <w:pPr>
              <w:jc w:val="center"/>
              <w:rPr>
                <w:rFonts w:hint="eastAsia" w:eastAsia="宋体"/>
                <w:lang w:eastAsia="zh-CN"/>
              </w:rPr>
            </w:pPr>
            <w:r>
              <w:rPr>
                <w:rFonts w:hint="eastAsia" w:ascii="宋体" w:hAnsi="宋体"/>
                <w:sz w:val="16"/>
                <w:lang w:eastAsia="zh-CN"/>
              </w:rPr>
              <w:t>实际完成情况</w:t>
            </w:r>
          </w:p>
        </w:tc>
      </w:tr>
      <w:tr w14:paraId="346464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6DCCD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F1D167">
            <w:pPr>
              <w:jc w:val="both"/>
            </w:pPr>
            <w:r>
              <w:rPr>
                <w:rFonts w:ascii="宋体" w:hAnsi="宋体" w:eastAsia="宋体"/>
                <w:sz w:val="16"/>
              </w:rPr>
              <w:t>始终坚持以习近平新时代中国特色社会主义思想为指导，全面贯彻党的二十大精神，坚决贯彻落实习近平总书记关于工人阶级和工会工作的重要论述特别是同中华全国总工会新一届领导班子成员集体谈话时的重要讲话精神，贯彻落实习近平总书记关于新疆工作系列重要讲话重要指示精神，完整准确全面贯彻新时代党的治疆方略，认真落实中国工会十八大、自治区总工会十三大部署要求，以铸牢中华民族共同体意识为工作主线，紧紧围绕高质量发展这个首要任务，在思想政治引领、维护职工权益、技能素质提升、职工生活品质提升等方面狠抓落实，打造我县工会工作新品牌，团结动员全县各族职工为推动高质量发展贡献力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428C3B">
            <w:pPr>
              <w:jc w:val="both"/>
            </w:pPr>
            <w:r>
              <w:rPr>
                <w:rFonts w:ascii="宋体" w:hAnsi="宋体" w:eastAsia="宋体"/>
                <w:sz w:val="16"/>
              </w:rPr>
              <w:t>我单位已经完成资金支付工作，开展法律法规进企业活动次数5次、职工医疗</w:t>
            </w:r>
            <w:r>
              <w:rPr>
                <w:rFonts w:hint="eastAsia" w:ascii="宋体" w:hAnsi="宋体"/>
                <w:sz w:val="16"/>
                <w:lang w:eastAsia="zh-CN"/>
              </w:rPr>
              <w:t>互助</w:t>
            </w:r>
            <w:r>
              <w:rPr>
                <w:rFonts w:ascii="宋体" w:hAnsi="宋体" w:eastAsia="宋体"/>
                <w:sz w:val="16"/>
              </w:rPr>
              <w:t>宣传活动3次、开展常态化“集中要约”活动企业数量19家、职工群众“五小”创新成果申报目标30项、落实2024年援助资金项目建设4个。认真学习贯彻落实县纪委下发的关于全面从严治党、党风廉政建设和反腐败工作的相关文件精神，常态化运用好监督执纪“第一种形态”，带头在宪法法律、党规党纪范围内活动，严格依照法定权限、规则、程序行使权力、履行职责，争做尊崇法治、信仰法治、敬畏法治纪律的表率，并向各基层工会制发监督卡。严格按照财政部门要求编制部门预算，认真做好编制前的准备工作，合理确定收入来源，预算收支数字必须依据充分确定的资料，努力提高预算的透明度。</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加强对部门预算执行情况的监督，既要加强对基本支出资金的合法性、合规性、效益性进行跟踪监督，又要监督项目资金是否使用于相关的项目、资金使用效益如何、效果怎样，有无超预算支出无预算支出，资金使用是否有结余等情况，及时发现和纠正预算执行过程中存在的挤占挪用项目资金，隐瞒收入、虚列支出、收支“两条线”执行不严等问题，促进各单位按照批复的预算来执行。增强预算约束力。</w:t>
            </w:r>
          </w:p>
        </w:tc>
      </w:tr>
      <w:tr w14:paraId="6A943D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2C40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098D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44A6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C133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D3C2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50FB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6C35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088B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FB498">
            <w:pPr>
              <w:jc w:val="center"/>
            </w:pPr>
            <w:r>
              <w:rPr>
                <w:rFonts w:ascii="宋体" w:hAnsi="宋体" w:eastAsia="宋体"/>
                <w:sz w:val="16"/>
              </w:rPr>
              <w:t>得分</w:t>
            </w:r>
          </w:p>
        </w:tc>
      </w:tr>
      <w:tr w14:paraId="2B37E0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E395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0B13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66E50">
            <w:pPr>
              <w:jc w:val="center"/>
            </w:pPr>
            <w:r>
              <w:rPr>
                <w:rFonts w:ascii="宋体" w:hAnsi="宋体" w:eastAsia="宋体"/>
                <w:sz w:val="16"/>
              </w:rPr>
              <w:t>开展法律法规进企业活动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31BE9">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3FFD1">
            <w:pPr>
              <w:jc w:val="center"/>
            </w:pPr>
            <w:r>
              <w:rPr>
                <w:rFonts w:ascii="宋体" w:hAnsi="宋体" w:eastAsia="宋体"/>
                <w:sz w:val="16"/>
              </w:rPr>
              <w:t>总工会2024年工作计划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101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3B0DE">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6F529">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3738B">
            <w:pPr>
              <w:jc w:val="center"/>
            </w:pPr>
            <w:r>
              <w:rPr>
                <w:rFonts w:ascii="宋体" w:hAnsi="宋体" w:eastAsia="宋体"/>
                <w:sz w:val="16"/>
              </w:rPr>
              <w:t>20</w:t>
            </w:r>
          </w:p>
        </w:tc>
      </w:tr>
      <w:tr w14:paraId="56106D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013A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12C9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CD55B">
            <w:pPr>
              <w:jc w:val="center"/>
            </w:pPr>
            <w:r>
              <w:rPr>
                <w:rFonts w:ascii="宋体" w:hAnsi="宋体" w:eastAsia="宋体"/>
                <w:sz w:val="16"/>
              </w:rPr>
              <w:t>2024年职工医疗互助参加人数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AC4D8">
            <w:pPr>
              <w:jc w:val="center"/>
            </w:pPr>
            <w:r>
              <w:rPr>
                <w:rFonts w:ascii="宋体" w:hAnsi="宋体" w:eastAsia="宋体"/>
                <w:sz w:val="16"/>
              </w:rPr>
              <w:t>&gt;=2000人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A7536">
            <w:pPr>
              <w:jc w:val="center"/>
            </w:pPr>
            <w:r>
              <w:rPr>
                <w:rFonts w:ascii="宋体" w:hAnsi="宋体" w:eastAsia="宋体"/>
                <w:sz w:val="16"/>
              </w:rPr>
              <w:t>总工会2024年工作计划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4C7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47DE7">
            <w:pPr>
              <w:jc w:val="center"/>
            </w:pPr>
            <w:r>
              <w:rPr>
                <w:rFonts w:ascii="宋体" w:hAnsi="宋体" w:eastAsia="宋体"/>
                <w:sz w:val="16"/>
              </w:rPr>
              <w: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960D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DDF53">
            <w:pPr>
              <w:jc w:val="center"/>
            </w:pPr>
            <w:r>
              <w:rPr>
                <w:rFonts w:ascii="宋体" w:hAnsi="宋体" w:eastAsia="宋体"/>
                <w:sz w:val="16"/>
              </w:rPr>
              <w:t>20</w:t>
            </w:r>
          </w:p>
        </w:tc>
      </w:tr>
      <w:tr w14:paraId="298B3F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DDD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8D21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885DF">
            <w:pPr>
              <w:jc w:val="center"/>
            </w:pPr>
            <w:r>
              <w:rPr>
                <w:rFonts w:ascii="宋体" w:hAnsi="宋体" w:eastAsia="宋体"/>
                <w:sz w:val="16"/>
              </w:rPr>
              <w:t>开展“集中要约”活动企业数量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5EE3E">
            <w:pPr>
              <w:jc w:val="center"/>
            </w:pPr>
            <w:r>
              <w:rPr>
                <w:rFonts w:ascii="宋体" w:hAnsi="宋体" w:eastAsia="宋体"/>
                <w:sz w:val="16"/>
              </w:rPr>
              <w:t>&gt;=19家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FEEEA">
            <w:pPr>
              <w:jc w:val="center"/>
            </w:pPr>
            <w:r>
              <w:rPr>
                <w:rFonts w:ascii="宋体" w:hAnsi="宋体" w:eastAsia="宋体"/>
                <w:sz w:val="16"/>
              </w:rPr>
              <w:t>总工会2024年工作计划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2AA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A790D">
            <w:pPr>
              <w:jc w:val="center"/>
            </w:pPr>
            <w:r>
              <w:rPr>
                <w:rFonts w:ascii="宋体" w:hAnsi="宋体" w:eastAsia="宋体"/>
                <w:sz w:val="16"/>
              </w:rPr>
              <w:t>19家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166C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D7401">
            <w:pPr>
              <w:jc w:val="center"/>
            </w:pPr>
            <w:r>
              <w:rPr>
                <w:rFonts w:ascii="宋体" w:hAnsi="宋体" w:eastAsia="宋体"/>
                <w:sz w:val="16"/>
              </w:rPr>
              <w:t>20</w:t>
            </w:r>
          </w:p>
        </w:tc>
      </w:tr>
      <w:tr w14:paraId="681129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6486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8EE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8230A">
            <w:pPr>
              <w:jc w:val="center"/>
            </w:pPr>
            <w:r>
              <w:rPr>
                <w:rFonts w:ascii="宋体" w:hAnsi="宋体" w:eastAsia="宋体"/>
                <w:sz w:val="16"/>
              </w:rPr>
              <w:t>职工群众“五小”创新成果申报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ACAC1">
            <w:pPr>
              <w:jc w:val="center"/>
            </w:pPr>
            <w:r>
              <w:rPr>
                <w:rFonts w:ascii="宋体" w:hAnsi="宋体" w:eastAsia="宋体"/>
                <w:sz w:val="16"/>
              </w:rPr>
              <w:t>&gt;=30项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1669F">
            <w:pPr>
              <w:jc w:val="center"/>
            </w:pPr>
            <w:r>
              <w:rPr>
                <w:rFonts w:ascii="宋体" w:hAnsi="宋体" w:eastAsia="宋体"/>
                <w:sz w:val="16"/>
              </w:rPr>
              <w:t>总工会2024年工作计划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BC67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1084A">
            <w:pPr>
              <w:jc w:val="center"/>
            </w:pPr>
            <w:r>
              <w:rPr>
                <w:rFonts w:ascii="宋体" w:hAnsi="宋体" w:eastAsia="宋体"/>
                <w:sz w:val="16"/>
              </w:rPr>
              <w:t>30项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9A931">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C0CCB">
            <w:pPr>
              <w:jc w:val="center"/>
            </w:pPr>
            <w:r>
              <w:rPr>
                <w:rFonts w:ascii="宋体" w:hAnsi="宋体" w:eastAsia="宋体"/>
                <w:sz w:val="16"/>
              </w:rPr>
              <w:t>20</w:t>
            </w:r>
          </w:p>
        </w:tc>
      </w:tr>
      <w:tr w14:paraId="6833B2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99A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B64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EFE38">
            <w:pPr>
              <w:jc w:val="center"/>
            </w:pPr>
            <w:r>
              <w:rPr>
                <w:rFonts w:ascii="宋体" w:hAnsi="宋体" w:eastAsia="宋体"/>
                <w:sz w:val="16"/>
              </w:rPr>
              <w:t>落实2024年援助资金项目与建设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87AA9">
            <w:pPr>
              <w:jc w:val="center"/>
            </w:pPr>
            <w:r>
              <w:rPr>
                <w:rFonts w:ascii="宋体" w:hAnsi="宋体" w:eastAsia="宋体"/>
                <w:sz w:val="16"/>
              </w:rPr>
              <w:t>&gt;=4个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BEDDB">
            <w:pPr>
              <w:jc w:val="center"/>
            </w:pPr>
            <w:r>
              <w:rPr>
                <w:rFonts w:ascii="宋体" w:hAnsi="宋体" w:eastAsia="宋体"/>
                <w:sz w:val="16"/>
              </w:rPr>
              <w:t>总工会2024年工作计划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5C3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15CDD">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EEBE3">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095FC">
            <w:pPr>
              <w:jc w:val="center"/>
            </w:pPr>
            <w:r>
              <w:rPr>
                <w:rFonts w:ascii="宋体" w:hAnsi="宋体" w:eastAsia="宋体"/>
                <w:sz w:val="16"/>
              </w:rPr>
              <w:t>10</w:t>
            </w:r>
          </w:p>
        </w:tc>
      </w:tr>
    </w:tbl>
    <w:p w14:paraId="608542F5">
      <w:r>
        <w:br w:type="page"/>
      </w:r>
    </w:p>
    <w:p w14:paraId="5681807B">
      <w:pPr>
        <w:spacing w:line="640" w:lineRule="exact"/>
        <w:ind w:firstLine="640"/>
        <w:jc w:val="both"/>
        <w:outlineLvl w:val="2"/>
      </w:pPr>
      <w:r>
        <w:rPr>
          <w:rFonts w:ascii="黑体" w:hAnsi="黑体" w:eastAsia="黑体"/>
          <w:sz w:val="32"/>
        </w:rPr>
        <w:t>十二、其他需说明的事项</w:t>
      </w:r>
    </w:p>
    <w:p w14:paraId="6B6D535A">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ADD3090">
      <w:r>
        <w:br w:type="page"/>
      </w:r>
    </w:p>
    <w:p w14:paraId="30B45022">
      <w:pPr>
        <w:spacing w:line="240" w:lineRule="auto"/>
        <w:jc w:val="center"/>
        <w:outlineLvl w:val="1"/>
      </w:pPr>
      <w:r>
        <w:rPr>
          <w:rFonts w:ascii="黑体" w:hAnsi="黑体" w:eastAsia="黑体"/>
          <w:sz w:val="32"/>
        </w:rPr>
        <w:t>第三部分 专业名词解释</w:t>
      </w:r>
    </w:p>
    <w:p w14:paraId="0BBBB32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2A9F2C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1CF4EC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CD0822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5660C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84D857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6C1388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FCCD6E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5FB3B8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7F8C1F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908CCE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247F37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B243E7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8A2494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7B6A20C">
      <w:r>
        <w:br w:type="page"/>
      </w:r>
    </w:p>
    <w:p w14:paraId="11E23BF4">
      <w:pPr>
        <w:spacing w:line="240" w:lineRule="auto"/>
        <w:jc w:val="center"/>
        <w:outlineLvl w:val="1"/>
      </w:pPr>
      <w:r>
        <w:rPr>
          <w:rFonts w:ascii="黑体" w:hAnsi="黑体" w:eastAsia="黑体"/>
          <w:sz w:val="32"/>
        </w:rPr>
        <w:t>第四部分 部门决算报表（见附表）</w:t>
      </w:r>
    </w:p>
    <w:p w14:paraId="107733F2">
      <w:pPr>
        <w:spacing w:line="240" w:lineRule="auto"/>
        <w:ind w:firstLine="640"/>
        <w:jc w:val="both"/>
      </w:pPr>
      <w:r>
        <w:rPr>
          <w:rFonts w:ascii="仿宋_GB2312" w:hAnsi="仿宋_GB2312" w:eastAsia="仿宋_GB2312"/>
          <w:b w:val="0"/>
          <w:sz w:val="32"/>
        </w:rPr>
        <w:t>一、《收入支出决算总表》</w:t>
      </w:r>
    </w:p>
    <w:p w14:paraId="6B839EC7">
      <w:pPr>
        <w:spacing w:line="240" w:lineRule="auto"/>
        <w:ind w:firstLine="640"/>
        <w:jc w:val="both"/>
      </w:pPr>
      <w:r>
        <w:rPr>
          <w:rFonts w:ascii="仿宋_GB2312" w:hAnsi="仿宋_GB2312" w:eastAsia="仿宋_GB2312"/>
          <w:b w:val="0"/>
          <w:sz w:val="32"/>
        </w:rPr>
        <w:t>二、《收入决算表》</w:t>
      </w:r>
    </w:p>
    <w:p w14:paraId="14A0F657">
      <w:pPr>
        <w:spacing w:line="240" w:lineRule="auto"/>
        <w:ind w:firstLine="640"/>
        <w:jc w:val="both"/>
      </w:pPr>
      <w:r>
        <w:rPr>
          <w:rFonts w:ascii="仿宋_GB2312" w:hAnsi="仿宋_GB2312" w:eastAsia="仿宋_GB2312"/>
          <w:b w:val="0"/>
          <w:sz w:val="32"/>
        </w:rPr>
        <w:t>三、《支出决算表》</w:t>
      </w:r>
    </w:p>
    <w:p w14:paraId="56F6ECB7">
      <w:pPr>
        <w:spacing w:line="240" w:lineRule="auto"/>
        <w:ind w:firstLine="640"/>
        <w:jc w:val="both"/>
      </w:pPr>
      <w:r>
        <w:rPr>
          <w:rFonts w:ascii="仿宋_GB2312" w:hAnsi="仿宋_GB2312" w:eastAsia="仿宋_GB2312"/>
          <w:b w:val="0"/>
          <w:sz w:val="32"/>
        </w:rPr>
        <w:t>四、《财政拨款收入支出决算总表》</w:t>
      </w:r>
    </w:p>
    <w:p w14:paraId="5ACDB13A">
      <w:pPr>
        <w:spacing w:line="240" w:lineRule="auto"/>
        <w:ind w:firstLine="640"/>
        <w:jc w:val="both"/>
      </w:pPr>
      <w:r>
        <w:rPr>
          <w:rFonts w:ascii="仿宋_GB2312" w:hAnsi="仿宋_GB2312" w:eastAsia="仿宋_GB2312"/>
          <w:b w:val="0"/>
          <w:sz w:val="32"/>
        </w:rPr>
        <w:t>五、《一般公共预算财政拨款支出决算表》</w:t>
      </w:r>
    </w:p>
    <w:p w14:paraId="74AAD266">
      <w:pPr>
        <w:spacing w:line="240" w:lineRule="auto"/>
        <w:ind w:firstLine="640"/>
        <w:jc w:val="both"/>
      </w:pPr>
      <w:r>
        <w:rPr>
          <w:rFonts w:ascii="仿宋_GB2312" w:hAnsi="仿宋_GB2312" w:eastAsia="仿宋_GB2312"/>
          <w:b w:val="0"/>
          <w:sz w:val="32"/>
        </w:rPr>
        <w:t>六、《一般公共预算财政拨款基本支出决算表》</w:t>
      </w:r>
    </w:p>
    <w:p w14:paraId="3AA0D6FA">
      <w:pPr>
        <w:spacing w:line="240" w:lineRule="auto"/>
        <w:ind w:firstLine="640"/>
        <w:jc w:val="both"/>
      </w:pPr>
      <w:r>
        <w:rPr>
          <w:rFonts w:ascii="仿宋_GB2312" w:hAnsi="仿宋_GB2312" w:eastAsia="仿宋_GB2312"/>
          <w:b w:val="0"/>
          <w:sz w:val="32"/>
        </w:rPr>
        <w:t>七、《政府性基金预算财政拨款收入支出决算表》</w:t>
      </w:r>
    </w:p>
    <w:p w14:paraId="33AC4B20">
      <w:pPr>
        <w:spacing w:line="240" w:lineRule="auto"/>
        <w:ind w:firstLine="640"/>
        <w:jc w:val="both"/>
      </w:pPr>
      <w:r>
        <w:rPr>
          <w:rFonts w:ascii="仿宋_GB2312" w:hAnsi="仿宋_GB2312" w:eastAsia="仿宋_GB2312"/>
          <w:b w:val="0"/>
          <w:sz w:val="32"/>
        </w:rPr>
        <w:t>八、《国有资本经营预算财政拨款收入支出决算表》</w:t>
      </w:r>
    </w:p>
    <w:p w14:paraId="6C0A8B26">
      <w:pPr>
        <w:spacing w:line="240" w:lineRule="auto"/>
        <w:ind w:firstLine="640"/>
        <w:jc w:val="both"/>
      </w:pPr>
      <w:r>
        <w:rPr>
          <w:rFonts w:ascii="仿宋_GB2312" w:hAnsi="仿宋_GB2312" w:eastAsia="仿宋_GB2312"/>
          <w:b w:val="0"/>
          <w:sz w:val="32"/>
        </w:rPr>
        <w:t>九、《财政拨款“三公”经费支出决算表》</w:t>
      </w:r>
    </w:p>
    <w:p w14:paraId="24B3AAD2">
      <w:pPr>
        <w:spacing w:line="240" w:lineRule="auto"/>
        <w:ind w:firstLine="640"/>
        <w:jc w:val="both"/>
      </w:pPr>
    </w:p>
    <w:p w14:paraId="284C94F2">
      <w:pPr>
        <w:spacing w:line="240" w:lineRule="auto"/>
        <w:ind w:firstLine="640"/>
        <w:jc w:val="both"/>
      </w:pPr>
    </w:p>
    <w:p w14:paraId="644699DB">
      <w:pPr>
        <w:spacing w:line="240" w:lineRule="auto"/>
        <w:ind w:firstLine="640"/>
        <w:jc w:val="both"/>
      </w:pPr>
    </w:p>
    <w:p w14:paraId="55FC2C4C">
      <w:pPr>
        <w:spacing w:line="240" w:lineRule="auto"/>
        <w:ind w:firstLine="640"/>
        <w:jc w:val="both"/>
      </w:pPr>
    </w:p>
    <w:p w14:paraId="7FD8E13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651DE9"/>
    <w:rsid w:val="176F50BF"/>
    <w:rsid w:val="19071D6C"/>
    <w:rsid w:val="19B5554D"/>
    <w:rsid w:val="1B025A1F"/>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50709D"/>
    <w:rsid w:val="3B1220C9"/>
    <w:rsid w:val="3CCD40E5"/>
    <w:rsid w:val="3D5275AC"/>
    <w:rsid w:val="3EA7725F"/>
    <w:rsid w:val="3EC014A1"/>
    <w:rsid w:val="40834692"/>
    <w:rsid w:val="423A32B2"/>
    <w:rsid w:val="423C0CB4"/>
    <w:rsid w:val="427B5743"/>
    <w:rsid w:val="42E64542"/>
    <w:rsid w:val="45172E2C"/>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E53CCA"/>
    <w:rsid w:val="65D97752"/>
    <w:rsid w:val="664C500C"/>
    <w:rsid w:val="67D111AB"/>
    <w:rsid w:val="68DB0208"/>
    <w:rsid w:val="68DF36D5"/>
    <w:rsid w:val="69846A0E"/>
    <w:rsid w:val="69AD798C"/>
    <w:rsid w:val="6B68175F"/>
    <w:rsid w:val="6B8B5C99"/>
    <w:rsid w:val="6C541FE5"/>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8924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4311</Words>
  <Characters>4934</Characters>
  <Lines>0</Lines>
  <Paragraphs>0</Paragraphs>
  <TotalTime>5</TotalTime>
  <ScaleCrop>false</ScaleCrop>
  <LinksUpToDate>false</LinksUpToDate>
  <CharactersWithSpaces>4942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