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FF56701">
      <w:pPr>
        <w:spacing w:line="570" w:lineRule="exact"/>
        <w:jc w:val="center"/>
        <w:rPr>
          <w:rFonts w:ascii="华文中宋" w:hAnsi="华文中宋" w:eastAsia="华文中宋" w:cs="宋体"/>
          <w:b/>
          <w:kern w:val="0"/>
          <w:sz w:val="52"/>
          <w:szCs w:val="52"/>
        </w:rPr>
      </w:pPr>
    </w:p>
    <w:p w14:paraId="6F1FEB3D">
      <w:pPr>
        <w:spacing w:line="570" w:lineRule="exact"/>
        <w:jc w:val="center"/>
        <w:rPr>
          <w:rFonts w:ascii="华文中宋" w:hAnsi="华文中宋" w:eastAsia="华文中宋" w:cs="宋体"/>
          <w:b/>
          <w:kern w:val="0"/>
          <w:sz w:val="52"/>
          <w:szCs w:val="52"/>
        </w:rPr>
      </w:pPr>
    </w:p>
    <w:p w14:paraId="425A374A">
      <w:pPr>
        <w:spacing w:line="570" w:lineRule="exact"/>
        <w:jc w:val="center"/>
        <w:rPr>
          <w:rFonts w:ascii="华文中宋" w:hAnsi="华文中宋" w:eastAsia="华文中宋" w:cs="宋体"/>
          <w:b/>
          <w:kern w:val="0"/>
          <w:sz w:val="52"/>
          <w:szCs w:val="52"/>
        </w:rPr>
      </w:pPr>
      <w:bookmarkStart w:id="0" w:name="_GoBack"/>
      <w:bookmarkEnd w:id="0"/>
    </w:p>
    <w:p w14:paraId="2610AED4">
      <w:pPr>
        <w:spacing w:line="570" w:lineRule="exact"/>
        <w:jc w:val="center"/>
        <w:rPr>
          <w:rFonts w:ascii="华文中宋" w:hAnsi="华文中宋" w:eastAsia="华文中宋" w:cs="宋体"/>
          <w:b/>
          <w:kern w:val="0"/>
          <w:sz w:val="52"/>
          <w:szCs w:val="52"/>
        </w:rPr>
      </w:pPr>
    </w:p>
    <w:p w14:paraId="1DC4E572">
      <w:pPr>
        <w:spacing w:line="570" w:lineRule="exact"/>
        <w:jc w:val="both"/>
        <w:rPr>
          <w:rFonts w:ascii="华文中宋" w:hAnsi="华文中宋" w:eastAsia="华文中宋" w:cs="宋体"/>
          <w:b/>
          <w:kern w:val="0"/>
          <w:sz w:val="52"/>
          <w:szCs w:val="52"/>
        </w:rPr>
      </w:pPr>
    </w:p>
    <w:p w14:paraId="758A00DF">
      <w:pPr>
        <w:spacing w:line="570" w:lineRule="exact"/>
        <w:jc w:val="center"/>
        <w:rPr>
          <w:rFonts w:ascii="华文中宋" w:hAnsi="华文中宋" w:eastAsia="华文中宋" w:cs="宋体"/>
          <w:b/>
          <w:kern w:val="0"/>
          <w:sz w:val="52"/>
          <w:szCs w:val="52"/>
        </w:rPr>
      </w:pPr>
    </w:p>
    <w:p w14:paraId="14EF3DA8">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部门单位项目支出绩效评价报告</w:t>
      </w:r>
    </w:p>
    <w:p w14:paraId="40D6734D">
      <w:pPr>
        <w:spacing w:line="570" w:lineRule="exact"/>
        <w:jc w:val="center"/>
        <w:rPr>
          <w:rFonts w:ascii="华文中宋" w:hAnsi="华文中宋" w:eastAsia="华文中宋" w:cs="宋体"/>
          <w:b/>
          <w:kern w:val="0"/>
          <w:sz w:val="52"/>
          <w:szCs w:val="52"/>
        </w:rPr>
      </w:pPr>
    </w:p>
    <w:p w14:paraId="2CFDFD04">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仿宋_GB2312" w:hAnsi="楷体" w:eastAsia="仿宋_GB2312"/>
          <w:spacing w:val="-4"/>
          <w:sz w:val="32"/>
          <w:szCs w:val="32"/>
        </w:rPr>
        <w:t>2024</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14:paraId="67057290">
      <w:pPr>
        <w:spacing w:line="570" w:lineRule="exact"/>
        <w:jc w:val="center"/>
        <w:rPr>
          <w:rFonts w:hAnsi="宋体" w:eastAsia="仿宋_GB2312" w:cs="宋体"/>
          <w:kern w:val="0"/>
          <w:sz w:val="30"/>
          <w:szCs w:val="30"/>
        </w:rPr>
      </w:pPr>
    </w:p>
    <w:p w14:paraId="29AE327F">
      <w:pPr>
        <w:spacing w:line="570" w:lineRule="exact"/>
        <w:jc w:val="center"/>
        <w:rPr>
          <w:rFonts w:hAnsi="宋体" w:eastAsia="仿宋_GB2312" w:cs="宋体"/>
          <w:kern w:val="0"/>
          <w:sz w:val="30"/>
          <w:szCs w:val="30"/>
        </w:rPr>
      </w:pPr>
    </w:p>
    <w:p w14:paraId="350C7220">
      <w:pPr>
        <w:spacing w:line="570" w:lineRule="exact"/>
        <w:jc w:val="center"/>
        <w:rPr>
          <w:rFonts w:hAnsi="宋体" w:eastAsia="仿宋_GB2312" w:cs="宋体"/>
          <w:kern w:val="0"/>
          <w:sz w:val="30"/>
          <w:szCs w:val="30"/>
        </w:rPr>
      </w:pPr>
    </w:p>
    <w:p w14:paraId="3B660B95">
      <w:pPr>
        <w:spacing w:line="570" w:lineRule="exact"/>
        <w:jc w:val="center"/>
        <w:rPr>
          <w:rFonts w:hAnsi="宋体" w:eastAsia="仿宋_GB2312" w:cs="宋体"/>
          <w:kern w:val="0"/>
          <w:sz w:val="30"/>
          <w:szCs w:val="30"/>
        </w:rPr>
      </w:pPr>
    </w:p>
    <w:p w14:paraId="40759DD7">
      <w:pPr>
        <w:spacing w:line="570" w:lineRule="exact"/>
        <w:jc w:val="center"/>
        <w:rPr>
          <w:rFonts w:hAnsi="宋体" w:eastAsia="仿宋_GB2312" w:cs="宋体"/>
          <w:kern w:val="0"/>
          <w:sz w:val="30"/>
          <w:szCs w:val="30"/>
        </w:rPr>
      </w:pPr>
    </w:p>
    <w:p w14:paraId="35BCFE8C">
      <w:pPr>
        <w:spacing w:line="570" w:lineRule="exact"/>
        <w:jc w:val="center"/>
        <w:rPr>
          <w:rFonts w:hAnsi="宋体" w:eastAsia="仿宋_GB2312" w:cs="宋体"/>
          <w:kern w:val="0"/>
          <w:sz w:val="30"/>
          <w:szCs w:val="30"/>
        </w:rPr>
      </w:pPr>
    </w:p>
    <w:p w14:paraId="3915C28C">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8"/>
          <w:rFonts w:hint="eastAsia" w:ascii="仿宋" w:hAnsi="仿宋" w:eastAsia="仿宋" w:cs="仿宋"/>
          <w:b w:val="0"/>
          <w:bCs w:val="0"/>
          <w:spacing w:val="-4"/>
          <w:sz w:val="32"/>
          <w:szCs w:val="32"/>
        </w:rPr>
        <w:t>驻村工作队2024年为民办实事工作经费</w:t>
      </w:r>
    </w:p>
    <w:p w14:paraId="204EFEA6">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8"/>
          <w:rFonts w:hint="eastAsia" w:ascii="仿宋" w:hAnsi="仿宋" w:eastAsia="仿宋" w:cs="仿宋"/>
          <w:b w:val="0"/>
          <w:bCs w:val="0"/>
          <w:spacing w:val="-4"/>
          <w:sz w:val="32"/>
          <w:szCs w:val="32"/>
        </w:rPr>
        <w:t>塔什库尔干塔吉克自治县司法局</w:t>
      </w:r>
    </w:p>
    <w:p w14:paraId="1CD27F24">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8"/>
          <w:rFonts w:hint="eastAsia" w:ascii="仿宋" w:hAnsi="仿宋" w:eastAsia="仿宋" w:cs="仿宋"/>
          <w:b w:val="0"/>
          <w:bCs w:val="0"/>
          <w:spacing w:val="-4"/>
          <w:sz w:val="32"/>
          <w:szCs w:val="32"/>
        </w:rPr>
        <w:t>塔什库尔干塔吉克自治县人民政府</w:t>
      </w:r>
    </w:p>
    <w:p w14:paraId="72CD64E0">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8"/>
          <w:rFonts w:hint="eastAsia" w:ascii="仿宋" w:hAnsi="仿宋" w:eastAsia="仿宋" w:cs="仿宋"/>
          <w:b w:val="0"/>
          <w:bCs w:val="0"/>
          <w:spacing w:val="-4"/>
          <w:sz w:val="32"/>
          <w:szCs w:val="32"/>
        </w:rPr>
        <w:t>李向国</w:t>
      </w:r>
    </w:p>
    <w:p w14:paraId="7B466738">
      <w:pPr>
        <w:spacing w:line="540" w:lineRule="exact"/>
        <w:ind w:firstLine="360" w:firstLineChars="100"/>
        <w:rPr>
          <w:rStyle w:val="18"/>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8"/>
          <w:rFonts w:hint="eastAsia" w:ascii="仿宋" w:hAnsi="仿宋" w:eastAsia="仿宋" w:cs="仿宋"/>
          <w:b w:val="0"/>
          <w:bCs w:val="0"/>
          <w:spacing w:val="-4"/>
          <w:sz w:val="32"/>
          <w:szCs w:val="32"/>
        </w:rPr>
        <w:t>2025年03月03日</w:t>
      </w:r>
    </w:p>
    <w:p w14:paraId="1C9BFC4C">
      <w:pPr>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br w:type="page"/>
      </w:r>
    </w:p>
    <w:p w14:paraId="15B0F864">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一、基本情况</w:t>
      </w:r>
    </w:p>
    <w:p w14:paraId="6A202A8F">
      <w:pPr>
        <w:spacing w:line="570" w:lineRule="exact"/>
        <w:ind w:firstLine="627" w:firstLineChars="200"/>
        <w:rPr>
          <w:rStyle w:val="18"/>
          <w:rFonts w:ascii="方正楷体_GBK" w:hAnsi="方正楷体_GBK" w:eastAsia="方正楷体_GBK" w:cs="方正楷体_GBK"/>
          <w:bCs w:val="0"/>
          <w:spacing w:val="-4"/>
          <w:sz w:val="32"/>
          <w:szCs w:val="32"/>
        </w:rPr>
      </w:pPr>
      <w:r>
        <w:rPr>
          <w:rStyle w:val="18"/>
          <w:rFonts w:hint="eastAsia" w:ascii="楷体" w:hAnsi="楷体" w:eastAsia="楷体" w:cs="楷体"/>
          <w:bCs w:val="0"/>
          <w:spacing w:val="-4"/>
          <w:sz w:val="32"/>
          <w:szCs w:val="32"/>
        </w:rPr>
        <w:t>（一）项目概况。包括项目背景、主要内容及实施情况、资金投入和使用情况等。</w:t>
      </w:r>
    </w:p>
    <w:p w14:paraId="67DA84CC">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项目背景</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遵循财政部《项目支出绩效评价管理办法》（财预〔2020〕10号）和自治区财政厅《自治区财政支出绩效评价管理暂行办法》（新财预〔2018〕189号）等相关政策文件与规定，旨在评价驻村工作队2024年为民办实事工作经费项目实施前期、过程及效果，评价财政预算资金使用的效率及效益。通过该项目的实施，有效提高驻村干部的工作积极性，使得他们扎扎实实为群众办事，更好的服务于乡村振兴工作，提升大同乡阿依克日克村群众的幸福感、获得感。</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 主要内容及实施情况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本项目建设主要服务于大同乡阿依克日克村群众生产、生活的发展。用于对“四季村晚”表现优秀人员进行奖励购买奖品、为赞达尕力灌溉饮水管道维修、推进基层治理在积分超市购买群众物品、为赞达尕力修复吊桥、为村委会、工作队购买日常办公用品及其他日常用品、清理辖区道路多段泥石流区域租赁装载机械等各项工作。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3.项目实施主体</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塔什库尔干塔吉克自治县司法局为行政单位，纳入2024年部门决算编制范围的有5个办公室：基层办、依法治县办公室、社区矫正科、公共法律法务办公室、政工办。</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编制人数26人，其中：行政人员编制23人、工勤1人、事业编制2人。实有在职人数27人，其中：行政在职23人、工勤2人、参公0人、事业在职2人。退休人员18人，其中：行政退休人员18人。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 资金投入和使用情况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根据自治区财政专项经费（喀地财预【2024】6号）文件安排下达资金7万元，共安排下达自治区资金7万元，最终确定项目资金总数为7万元。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截至2024年12月31日，实际支出7万元，预算执行率100%。</w:t>
      </w:r>
    </w:p>
    <w:p w14:paraId="6EC011E3">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（二）项目绩效目标。包括总体目标和阶段性目标。</w:t>
      </w:r>
    </w:p>
    <w:p w14:paraId="23601B0F">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1.项目绩效总目标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该项目计划投入资金7万元。用于 “四季村晚”表现优秀人员进行奖励购买奖品5次；赞达尕力灌溉饮水管道维修360米；推进基层治理在积分超市购买群众物品5次；赞达尕力修复吊桥1个；村委会、工作队购买日常办公用品及其他日常用品5次；清理辖区道路多段泥石流区域租赁装载机械等各项工作1次。通过该项目的实施，有效提高驻村干部的工作积极性，使得他们扎扎实实为群众办事，更好的服务于乡村振兴工作，提升大同乡阿依克日克村群众的幸福感、获得感。</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2.阶段性目标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实施的前期准备工作：塔什库尔干塔吉克自治县司法局作为项目的实施单位，第一时间与相关主管部门单位沟通，制定项目实施方案，项目绩效目标表等，根据县人大工作年初目标，明确分工职责，并设定绩效监控实施计划。</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具体实施工作：（1）动态调整县级财力保障水平。根据相关政策和因素变化，动态调整县级财力保障范围和标准。（2）强化管理，推动建立现代财政制度。引导各单位改进预算管理，合理安排预算，优化支出结构，按照规定范围和标准全面落实保障责任，切实履行基层政府职能。同时，依法实施收入征管，清理财税优惠政策，提高财政收入质量，提高自我保障能力。（3）加强资金监管。根据县级基本财力保障范围和保障标准，测算各单位保障需求和缺口额。</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验收阶段的具体工作：验收阶段的具体工作：整理资料并存档。项目实施结束后，按档案管理相关规定整理项目相关资料，包括项目工作总结、相关凭证、项目实施过程资料等，并按照规定进行存档备查。同时，对于存在的问题和不足，及时总结经验教训，为后续工作提供参考。</w:t>
      </w:r>
    </w:p>
    <w:p w14:paraId="4EC11C5F">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二、绩效评价工作开展情况</w:t>
      </w:r>
    </w:p>
    <w:p w14:paraId="6657F8F4">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（一）绩效评价目的、对象</w:t>
      </w:r>
      <w:r>
        <w:rPr>
          <w:rStyle w:val="18"/>
          <w:rFonts w:hint="eastAsia" w:ascii="楷体" w:hAnsi="楷体" w:eastAsia="楷体" w:cs="楷体"/>
          <w:bCs w:val="0"/>
          <w:spacing w:val="-4"/>
          <w:sz w:val="32"/>
          <w:szCs w:val="32"/>
          <w:lang w:eastAsia="zh-CN"/>
        </w:rPr>
        <w:t>、时间和</w:t>
      </w:r>
      <w:r>
        <w:rPr>
          <w:rStyle w:val="18"/>
          <w:rFonts w:hint="eastAsia" w:ascii="楷体" w:hAnsi="楷体" w:eastAsia="楷体" w:cs="楷体"/>
          <w:bCs w:val="0"/>
          <w:spacing w:val="-4"/>
          <w:sz w:val="32"/>
          <w:szCs w:val="32"/>
        </w:rPr>
        <w:t>范围。</w:t>
      </w:r>
    </w:p>
    <w:p w14:paraId="054979C8">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绩效评价目的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本次绩效评价遵循财政部《项目支出绩效评价管理办法》（财预〔2020〕10号）、《关于印发〈中央部门项目支出核心绩效目标和指标设置及取值指引（试行）〉的通知》（财预〔2021〕101号）</w:t>
      </w:r>
      <w:r>
        <w:rPr>
          <w:rStyle w:val="18"/>
          <w:rFonts w:hint="eastAsia" w:ascii="仿宋" w:hAnsi="仿宋" w:eastAsia="仿宋" w:cs="仿宋"/>
          <w:b w:val="0"/>
          <w:bCs w:val="0"/>
          <w:spacing w:val="-4"/>
          <w:sz w:val="32"/>
          <w:szCs w:val="32"/>
          <w:lang w:eastAsia="zh-CN"/>
        </w:rPr>
        <w:t>以及</w:t>
      </w:r>
      <w:r>
        <w:rPr>
          <w:rStyle w:val="18"/>
          <w:rFonts w:hint="eastAsia" w:ascii="仿宋" w:hAnsi="仿宋" w:eastAsia="仿宋" w:cs="仿宋"/>
          <w:b w:val="0"/>
          <w:bCs w:val="0"/>
          <w:spacing w:val="-4"/>
          <w:sz w:val="32"/>
          <w:szCs w:val="32"/>
        </w:rPr>
        <w:t>自治区财政厅《关于印发〈自治区项目支出绩效目标设置指引〉的通知》（新财预〔2022〕42号）、《自治区财政支出绩效评价管理暂行办法》（新财预〔2018〕189号）等相关政策文件与规定，旨在评价财政项目实施前期、过程及效果，评价财政预算资金使用的效率及效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通过此次绩效评价，发现预算资金在项目立项、执行管理中制度保障、实际操作方面的缺陷和薄弱环节，总结项目管理经验，完善项目管理办法，提高项目管理水平和资金使用效益。同时可根据绩效评价中发现的问题，调整工作计划，完善绩效目标，加强项目管理，提高管理水平，为下一年预算编制与评审提供充分有效的依据，以达到改进预算管理、优化资源配置、提高预算资金使用效益的目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 绩效评价对象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绩效评价遵循财政部《项目支出绩效评价管理办法》（财预〔2020〕10号）和《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 绩效评价范围</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本次评价范围涵盖项目总体绩效目标、各项绩效指标完成情况以及预算执行情况。覆盖项目预算资金支出的所有内容进行评价。包括项目决策、项目实施和项目成果验收流程等。</w:t>
      </w:r>
    </w:p>
    <w:p w14:paraId="7D279805">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（二）绩效评价原则、评价指标体系（附表说明）、评价方法、评价标准等。</w:t>
      </w:r>
    </w:p>
    <w:p w14:paraId="50549881">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（二）绩效评价原则、评价指标体系、评价方法评价标准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 绩效评价原则</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本次绩效评价遵循的原则包括：</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（1）科学公正。绩效评价应当运用科学合理的方法，按照规范的程序，对项目绩效进行客观、公正的反映。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（3）激励约束。绩效评价结果应与预算安排、政策调整、改进管理实质性挂钩，体现奖优罚劣和激励相容导向，有效要安排、低效要压减、无效要问责。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（4）公开透明。绩效评价结果应依法依规公开，并自觉接受社会监督。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 绩效评价指标体系</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绩效评价体系根据《关于印发〈项目支出绩效评价管理办法〉的通知》（财预﹝2020﹞10号）文件中共性指标及个性化指标设置，主要分为共性指标和个性指标两大类。共性指标下设决策与过程2个一级指标，其中：项目决策下设项目立项、绩效目标、资金投入3个二级指标；过程下设资金管理和组织实施2个二级指标。个性指标下设产出和效益2个一级指标，其中：产出下设产出数量、产出质量、产出时效、产出成本4个二级指标，效益下设项目效益及满意度2个二级指标。项目绩效评价体系详见附件1。</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                          驻村工作队2024年为民办实事工作经费项目综合评分表</w:t>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一级指标</w:t>
      </w:r>
      <w:r>
        <w:rPr>
          <w:rStyle w:val="18"/>
          <w:rFonts w:hint="eastAsia" w:ascii="仿宋" w:hAnsi="仿宋" w:eastAsia="仿宋" w:cs="仿宋"/>
          <w:b w:val="0"/>
          <w:bCs w:val="0"/>
          <w:spacing w:val="-4"/>
          <w:sz w:val="32"/>
          <w:szCs w:val="32"/>
        </w:rPr>
        <w:tab/>
        <w:t xml:space="preserve">                  二级指标</w:t>
      </w:r>
      <w:r>
        <w:rPr>
          <w:rStyle w:val="18"/>
          <w:rFonts w:hint="eastAsia" w:ascii="仿宋" w:hAnsi="仿宋" w:eastAsia="仿宋" w:cs="仿宋"/>
          <w:b w:val="0"/>
          <w:bCs w:val="0"/>
          <w:spacing w:val="-4"/>
          <w:sz w:val="32"/>
          <w:szCs w:val="32"/>
        </w:rPr>
        <w:tab/>
        <w:t xml:space="preserve">                      三级指标</w:t>
      </w:r>
      <w:r>
        <w:rPr>
          <w:rStyle w:val="18"/>
          <w:rFonts w:hint="eastAsia" w:ascii="仿宋" w:hAnsi="仿宋" w:eastAsia="仿宋" w:cs="仿宋"/>
          <w:b w:val="0"/>
          <w:bCs w:val="0"/>
          <w:spacing w:val="-4"/>
          <w:sz w:val="32"/>
          <w:szCs w:val="32"/>
        </w:rPr>
        <w:tab/>
        <w:t xml:space="preserve">                          得分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决策（15分）</w:t>
      </w:r>
      <w:r>
        <w:rPr>
          <w:rStyle w:val="18"/>
          <w:rFonts w:hint="eastAsia" w:ascii="仿宋" w:hAnsi="仿宋" w:eastAsia="仿宋" w:cs="仿宋"/>
          <w:b w:val="0"/>
          <w:bCs w:val="0"/>
          <w:spacing w:val="-4"/>
          <w:sz w:val="32"/>
          <w:szCs w:val="32"/>
        </w:rPr>
        <w:tab/>
        <w:t xml:space="preserve">                  项目立项（5分）</w:t>
      </w:r>
      <w:r>
        <w:rPr>
          <w:rStyle w:val="18"/>
          <w:rFonts w:hint="eastAsia" w:ascii="仿宋" w:hAnsi="仿宋" w:eastAsia="仿宋" w:cs="仿宋"/>
          <w:b w:val="0"/>
          <w:bCs w:val="0"/>
          <w:spacing w:val="-4"/>
          <w:sz w:val="32"/>
          <w:szCs w:val="32"/>
        </w:rPr>
        <w:tab/>
        <w:t xml:space="preserve">              立项依据充分性（3分）                 3</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                                                                      立项程序（2分）</w:t>
      </w:r>
      <w:r>
        <w:rPr>
          <w:rStyle w:val="18"/>
          <w:rFonts w:hint="eastAsia" w:ascii="仿宋" w:hAnsi="仿宋" w:eastAsia="仿宋" w:cs="仿宋"/>
          <w:b w:val="0"/>
          <w:bCs w:val="0"/>
          <w:spacing w:val="-4"/>
          <w:sz w:val="32"/>
          <w:szCs w:val="32"/>
        </w:rPr>
        <w:tab/>
        <w:t xml:space="preserve">                    2</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ab/>
        <w:t xml:space="preserve">                          绩效目标（5分）</w:t>
      </w:r>
      <w:r>
        <w:rPr>
          <w:rStyle w:val="18"/>
          <w:rFonts w:hint="eastAsia" w:ascii="仿宋" w:hAnsi="仿宋" w:eastAsia="仿宋" w:cs="仿宋"/>
          <w:b w:val="0"/>
          <w:bCs w:val="0"/>
          <w:spacing w:val="-4"/>
          <w:sz w:val="32"/>
          <w:szCs w:val="32"/>
        </w:rPr>
        <w:tab/>
        <w:t xml:space="preserve">              绩效目标合理性（3分）                 3</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tab/>
        <w:t xml:space="preserve">                                                      绩效指标明确性（2分）</w:t>
      </w:r>
      <w:r>
        <w:rPr>
          <w:rStyle w:val="18"/>
          <w:rFonts w:hint="eastAsia" w:ascii="仿宋" w:hAnsi="仿宋" w:eastAsia="仿宋" w:cs="仿宋"/>
          <w:b w:val="0"/>
          <w:bCs w:val="0"/>
          <w:spacing w:val="-4"/>
          <w:sz w:val="32"/>
          <w:szCs w:val="32"/>
        </w:rPr>
        <w:tab/>
        <w:t xml:space="preserve">            2</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ab/>
        <w:t xml:space="preserve">                          资金投入（5分）</w:t>
      </w:r>
      <w:r>
        <w:rPr>
          <w:rStyle w:val="18"/>
          <w:rFonts w:hint="eastAsia" w:ascii="仿宋" w:hAnsi="仿宋" w:eastAsia="仿宋" w:cs="仿宋"/>
          <w:b w:val="0"/>
          <w:bCs w:val="0"/>
          <w:spacing w:val="-4"/>
          <w:sz w:val="32"/>
          <w:szCs w:val="32"/>
        </w:rPr>
        <w:tab/>
        <w:t xml:space="preserve">              预算编制（3分）</w:t>
      </w:r>
      <w:r>
        <w:rPr>
          <w:rStyle w:val="18"/>
          <w:rFonts w:hint="eastAsia" w:ascii="仿宋" w:hAnsi="仿宋" w:eastAsia="仿宋" w:cs="仿宋"/>
          <w:b w:val="0"/>
          <w:bCs w:val="0"/>
          <w:spacing w:val="-4"/>
          <w:sz w:val="32"/>
          <w:szCs w:val="32"/>
        </w:rPr>
        <w:tab/>
        <w:t xml:space="preserve">                    3</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tab/>
        <w:t xml:space="preserve">                                                      资金分配合理性（2分）</w:t>
      </w:r>
      <w:r>
        <w:rPr>
          <w:rStyle w:val="18"/>
          <w:rFonts w:hint="eastAsia" w:ascii="仿宋" w:hAnsi="仿宋" w:eastAsia="仿宋" w:cs="仿宋"/>
          <w:b w:val="0"/>
          <w:bCs w:val="0"/>
          <w:spacing w:val="-4"/>
          <w:sz w:val="32"/>
          <w:szCs w:val="32"/>
        </w:rPr>
        <w:tab/>
        <w:t xml:space="preserve">            2</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过程（20分）</w:t>
      </w:r>
      <w:r>
        <w:rPr>
          <w:rStyle w:val="18"/>
          <w:rFonts w:hint="eastAsia" w:ascii="仿宋" w:hAnsi="仿宋" w:eastAsia="仿宋" w:cs="仿宋"/>
          <w:b w:val="0"/>
          <w:bCs w:val="0"/>
          <w:spacing w:val="-4"/>
          <w:sz w:val="32"/>
          <w:szCs w:val="32"/>
        </w:rPr>
        <w:tab/>
        <w:t xml:space="preserve">                  资金管理（10分）</w:t>
      </w:r>
      <w:r>
        <w:rPr>
          <w:rStyle w:val="18"/>
          <w:rFonts w:hint="eastAsia" w:ascii="仿宋" w:hAnsi="仿宋" w:eastAsia="仿宋" w:cs="仿宋"/>
          <w:b w:val="0"/>
          <w:bCs w:val="0"/>
          <w:spacing w:val="-4"/>
          <w:sz w:val="32"/>
          <w:szCs w:val="32"/>
        </w:rPr>
        <w:tab/>
        <w:t xml:space="preserve">              资金到位率（3分）</w:t>
      </w:r>
      <w:r>
        <w:rPr>
          <w:rStyle w:val="18"/>
          <w:rFonts w:hint="eastAsia" w:ascii="仿宋" w:hAnsi="仿宋" w:eastAsia="仿宋" w:cs="仿宋"/>
          <w:b w:val="0"/>
          <w:bCs w:val="0"/>
          <w:spacing w:val="-4"/>
          <w:sz w:val="32"/>
          <w:szCs w:val="32"/>
        </w:rPr>
        <w:tab/>
        <w:t xml:space="preserve">                    3</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tab/>
        <w:t xml:space="preserve">                                                      预算执行率（3分）</w:t>
      </w:r>
      <w:r>
        <w:rPr>
          <w:rStyle w:val="18"/>
          <w:rFonts w:hint="eastAsia" w:ascii="仿宋" w:hAnsi="仿宋" w:eastAsia="仿宋" w:cs="仿宋"/>
          <w:b w:val="0"/>
          <w:bCs w:val="0"/>
          <w:spacing w:val="-4"/>
          <w:sz w:val="32"/>
          <w:szCs w:val="32"/>
        </w:rPr>
        <w:tab/>
        <w:t xml:space="preserve">                    3</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tab/>
        <w:t xml:space="preserve">                                                      资金使用合规性（4分）</w:t>
      </w:r>
      <w:r>
        <w:rPr>
          <w:rStyle w:val="18"/>
          <w:rFonts w:hint="eastAsia" w:ascii="仿宋" w:hAnsi="仿宋" w:eastAsia="仿宋" w:cs="仿宋"/>
          <w:b w:val="0"/>
          <w:bCs w:val="0"/>
          <w:spacing w:val="-4"/>
          <w:sz w:val="32"/>
          <w:szCs w:val="32"/>
        </w:rPr>
        <w:tab/>
        <w:t xml:space="preserve">            4</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ab/>
        <w:t xml:space="preserve">                          组织实施（10分）</w:t>
      </w:r>
      <w:r>
        <w:rPr>
          <w:rStyle w:val="18"/>
          <w:rFonts w:hint="eastAsia" w:ascii="仿宋" w:hAnsi="仿宋" w:eastAsia="仿宋" w:cs="仿宋"/>
          <w:b w:val="0"/>
          <w:bCs w:val="0"/>
          <w:spacing w:val="-4"/>
          <w:sz w:val="32"/>
          <w:szCs w:val="32"/>
        </w:rPr>
        <w:tab/>
        <w:t xml:space="preserve">              管理制度健全性（5分）</w:t>
      </w:r>
      <w:r>
        <w:rPr>
          <w:rStyle w:val="18"/>
          <w:rFonts w:hint="eastAsia" w:ascii="仿宋" w:hAnsi="仿宋" w:eastAsia="仿宋" w:cs="仿宋"/>
          <w:b w:val="0"/>
          <w:bCs w:val="0"/>
          <w:spacing w:val="-4"/>
          <w:sz w:val="32"/>
          <w:szCs w:val="32"/>
        </w:rPr>
        <w:tab/>
        <w:t xml:space="preserve">            5</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tab/>
        <w:t xml:space="preserve">                                                      制度执行（5分）</w:t>
      </w:r>
      <w:r>
        <w:rPr>
          <w:rStyle w:val="18"/>
          <w:rFonts w:hint="eastAsia" w:ascii="仿宋" w:hAnsi="仿宋" w:eastAsia="仿宋" w:cs="仿宋"/>
          <w:b w:val="0"/>
          <w:bCs w:val="0"/>
          <w:spacing w:val="-4"/>
          <w:sz w:val="32"/>
          <w:szCs w:val="32"/>
        </w:rPr>
        <w:tab/>
        <w:t xml:space="preserve">                    5</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产出（45分）</w:t>
      </w:r>
      <w:r>
        <w:rPr>
          <w:rStyle w:val="18"/>
          <w:rFonts w:hint="eastAsia" w:ascii="仿宋" w:hAnsi="仿宋" w:eastAsia="仿宋" w:cs="仿宋"/>
          <w:b w:val="0"/>
          <w:bCs w:val="0"/>
          <w:spacing w:val="-4"/>
          <w:sz w:val="32"/>
          <w:szCs w:val="32"/>
        </w:rPr>
        <w:tab/>
        <w:t xml:space="preserve">                  产出数量（10分）</w:t>
      </w:r>
      <w:r>
        <w:rPr>
          <w:rStyle w:val="18"/>
          <w:rFonts w:hint="eastAsia" w:ascii="仿宋" w:hAnsi="仿宋" w:eastAsia="仿宋" w:cs="仿宋"/>
          <w:b w:val="0"/>
          <w:bCs w:val="0"/>
          <w:spacing w:val="-4"/>
          <w:sz w:val="32"/>
          <w:szCs w:val="32"/>
        </w:rPr>
        <w:tab/>
        <w:t xml:space="preserve">              实际完成率（10分）</w:t>
      </w:r>
      <w:r>
        <w:rPr>
          <w:rStyle w:val="18"/>
          <w:rFonts w:hint="eastAsia" w:ascii="仿宋" w:hAnsi="仿宋" w:eastAsia="仿宋" w:cs="仿宋"/>
          <w:b w:val="0"/>
          <w:bCs w:val="0"/>
          <w:spacing w:val="-4"/>
          <w:sz w:val="32"/>
          <w:szCs w:val="32"/>
        </w:rPr>
        <w:tab/>
        <w:t xml:space="preserve">            10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ab/>
        <w:t xml:space="preserve">                          产出质量（10分）</w:t>
      </w:r>
      <w:r>
        <w:rPr>
          <w:rStyle w:val="18"/>
          <w:rFonts w:hint="eastAsia" w:ascii="仿宋" w:hAnsi="仿宋" w:eastAsia="仿宋" w:cs="仿宋"/>
          <w:b w:val="0"/>
          <w:bCs w:val="0"/>
          <w:spacing w:val="-4"/>
          <w:sz w:val="32"/>
          <w:szCs w:val="32"/>
        </w:rPr>
        <w:tab/>
        <w:t xml:space="preserve">              质量达标率（10分）</w:t>
      </w:r>
      <w:r>
        <w:rPr>
          <w:rStyle w:val="18"/>
          <w:rFonts w:hint="eastAsia" w:ascii="仿宋" w:hAnsi="仿宋" w:eastAsia="仿宋" w:cs="仿宋"/>
          <w:b w:val="0"/>
          <w:bCs w:val="0"/>
          <w:spacing w:val="-4"/>
          <w:sz w:val="32"/>
          <w:szCs w:val="32"/>
        </w:rPr>
        <w:tab/>
        <w:t xml:space="preserve">            10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ab/>
        <w:t xml:space="preserve">                          产出时效（10分）</w:t>
      </w:r>
      <w:r>
        <w:rPr>
          <w:rStyle w:val="18"/>
          <w:rFonts w:hint="eastAsia" w:ascii="仿宋" w:hAnsi="仿宋" w:eastAsia="仿宋" w:cs="仿宋"/>
          <w:b w:val="0"/>
          <w:bCs w:val="0"/>
          <w:spacing w:val="-4"/>
          <w:sz w:val="32"/>
          <w:szCs w:val="32"/>
        </w:rPr>
        <w:tab/>
        <w:t xml:space="preserve">              完成及时性（10分）</w:t>
      </w:r>
      <w:r>
        <w:rPr>
          <w:rStyle w:val="18"/>
          <w:rFonts w:hint="eastAsia" w:ascii="仿宋" w:hAnsi="仿宋" w:eastAsia="仿宋" w:cs="仿宋"/>
          <w:b w:val="0"/>
          <w:bCs w:val="0"/>
          <w:spacing w:val="-4"/>
          <w:sz w:val="32"/>
          <w:szCs w:val="32"/>
        </w:rPr>
        <w:tab/>
        <w:t xml:space="preserve">            10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ab/>
        <w:t xml:space="preserve">                          产出成本（15分）</w:t>
      </w:r>
      <w:r>
        <w:rPr>
          <w:rStyle w:val="18"/>
          <w:rFonts w:hint="eastAsia" w:ascii="仿宋" w:hAnsi="仿宋" w:eastAsia="仿宋" w:cs="仿宋"/>
          <w:b w:val="0"/>
          <w:bCs w:val="0"/>
          <w:spacing w:val="-4"/>
          <w:sz w:val="32"/>
          <w:szCs w:val="32"/>
        </w:rPr>
        <w:tab/>
        <w:t xml:space="preserve">              成本节约率（15分）</w:t>
      </w:r>
      <w:r>
        <w:rPr>
          <w:rStyle w:val="18"/>
          <w:rFonts w:hint="eastAsia" w:ascii="仿宋" w:hAnsi="仿宋" w:eastAsia="仿宋" w:cs="仿宋"/>
          <w:b w:val="0"/>
          <w:bCs w:val="0"/>
          <w:spacing w:val="-4"/>
          <w:sz w:val="32"/>
          <w:szCs w:val="32"/>
        </w:rPr>
        <w:tab/>
        <w:t xml:space="preserve">            15</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效益（20分）</w:t>
      </w:r>
      <w:r>
        <w:rPr>
          <w:rStyle w:val="18"/>
          <w:rFonts w:hint="eastAsia" w:ascii="仿宋" w:hAnsi="仿宋" w:eastAsia="仿宋" w:cs="仿宋"/>
          <w:b w:val="0"/>
          <w:bCs w:val="0"/>
          <w:spacing w:val="-4"/>
          <w:sz w:val="32"/>
          <w:szCs w:val="32"/>
        </w:rPr>
        <w:tab/>
        <w:t xml:space="preserve">                  项目效益（20分）</w:t>
      </w:r>
      <w:r>
        <w:rPr>
          <w:rStyle w:val="18"/>
          <w:rFonts w:hint="eastAsia" w:ascii="仿宋" w:hAnsi="仿宋" w:eastAsia="仿宋" w:cs="仿宋"/>
          <w:b w:val="0"/>
          <w:bCs w:val="0"/>
          <w:spacing w:val="-4"/>
          <w:sz w:val="32"/>
          <w:szCs w:val="32"/>
        </w:rPr>
        <w:tab/>
        <w:t xml:space="preserve">              实施效益（10分）</w:t>
      </w:r>
      <w:r>
        <w:rPr>
          <w:rStyle w:val="18"/>
          <w:rFonts w:hint="eastAsia" w:ascii="仿宋" w:hAnsi="仿宋" w:eastAsia="仿宋" w:cs="仿宋"/>
          <w:b w:val="0"/>
          <w:bCs w:val="0"/>
          <w:spacing w:val="-4"/>
          <w:sz w:val="32"/>
          <w:szCs w:val="32"/>
        </w:rPr>
        <w:tab/>
        <w:t xml:space="preserve">                    10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tab/>
        <w:t xml:space="preserve">                                                      满意度（10分）</w:t>
      </w:r>
      <w:r>
        <w:rPr>
          <w:rStyle w:val="18"/>
          <w:rFonts w:hint="eastAsia" w:ascii="仿宋" w:hAnsi="仿宋" w:eastAsia="仿宋" w:cs="仿宋"/>
          <w:b w:val="0"/>
          <w:bCs w:val="0"/>
          <w:spacing w:val="-4"/>
          <w:sz w:val="32"/>
          <w:szCs w:val="32"/>
        </w:rPr>
        <w:tab/>
        <w:t xml:space="preserve">                    10</w:t>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                                  权重分值100分</w:t>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tab/>
        <w:t xml:space="preserve">                                    总得分          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 绩效评价方法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本次评价采用定量与定性评价相结合的比较法和公众评判法，总分由各项指标得分汇总形成。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比较法：是指通过对绩效目标与实施效果、历史与当期情况、不同部门和地区同类支出的比较，综合分析绩效目标实现程度。</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公众评判法：是指通过专家评估、公众问卷及抽样调查等对财政支出效果进行评判，评价绩效目标实现程度。</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 绩效评价标准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绩效评价标准通常包括计划标准、行业标准、历史标准等，用于对绩效指标完成情况进行比较、分析、评价。本次评价主要采用了计划标准。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计划标准：指以预先制定的目标、计划、预算、定额等作为评价标准。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行业标准：指参照国家公布的行业指标数据制定的评价标准。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历史标准：指参照历史数据制定的评价标准，为体现绩效改进的原则，在可实现的条件下应当确定相对较高的评价标准。</w:t>
      </w:r>
    </w:p>
    <w:p w14:paraId="1360EE03">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（三）绩效评价工作过程。</w:t>
      </w:r>
    </w:p>
    <w:p w14:paraId="25F5AEE7">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第一阶段：前期准备。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我单位绩效评价人员根据《项目支出绩效评价管理办法》（财预〔2020〕10号）文件精神认真学习相关要求与规定，成立绩效评价工作组，作为绩效评价工作具体实施机构。成员构成如下：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帕尔哈提·尼亚孜任评价组组长，绩效评价工作职责为负责全盘工作。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李向国任评价组副组长，绩效评价工作职责为为对项目实施情况进行实地调查。</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马向武、祁数亮任评价组成员，绩效评价工作职责为负责资料审核等工作。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第二阶段：组织实施。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经评价组通过实地调研、查阅资料等方式，采用综合分析法对项目的决策、管理、绩效进行的综合评价分析。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第三阶段：分析评价。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首先按照指标体系进行定量、定性分析。其次开展量化打分、综合评价工作，形成初步评价结论。最后归纳整体项目情况与存在问题，撰写部门绩效评价报告。</w:t>
      </w:r>
    </w:p>
    <w:p w14:paraId="026FA7CB">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三、综合评价情况及评价结论</w:t>
      </w:r>
    </w:p>
    <w:p w14:paraId="148748D4">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（一）综合评价情况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通过实施驻村工作队2024年为民办实事工作经费项目有效提高驻村干部的工作积极性，使得他们扎扎实实为群众办事，更好的服务于乡村振兴工作，提升大同乡阿依克日克村群众的幸福感、获得感。项目实施主要通过项目决策、项目过程、项目产出以及项目效益等方面进行评价，其中：</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项目决策：该项目主要通过《塔什库尔干塔吉克自治县驻村工作专项经费使用管理方案》、自治区财政专项经费（喀地财预【2024】6号）、中共中央办公厅《关于向重点乡村持续选派第一书记和工作队的意见》中办发[2024]27号、《张柱部长在自治区“访惠聚”驻村工作会议上的讲话》（新民办通报[2022]1号）等文件立项，项目实施符合以上文件的要求，项目立项依据充分，立项程序规范。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过程：驻村工作队2024年为民办实事工作经费项目预算安排7万元，实际支出7万元，预算执行率100%。项目资金使用合规，项目财务管理制度健全，财务监控到位，所有资金支付均按照国库集中支付制度严格执行，现有项目管理制度执行情况良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产出：截止评价日，已支付访惠聚各项工作费用7万元，用于访惠聚工作的开展；房屋维护保养合格率、赞达尕力灌溉饮水管道维修合格率、赞达尕力修复吊桥合格率达100%；“四季村晚”活动开展天数5天、赞达尕力灌溉饮水管道维修天数3天、赞达尕力维修吊桥天数4天。</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项目效益：通过实施此项目有效提高驻村干部的工作积极性，使得他们扎扎实实为群众办事，更好的服务于乡村振兴工作，提升大同乡阿依克日克村群众的幸福感、获得感。</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（二）综合评价结论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依据《中共中央国务院关于全面实施预算绩效管理的意见》《项目支出绩效评价管理办法》（财预〔2020〕10号）以及《关于进一步加强和规范喀什地区项目支出“全过程”预算绩效管理结果应用的通知》（喀地财绩〔2022〕2号）文件，绩效评价总分设置为100分，划分为四档：90（含）-100分为“优”、80（含）-90分为“良”、70（含）-80分为“中”、70分以下为“差”。经对驻村工作队2024年为民办实事工作经费项目进行客观评价，最终评分结果：评价总分100分，绩效等级为“优”。</w:t>
      </w:r>
    </w:p>
    <w:p w14:paraId="637F0531">
      <w:pPr>
        <w:spacing w:line="570" w:lineRule="exact"/>
        <w:ind w:firstLine="624" w:firstLineChars="200"/>
        <w:rPr>
          <w:rStyle w:val="18"/>
          <w:rFonts w:ascii="黑体" w:hAnsi="黑体" w:eastAsia="黑体" w:cs="黑体"/>
          <w:b w:val="0"/>
          <w:sz w:val="32"/>
          <w:szCs w:val="32"/>
        </w:rPr>
      </w:pPr>
      <w:r>
        <w:rPr>
          <w:rStyle w:val="18"/>
          <w:rFonts w:hint="eastAsia" w:ascii="黑体" w:hAnsi="黑体" w:eastAsia="黑体" w:cs="黑体"/>
          <w:b w:val="0"/>
          <w:spacing w:val="-4"/>
          <w:sz w:val="32"/>
          <w:szCs w:val="32"/>
        </w:rPr>
        <w:t xml:space="preserve">四、绩效评价指标分析 </w:t>
      </w:r>
    </w:p>
    <w:p w14:paraId="2C9A5DB1">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14:paraId="7B31CB97">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（一）项目决策情况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项目决策类指标包括项目立项、绩效目标和资金投入三方面的内容，由6个三级指标构成，权重分为15分，实际得分15分，得分率为100%。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立项依据充分性：本项目立项符合《塔什库尔干塔吉克自治县驻村工作专项经费使用管理方案》、自治区财政专项经费（喀地财预【2024】6号）、中共中央办公厅《关于向重点乡村持续选派第一书记和工作队的意见》中办发[2024]27号、《张柱部长在自治区“访惠聚”驻村工作会议上的讲话》（新民办通报[2022]1号）等文件要求；经检查我单位财政管理一体化信息系统，本项目不存在重复。结合塔什库尔干塔吉克自治县司法局职责，并组织实施该项目。围绕塔什库尔干塔吉克自治县司法局年度工作重点和工作计划制定项目预算，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立项程序规范性：根据《塔什库尔干塔吉克自治县驻村工作专项经费使用管理方案》（喀地财预【2024】6号）以及《驻村工作队2024年为民办实事工作经费实施方案》编制工作计划和项目预算，经过与塔什库尔干县财政局预算股分管领导进行沟通、筛选确定经费预算计划，上党委会研究确定最终预算方案，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（3）绩效目标合理性：</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①该项目已设置年度绩效目标，具体内容为“该项目计划投入资金7万元。用于 “四季村晚”表现优秀人员进行奖励购买奖品5次；赞达尕力灌溉饮水管道维修360米；推进基层治理在积分超市购买群众物品5次；赞达尕力修复吊桥1个；村委会、工作队购买日常办公用品及其他日常用品5次；清理辖区道路多段泥石流区域租赁装载机械等各项工作1次。通过该项目的实施，有效提高驻村干部的工作积极性，使得他们扎扎实实为群众办事，更好的服务于乡村振兴工作，提升大同乡阿依克日克村群众的幸福感、获得感。”</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②该项目实际工作内容为：</w:t>
      </w:r>
      <w:r>
        <w:rPr>
          <w:rStyle w:val="18"/>
          <w:rFonts w:hint="eastAsia" w:ascii="仿宋" w:hAnsi="仿宋" w:eastAsia="仿宋" w:cs="仿宋"/>
          <w:b w:val="0"/>
          <w:bCs w:val="0"/>
          <w:spacing w:val="-4"/>
          <w:sz w:val="32"/>
          <w:szCs w:val="32"/>
          <w:lang w:eastAsia="zh-CN"/>
        </w:rPr>
        <w:t>截至目前</w:t>
      </w:r>
      <w:r>
        <w:rPr>
          <w:rStyle w:val="18"/>
          <w:rFonts w:hint="eastAsia" w:ascii="仿宋" w:hAnsi="仿宋" w:eastAsia="仿宋" w:cs="仿宋"/>
          <w:b w:val="0"/>
          <w:bCs w:val="0"/>
          <w:spacing w:val="-4"/>
          <w:sz w:val="32"/>
          <w:szCs w:val="32"/>
        </w:rPr>
        <w:t>，该项目已执行资金7万元。已用于 “四季村晚”表现优秀人员进行奖励购买奖品5次；赞达尕力灌溉饮水管道维修360米；推进基层治理在积分超市购买群众物品5次；赞达尕力修复吊桥1个；村委会、工作队购买日常办公用品及其他日常用品5次；清理辖区道路多段泥石流区域租赁装载机械等各项工作1次。通过该项目的实施，有效提高驻村干部的工作积极性，使得他们扎扎实实为群众办事，更好的服务于乡村振兴工作，提升大同乡阿依克日克村群众的幸福感、获得感。绩效目标与实际工作内容一致，两者具有相关性。</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③该项目按照绩效目标完成数量指标、质量指标、时效指标、成本指标，完成了“四季村晚”表现优秀人员进行奖励购买奖品5次；赞达尕力灌溉饮水管道维修360米；推进基层治理在积分超市购买群众物品5次；赞达尕力修复吊桥1个；村委会、工作队购买日常办公用品及其他日常用品5次；清理辖区道路多段泥石流区域租赁装载机械等各项工作1次；房屋维护保养合格率、赞达尕力灌溉饮水管道维修合格率、赞达尕力修复吊桥合格率达100%；“四季村晚”活动开展天数5天，赞达尕力灌溉饮水管道维修天数3天，赞达尕力维修吊桥天数4天，项目的实施有效提高驻村干部的工作积极性，使得他们扎扎实实为群众办事，更好的服务于乡村振兴工作，提升大同乡阿依克日克村群众的幸福感、获得感。预期产出效益和效果符合正常的业绩水平。</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④该项目批复的预算金额为7万元，《项目支出绩效目标表》中预算金额为7万元，预算确定的项目资金与预算确定的项目投资额相匹配。</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⑤本单位制定了《驻村工作队2024年为民办实事工作经费项目实施方案》，明确了总体思路及目标、并对任务进行了详细分解，对目标进行了细化。</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（4）绩效指标明确性： 经检查我单位年初设置的《项目支出绩效目标表》，得出如下结论：本项目已将年度绩效目标进行细化为绩效指标体系，共设置一级指标4个，二级指标6个，三级指标22个，定量指标22个，定性指标0个，指标量化率为100%，量化率达70%以上，将项目绩效目标细化分解为具体的绩效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该《项目绩效目标申报表》中，数量指标指标值为“四季村晚”表现优秀人员进行奖励购买奖品5次；赞达尕力灌溉饮水管道维修360米；推进基层治理在积分超市购买群众物品5次；赞达尕力修复吊桥1个；村委会、工作队购买日常办公用品及其他日常用品5次；清理辖区道路多段泥石流区域租赁装载机械等各项工作1次，三级指标的年度指标值与年度绩效目标中任务数一致，已设置时效指标““四季村晚”活动开展天数5天、赞达尕力灌溉饮水管道维修天数3天、赞达尕力维修吊桥天数4天”。已设置的绩效目标具备明确性、可衡量性、可实现性、相关性、时限性。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（5）预算编制科学性： 本项目预算编制通过前期调研论证，同类似项目对比分析，发现预算编制科学合理；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预算申请内容为用于访惠聚工作经费的支出7万元，项目实际内容为总投资7万元，主要用于访惠聚各项工作经费的支出，预算申请与《驻村工作队2024年为民办实事工作经费项目实施方案》中涉及的项目内容匹配；</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预算申请资金7万元，我单位在预算申请中严格按照项目实施内容及测算标准进行核算，其中：“四季村晚”活动总成本12960元，赞达尕力灌溉饮水管道维修总成本10300元，推进基层治理在积分超市购买群众常用物品总成本14750元，为赞达尕力修复吊桥成本12700元，为村委会及驻村工作队购买办公用品及其他用品总成本14290元，清理辖区多段道路泥石流租赁装载机及机械费用总成本5000元。预算确定资金量与实际工作任务相匹配。本项目预算额度测算依据充分，严格按照标准编制，预算确定资金量与实际工作任务相匹配；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6）资金分配合理性：本项目实际分配资金以《驻村工作队2024年为民办实事工作经费实施方案》为依据进行资金分配，预算资金分配依据充分。根据《塔什库尔干塔吉克自治县驻村工作专项经费使用管理方案》（喀地财预【2024】6号），本项目实际到位资金7万元，其中地区资金7万元，资金分配额度合理，与我单位实际需求相适应。资金分配与实际相适应，根据评分标准，该指标不扣分，得2分。</w:t>
      </w:r>
    </w:p>
    <w:p w14:paraId="74443D0A">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14:paraId="242A0AF1">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项目过程类指标包括资金管理和组织实施两方面的内容，由 5个三级指标构成，权重分为20分，实际得分20分，得分率为100%。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1）资金到位率：本项目预算资金为7万元，其中：财政安排资金7万元，实际到位资金7万元，资金到位率100%；通过分析可知，该项目财政资金足额拨付到位，能够及时足额支付给实施单位。根据评分标准，该指标不扣分，得3分。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（2）预算执行率：本项目实际支出资金7万元，预算执行率=（7/7）×100%=100%；通过分析可知，该项目预算编制较为详细，项目资金支出总体能够按照预算执行，根据评分标准，该指标不扣分，得3分。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资金使用合规性：通过检查项目资金申请文件、国库支付凭证等财务资料，得出本项目资金支出符合国家财经法规、《政府会计制度》《塔什库尔干塔吉克自治县司法局资金管理办法》《塔什库尔干塔吉克自治县司法局专项资金管理办法》，资金的拨付有完整的审批程序和手续，资金实际使用方向与预算批复用途一致，不存在截留、挤占、挪用、虚列支出的情况。我单位制定了相关的制度和管理规定对经费使用进行规范管理，财务制度健全、执行严格，根据评分标准，该指标不扣分，得4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管理制度健全性：我单位已制定《塔什库尔干塔吉克自治县司法局资金管理办法》《塔什库尔干塔吉克自治县司法局收支业务管理制度》《塔什库尔干塔吉克自治县司法局政府采购业务管理制度》《塔什库尔干塔吉克自治县司法局合同管理制度》，相关制度均符合行政事业单位内控管理要求，财务和业务管理制度合法、合规、完整，本项目执行符合上述制度规定。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5）制度执行有效性：①该项目的实施符合《塔什库尔干塔吉克自治县司法局资金管理办法》《塔什库尔干塔吉克自治县司法局收支业务管理制度》等相关法律法规及管理规定，项目具备完整规范的立项程序；经查证项目实施过程资料，项目采购、实施、验收等过程均按照采购管理办法和合同管理办法等相关制度执行，基本完成既定目标；经查证党委会议纪要、项目资金支付审批表、记账凭证等资金拨付流程资料，项目资金拨付流程完整、手续齐全。综上分析表明，项目执行遵守了相关法律法规和相关管理规定。</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②经现场查证，验收评审表、财务支付凭证等资料齐全并及时进行了归档。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③该项目存在调整，调整手续齐全。</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④该项目实施所需要的项目人员已落实到位，具体涉及内容包括：项目资金支出严格按照自治区、地区以及本单位资金管理办法执行，项目启动实施后，为了加快本项目的实施，成立了驻村工作队2024年为民办实事工作经费项目工作领导小组，由蒲晓军任组长，负责项目的组织工作；帕尔哈提·尼亚孜任副组长，负责项目的实施工作；组员包括：祁树亮和马向武，主要负责项目监督管理、验收以及资金核拨等工作。根据评分标准，该指标不扣分，得5分。</w:t>
      </w:r>
    </w:p>
    <w:p w14:paraId="03F506A8">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14:paraId="5E46A1BC">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项目产出类指标包括产出数量、产出质量、产出时效、产出成本四方面的内容，由4个三级指标构成，权重分为45分，实际得分45分，得分率为100%。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（1）对于“产出数量”</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对“四季村晚”表现优秀人员进行奖励购买奖品指标，预期指标值为大于等于5次，实际完成值为等于5次，指标完成率为100%，与预期目标一致，根据评分标准，该指标不扣分，得2分。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为赞达尕力灌溉饮水管道维修指标，预期指标值为大于等于360米，实际完成值为等于360米，指标完成率为100%，与预期目标一致，根据评分标准，该指标不扣分，得2分。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推进基层治理在积分超市购买群众物品指标，预期指标值为大于等于5次，实际完成值为等于5次，指标完成率为100%，与预期目标一致，根据评分标准，该指标不扣分，得2分。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为赞达尕力修复吊桥指标，预期指标值为大于等于1个，实际完成值为等于1个，指标完成率为100%，与预期目标一致，根据评分标准，该指标不扣分，得1分。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为村委会、工作队购买日常办公用品及其他日常用品指标，预期指标值为大于等于5次，实际完成值为等于5次，指标完成率为100%，与预期目标一致，根据评分标准，该指标不扣分，得2分。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清理辖区道路多段泥石流区域租赁装载机械指标，预期指标值为大于等于1次，实际完成值为等于1次，指标完成率为100%，与预期目标一致，根据评分标准，该指标不扣分，得1分。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（2）对于“产出质量”：</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房屋维护保养合格率指标，预期指标值为等于100%，实际完成值为等于100%，指标完成率为100%，与预期目标一致，根据评分标准，该指标不扣分，得3分。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赞达尕力灌溉饮水管道维修合格率指标，预期指标值为等于100%，实际完成值为等于100%，指标完成率为100%，与预期目标一致，根据评分标准，该指标不扣分，得3分。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赞达尕力修复吊桥合格率指标，预期指标值为等于100%，实际完成值为等于100%，指标完成率为100%，与预期目标一致，根据评分标准，该指标不扣分，得4分。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（3）对于“产出时效”：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“四季村晚”活动开展天数指标，预期指标值为等于5天，实际完成值为等于5天，指标完成率为100%，与预期目标一致，根据评分标准，该指标不扣分，得3分。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赞达尕力灌溉饮水管道维修天数指标，预期指标值为等于3天，实际完成值为等于3天，指标完成率为100%，与预期目标一致，根据评分标准，该指标不扣分，得3分。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赞达尕力维修吊桥天数指标，预期指标值为等于4天，实际完成值为等于4天，指标完成率为100%，与预期目标一致，根据评分标准，该指标不扣分，得4分。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（4）对于“产出成本”：</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“四季村晚”活动总成本指标，预期指标值为小于等于12960元，实际完成值为等于12960元，指标完成率为100%，与预期目标一致，根据评分标准，该指标不扣分，得2分。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赞达尕力灌溉饮水管道维修总成本指标，预期指标值为小于等于10300元，实际完成值为等于10300元，指标完成率为100%，与预期目标一致，根据评分标准，该指标不扣分，得2分。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推进基层治理在积分超市购买群众常用物品总成本指标，预期指标值为小于等于14750元，实际完成值为等于14750元，指标完成率为100%，与预期目标一致，根据评分标准，该指标不扣分，得3分。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为赞达尕力修复吊桥成本指标，预期指标值为小于等于12700元，实际完成值为等于12700元，指标完成率为100%，与预期目标一致，根据评分标准，该指标不扣分，得3分。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为村委会及驻村工作队购买办公用品及其他用品总成本指标，预期指标值为小于等于14290元，实际完成值为等于14290元，指标完成率为100%，与预期目标一致，根据评分标准，该指标不扣分，得3分。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清理辖区多段道路泥石流租赁装载机及机械费用总成本指标，预期指标值为小于等于5000元，实际完成值为等于5000元，指标完成率为100%，与预期目标一致，根据评分标准，该指标不扣分，得2分。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合计得15分。</w:t>
      </w:r>
    </w:p>
    <w:p w14:paraId="474B27CF">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14:paraId="2B77CDAB">
      <w:pPr>
        <w:spacing w:line="540" w:lineRule="exact"/>
        <w:ind w:firstLine="567"/>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（1）对于“社会效益指标”：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维护大同乡阿依克日克村社会和谐持续年限指标，该指标预期指标值为等于1年，实际完成值为等于1年，指标完成率为100%，与预期指标一致，根据评分标准，该指标不扣分，得10分。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（2）对于“经济效益指标”：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本项目不涉及经济效益指标。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（3）对于“生态效益指标”：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本项目不涉及生态效益指标。</w:t>
      </w:r>
    </w:p>
    <w:p w14:paraId="23F405B1">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w:t>
      </w:r>
      <w:r>
        <w:rPr>
          <w:rFonts w:hint="eastAsia" w:ascii="楷体" w:hAnsi="楷体" w:eastAsia="楷体" w:cs="楷体"/>
          <w:b/>
          <w:spacing w:val="-4"/>
          <w:sz w:val="32"/>
          <w:szCs w:val="32"/>
          <w:lang w:val="en-US" w:eastAsia="zh-CN"/>
        </w:rPr>
        <w:t>五</w:t>
      </w:r>
      <w:r>
        <w:rPr>
          <w:rFonts w:hint="eastAsia" w:ascii="楷体" w:hAnsi="楷体" w:eastAsia="楷体" w:cs="楷体"/>
          <w:b/>
          <w:spacing w:val="-4"/>
          <w:sz w:val="32"/>
          <w:szCs w:val="32"/>
        </w:rPr>
        <w:t>）满意度指标完成情况分析。</w:t>
      </w:r>
    </w:p>
    <w:p w14:paraId="559020E0">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满意度指标分析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对于“满意度指标：困难家庭户（五保户）满意度，该指标预期指标值为大于等于100%，实际完成值为等于100%，指标完成率为100%，与预期目标一致，根据评分标准，该指标不扣分,得4分。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对于“满意度指标：大同乡阿依克日克村群众对灌溉饮水管道维修满意度，该指标预期指标值为大于等于100%，实际完成值为等于100%，指标完成率为100%，与预期目标一致，根据评分标准，该指标不扣分,得3分。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对于“满意度指标：大同乡阿依克日克村群众对修复吊桥的满意度，该指标预期指标值为大于等于100%，实际完成值为等于100%，指标完成率为100%，与预期目标一致，根据评分标准，该指标不扣分,得3分。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实施效益指标合计得10分。</w:t>
      </w:r>
    </w:p>
    <w:p w14:paraId="656CBA23">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五、预算执行进度与绩效指标偏差</w:t>
      </w:r>
    </w:p>
    <w:p w14:paraId="4A4FE22D">
      <w:pPr>
        <w:spacing w:line="540" w:lineRule="exact"/>
        <w:ind w:firstLine="567"/>
        <w:rPr>
          <w:rFonts w:ascii="仿宋" w:hAnsi="仿宋" w:eastAsia="仿宋" w:cs="仿宋"/>
          <w:spacing w:val="-4"/>
          <w:sz w:val="32"/>
          <w:szCs w:val="32"/>
        </w:rPr>
      </w:pPr>
      <w:r>
        <w:rPr>
          <w:rStyle w:val="18"/>
          <w:rFonts w:hint="eastAsia" w:ascii="仿宋" w:hAnsi="仿宋" w:eastAsia="仿宋" w:cs="仿宋"/>
          <w:b w:val="0"/>
          <w:bCs w:val="0"/>
          <w:spacing w:val="-4"/>
          <w:sz w:val="32"/>
          <w:szCs w:val="32"/>
        </w:rPr>
        <w:t>驻村工作队2024年为民办实事工作经费项目预算7万元，到位7万元，实际支出7万元，预算执行率为100%，项目绩效指标总体完成率为100%，无偏差。</w:t>
      </w:r>
    </w:p>
    <w:p w14:paraId="16DF9B6E">
      <w:pPr>
        <w:spacing w:line="570" w:lineRule="exact"/>
        <w:ind w:firstLine="624" w:firstLineChars="200"/>
        <w:rPr>
          <w:rStyle w:val="18"/>
          <w:rFonts w:hint="eastAsia" w:ascii="黑体" w:hAnsi="黑体" w:eastAsia="黑体" w:cs="黑体"/>
          <w:b w:val="0"/>
          <w:spacing w:val="-4"/>
          <w:sz w:val="32"/>
          <w:szCs w:val="32"/>
          <w:lang w:eastAsia="zh-CN"/>
        </w:rPr>
      </w:pPr>
      <w:r>
        <w:rPr>
          <w:rStyle w:val="18"/>
          <w:rFonts w:hint="eastAsia" w:ascii="黑体" w:hAnsi="黑体" w:eastAsia="黑体" w:cs="黑体"/>
          <w:b w:val="0"/>
          <w:spacing w:val="-4"/>
          <w:sz w:val="32"/>
          <w:szCs w:val="32"/>
        </w:rPr>
        <w:t>六、主要经验及做法、存在的问题及原因分析</w:t>
      </w:r>
      <w:r>
        <w:rPr>
          <w:rStyle w:val="18"/>
          <w:rFonts w:hint="eastAsia" w:ascii="黑体" w:hAnsi="黑体" w:eastAsia="黑体" w:cs="黑体"/>
          <w:b w:val="0"/>
          <w:spacing w:val="-4"/>
          <w:sz w:val="32"/>
          <w:szCs w:val="32"/>
          <w:lang w:eastAsia="zh-CN"/>
        </w:rPr>
        <w:t>、下一步改进措施</w:t>
      </w:r>
    </w:p>
    <w:p w14:paraId="6498EDBA">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（一）主要经验及做法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一是本项目能够严格按照《项目实施方案》执行，项目执行情况较好。二是加强组织领导，本项目绩效评价工作，有主要领导亲自挂帅，分管领导具体负责，从项目到资金，均能够很好的执行。三是加强沟通协调，我单位及时向领导汇报项目建设进度，加强与施工单位的沟通，确保项目按期完工。</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（二）存在问题及原因分析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一、项目资金筹集渠道有限。塔什库尔干县在基本财力保障机制项目中，资金筹集渠道相对有限，主要依赖于上级财政拨款和县级财政配套资金，导致项目资金压力较大。</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项目在资金管理和使用方面，虽然制定了相关制度和规定，但由于项目涉及多个部门和单位，在实际操作中，协调难度较大，容易存在一些操作不规范、监管不到位的情况，导致项目实施进度缓慢，可能会对项目的顺利推进和资金的有效使用造成一定的困扰。</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    原因分析：首先，对于项目执行过程中可能受到不可抗拒因素的影响，这主要是由于外部环境的复杂性和不确定性所致。虽然我们在项目规划和实施过程中会尽可能考虑到各种可能的因素，但无法完全避免一些突发事件对项目产生的影响。</w:t>
      </w:r>
    </w:p>
    <w:p w14:paraId="09C0DD89">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七、有关建议</w:t>
      </w:r>
    </w:p>
    <w:p w14:paraId="4516C0A1">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一、拓宽资金筹集渠道。塔县将积极争取上级财政支持，同时探索多元化的资金筹集渠道，如引入社会资本等，以缓解项目资金压力。</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二、加强项目协调和管理。塔县将加强项目协调和管理，建立更加有效的沟通协调机制，确保项目按照规划要求进行实施，提高项目实施效率。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三、加强预算管理精细化。塔县将进一步加强预算管理精细化，提高预算编制和执行的科学性和准确性，确保资金用于重点项目和民生领域，提高资金使用效益。同时，加强对预算执行的监督和考核，确保预算目标的实现。</w:t>
      </w:r>
    </w:p>
    <w:p w14:paraId="47983A9D">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八、其他需要说明的问题</w:t>
      </w:r>
    </w:p>
    <w:p w14:paraId="70B46C38">
      <w:pPr>
        <w:spacing w:line="540" w:lineRule="exact"/>
        <w:ind w:firstLine="567"/>
        <w:rPr>
          <w:rStyle w:val="18"/>
          <w:rFonts w:ascii="仿宋" w:hAnsi="仿宋" w:eastAsia="仿宋"/>
          <w:b w:val="0"/>
          <w:spacing w:val="-4"/>
          <w:sz w:val="32"/>
          <w:szCs w:val="32"/>
        </w:rPr>
      </w:pPr>
      <w:r>
        <w:rPr>
          <w:rStyle w:val="18"/>
          <w:rFonts w:hint="eastAsia" w:ascii="仿宋" w:hAnsi="仿宋" w:eastAsia="仿宋" w:cs="仿宋"/>
          <w:b w:val="0"/>
          <w:bCs w:val="0"/>
          <w:spacing w:val="-4"/>
          <w:sz w:val="32"/>
          <w:szCs w:val="32"/>
        </w:rPr>
        <w:t>我单位对上述项目支出绩效评价报告内反映内容的真实性、完整性负责，接受上级部门及社会公众监督。</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0C070947">
        <w:pPr>
          <w:pStyle w:val="12"/>
          <w:jc w:val="center"/>
        </w:pPr>
        <w:r>
          <w:fldChar w:fldCharType="begin"/>
        </w:r>
        <w:r>
          <w:instrText xml:space="preserve">PAGE   \* MERGEFORMAT</w:instrText>
        </w:r>
        <w:r>
          <w:fldChar w:fldCharType="separate"/>
        </w:r>
        <w:r>
          <w:rPr>
            <w:lang w:val="zh-CN"/>
          </w:rPr>
          <w:t>1</w:t>
        </w:r>
        <w:r>
          <w:fldChar w:fldCharType="end"/>
        </w:r>
      </w:p>
    </w:sdtContent>
  </w:sdt>
  <w:p w14:paraId="578E583E">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7"/>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c0ZGFmZGVlMTU2YmFlODYzODJmYzUzZGI2NmMwNGEifQ=="/>
  </w:docVars>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1445C35"/>
    <w:rsid w:val="2AE11386"/>
    <w:rsid w:val="2D4C6AD2"/>
    <w:rsid w:val="2D5A6638"/>
    <w:rsid w:val="340D5924"/>
    <w:rsid w:val="43B04001"/>
    <w:rsid w:val="4609551D"/>
    <w:rsid w:val="4D2606A1"/>
    <w:rsid w:val="4DD42C22"/>
    <w:rsid w:val="503863D1"/>
    <w:rsid w:val="50796DE0"/>
    <w:rsid w:val="5DA70C36"/>
    <w:rsid w:val="716B6B6A"/>
    <w:rsid w:val="72F325A8"/>
    <w:rsid w:val="7A780714"/>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27</Pages>
  <Words>10884</Words>
  <Characters>11333</Characters>
  <Lines>5</Lines>
  <Paragraphs>1</Paragraphs>
  <TotalTime>0</TotalTime>
  <ScaleCrop>false</ScaleCrop>
  <LinksUpToDate>false</LinksUpToDate>
  <CharactersWithSpaces>12636</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2022-01-14T05:11:00Z</dcterms:created>
  <dc:creator>赵 恺（预算处）</dc:creator>
  <cp:lastModifiedBy>周丽君</cp:lastModifiedBy>
  <cp:lastPrinted>2018-12-31T10:56:00Z</cp:lastPrinted>
  <dcterms:modified xsi:type="dcterms:W3CDTF">2025-09-04T08:23:13Z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299A846E7742483FADE25949A45A48D3_12</vt:lpwstr>
  </property>
  <property fmtid="{D5CDD505-2E9C-101B-9397-08002B2CF9AE}" pid="4" name="KSOTemplateDocerSaveRecord">
    <vt:lpwstr>eyJoZGlkIjoiZjc0YWFlMzUxNjVlZTcxY2FlZTNjZDFlMzE3YzBjNDEiLCJ1c2VySWQiOiIyMDM3MTI1NTkifQ==</vt:lpwstr>
  </property>
</Properties>
</file>