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0AA0F">
      <w:pPr>
        <w:spacing w:line="570" w:lineRule="exact"/>
        <w:jc w:val="center"/>
        <w:rPr>
          <w:rFonts w:ascii="华文中宋" w:hAnsi="华文中宋" w:eastAsia="华文中宋" w:cs="宋体"/>
          <w:b/>
          <w:kern w:val="0"/>
          <w:sz w:val="52"/>
          <w:szCs w:val="52"/>
        </w:rPr>
      </w:pPr>
      <w:bookmarkStart w:id="0" w:name="_GoBack"/>
      <w:bookmarkEnd w:id="0"/>
    </w:p>
    <w:p w14:paraId="075604FB">
      <w:pPr>
        <w:spacing w:line="570" w:lineRule="exact"/>
        <w:jc w:val="center"/>
        <w:rPr>
          <w:rFonts w:ascii="华文中宋" w:hAnsi="华文中宋" w:eastAsia="华文中宋" w:cs="宋体"/>
          <w:b/>
          <w:kern w:val="0"/>
          <w:sz w:val="52"/>
          <w:szCs w:val="52"/>
        </w:rPr>
      </w:pPr>
    </w:p>
    <w:p w14:paraId="7C4E72BC">
      <w:pPr>
        <w:spacing w:line="570" w:lineRule="exact"/>
        <w:jc w:val="center"/>
        <w:rPr>
          <w:rFonts w:ascii="华文中宋" w:hAnsi="华文中宋" w:eastAsia="华文中宋" w:cs="宋体"/>
          <w:b/>
          <w:kern w:val="0"/>
          <w:sz w:val="52"/>
          <w:szCs w:val="52"/>
        </w:rPr>
      </w:pPr>
    </w:p>
    <w:p w14:paraId="0D2A98A1">
      <w:pPr>
        <w:spacing w:line="570" w:lineRule="exact"/>
        <w:jc w:val="center"/>
        <w:rPr>
          <w:rFonts w:ascii="华文中宋" w:hAnsi="华文中宋" w:eastAsia="华文中宋" w:cs="宋体"/>
          <w:b/>
          <w:kern w:val="0"/>
          <w:sz w:val="52"/>
          <w:szCs w:val="52"/>
        </w:rPr>
      </w:pPr>
    </w:p>
    <w:p w14:paraId="1CD3451B">
      <w:pPr>
        <w:spacing w:line="570" w:lineRule="exact"/>
        <w:jc w:val="both"/>
        <w:rPr>
          <w:rFonts w:ascii="华文中宋" w:hAnsi="华文中宋" w:eastAsia="华文中宋" w:cs="宋体"/>
          <w:b/>
          <w:kern w:val="0"/>
          <w:sz w:val="52"/>
          <w:szCs w:val="52"/>
        </w:rPr>
      </w:pPr>
    </w:p>
    <w:p w14:paraId="1E38A025">
      <w:pPr>
        <w:spacing w:line="570" w:lineRule="exact"/>
        <w:jc w:val="center"/>
        <w:rPr>
          <w:rFonts w:ascii="华文中宋" w:hAnsi="华文中宋" w:eastAsia="华文中宋" w:cs="宋体"/>
          <w:b/>
          <w:kern w:val="0"/>
          <w:sz w:val="52"/>
          <w:szCs w:val="52"/>
        </w:rPr>
      </w:pPr>
    </w:p>
    <w:p w14:paraId="09358519">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E04D883">
      <w:pPr>
        <w:spacing w:line="570" w:lineRule="exact"/>
        <w:jc w:val="center"/>
        <w:rPr>
          <w:rFonts w:ascii="华文中宋" w:hAnsi="华文中宋" w:eastAsia="华文中宋" w:cs="宋体"/>
          <w:b/>
          <w:kern w:val="0"/>
          <w:sz w:val="52"/>
          <w:szCs w:val="52"/>
        </w:rPr>
      </w:pPr>
    </w:p>
    <w:p w14:paraId="3376AB5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67A6BCD">
      <w:pPr>
        <w:spacing w:line="570" w:lineRule="exact"/>
        <w:jc w:val="center"/>
        <w:rPr>
          <w:rFonts w:hAnsi="宋体" w:eastAsia="仿宋_GB2312" w:cs="宋体"/>
          <w:kern w:val="0"/>
          <w:sz w:val="30"/>
          <w:szCs w:val="30"/>
        </w:rPr>
      </w:pPr>
    </w:p>
    <w:p w14:paraId="696E6241">
      <w:pPr>
        <w:spacing w:line="570" w:lineRule="exact"/>
        <w:jc w:val="center"/>
        <w:rPr>
          <w:rFonts w:hAnsi="宋体" w:eastAsia="仿宋_GB2312" w:cs="宋体"/>
          <w:kern w:val="0"/>
          <w:sz w:val="30"/>
          <w:szCs w:val="30"/>
        </w:rPr>
      </w:pPr>
    </w:p>
    <w:p w14:paraId="29C59AEA">
      <w:pPr>
        <w:spacing w:line="570" w:lineRule="exact"/>
        <w:jc w:val="center"/>
        <w:rPr>
          <w:rFonts w:hAnsi="宋体" w:eastAsia="仿宋_GB2312" w:cs="宋体"/>
          <w:kern w:val="0"/>
          <w:sz w:val="30"/>
          <w:szCs w:val="30"/>
        </w:rPr>
      </w:pPr>
    </w:p>
    <w:p w14:paraId="0EA07A69">
      <w:pPr>
        <w:spacing w:line="570" w:lineRule="exact"/>
        <w:jc w:val="center"/>
        <w:rPr>
          <w:rFonts w:hAnsi="宋体" w:eastAsia="仿宋_GB2312" w:cs="宋体"/>
          <w:kern w:val="0"/>
          <w:sz w:val="30"/>
          <w:szCs w:val="30"/>
        </w:rPr>
      </w:pPr>
    </w:p>
    <w:p w14:paraId="07419CB9">
      <w:pPr>
        <w:spacing w:line="570" w:lineRule="exact"/>
        <w:jc w:val="center"/>
        <w:rPr>
          <w:rFonts w:hAnsi="宋体" w:eastAsia="仿宋_GB2312" w:cs="宋体"/>
          <w:kern w:val="0"/>
          <w:sz w:val="30"/>
          <w:szCs w:val="30"/>
        </w:rPr>
      </w:pPr>
    </w:p>
    <w:p w14:paraId="37C944B2">
      <w:pPr>
        <w:spacing w:line="570" w:lineRule="exact"/>
        <w:jc w:val="center"/>
        <w:rPr>
          <w:rFonts w:hAnsi="宋体" w:eastAsia="仿宋_GB2312" w:cs="宋体"/>
          <w:kern w:val="0"/>
          <w:sz w:val="30"/>
          <w:szCs w:val="30"/>
        </w:rPr>
      </w:pPr>
    </w:p>
    <w:p w14:paraId="22A1BF0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关于申请塔什库尔干县2024年宣传文化体育活动经费</w:t>
      </w:r>
    </w:p>
    <w:p w14:paraId="7E5C619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塔什库尔干塔吉克自治县人民政府办公室</w:t>
      </w:r>
    </w:p>
    <w:p w14:paraId="11180AE8">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塔什库尔干塔吉克自治县人民政府办公室</w:t>
      </w:r>
    </w:p>
    <w:p w14:paraId="27D0BBC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范永超</w:t>
      </w:r>
    </w:p>
    <w:p w14:paraId="0692D5FC">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138974F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CCEBB5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25AB9BB">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E4D674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宣传文化体育活动经费项目实施前期、过程及效果，评价财政预算资金使用的效率及效益，通过项目实施可全方位、数字化展示塔什库尔干县70年在各方面取得的辉煌成就，让全县人民直观地感受到家乡的巨大变化和发展进步，从而增强对家乡的自豪感和认同感，激励大家</w:t>
      </w:r>
      <w:r>
        <w:rPr>
          <w:rStyle w:val="18"/>
          <w:rFonts w:hint="eastAsia" w:ascii="仿宋" w:hAnsi="仿宋" w:eastAsia="仿宋" w:cs="仿宋"/>
          <w:b w:val="0"/>
          <w:bCs w:val="0"/>
          <w:spacing w:val="-4"/>
          <w:sz w:val="32"/>
          <w:szCs w:val="32"/>
          <w:lang w:eastAsia="zh-CN"/>
        </w:rPr>
        <w:t>继往开来</w:t>
      </w:r>
      <w:r>
        <w:rPr>
          <w:rStyle w:val="18"/>
          <w:rFonts w:hint="eastAsia" w:ascii="仿宋" w:hAnsi="仿宋" w:eastAsia="仿宋" w:cs="仿宋"/>
          <w:b w:val="0"/>
          <w:bCs w:val="0"/>
          <w:spacing w:val="-4"/>
          <w:sz w:val="32"/>
          <w:szCs w:val="32"/>
        </w:rPr>
        <w:t>、自强不息。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21.65万元，实际支出21.65万元，用于塔什库尔干县70周年庆祝活动广告设计、策划、布展及图片采集等，通过实施该项目，全方位、数字化的展示了塔什库尔干县70年在各方面取得的辉煌成就，让全县人民直观地感受到了家乡的巨大变化和发展进步，增强全县人民对家乡的自豪感和认同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人民政府办公室为全额机关单位，纳入2024年部门决算编制范围的有5个办公室：塔什库尔干县人民政府办公室编制人数29人，其中：行政人员编制12人、工勤9人、参公0人、事业编制8人。实有在职人数29人，其中：行政在职12人、工勤9人、参公0人、事业在职8人。离退休人员1人，其中：行政退休人员0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根据《关于预拨2024年宣传文化体育活动经费通知》（塔财经会〔2024〕3号）安排下达资金21.65万元，最终确定项目资金总数为21.65万元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截至2024年12月31日，实际支出21.65万元，预算执行率100%。</w:t>
      </w:r>
    </w:p>
    <w:p w14:paraId="71ADE7B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29516E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21.65万元，计划用于塔什库尔干县70周年庆祝活动广告设计、策划、布展及图片采集等，通过项目实施可全方位、数字化展示塔什库尔干县70年在各方面取得的辉煌成就，让全县人民直观地感受到家乡的巨大变化和发展进步，从而增强对家乡的自豪感和认同感，激励大家</w:t>
      </w:r>
      <w:r>
        <w:rPr>
          <w:rStyle w:val="18"/>
          <w:rFonts w:hint="eastAsia" w:ascii="仿宋" w:hAnsi="仿宋" w:eastAsia="仿宋" w:cs="仿宋"/>
          <w:b w:val="0"/>
          <w:bCs w:val="0"/>
          <w:spacing w:val="-4"/>
          <w:sz w:val="32"/>
          <w:szCs w:val="32"/>
          <w:lang w:eastAsia="zh-CN"/>
        </w:rPr>
        <w:t>继往开来</w:t>
      </w:r>
      <w:r>
        <w:rPr>
          <w:rStyle w:val="18"/>
          <w:rFonts w:hint="eastAsia" w:ascii="仿宋" w:hAnsi="仿宋" w:eastAsia="仿宋" w:cs="仿宋"/>
          <w:b w:val="0"/>
          <w:bCs w:val="0"/>
          <w:spacing w:val="-4"/>
          <w:sz w:val="32"/>
          <w:szCs w:val="32"/>
        </w:rPr>
        <w:t>、自强不息。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围绕项目实施进行研究论证，修订编制实施方案，进行调研，编制项目预算，进行采购申请，政采云采购意向公开。在预算内完成高质量展板设计与制作，精准传达文化活动主题，提升活动影响力，吸引更多受众参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具体实施工作：通过政府采购确定设计制作供应商，开展创意构思、文案策划、视觉设计、制作安装等工作，涵盖多个宣传文化活动。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6729F3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5348EB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4B45B6E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31291E2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38E32A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关于申请塔什库尔干县2024年宣传文化体育活动经费项目综合评分表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2297506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5E130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范永超任评价组组长，绩效评价工作职责为负责全盘工作。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沈栖峣任评价组副组长，绩效评价工作职责为为对项目实施情况进行实地调查。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再努拉任评价组成员，绩效评价工作职责为负责资料审核等工作。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296BD52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16E74C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该项目，全方位、数字化的展示了塔什库尔干县70年在各方面取得的辉煌成就，让全县人民直观地感受到了家乡的巨大变化和发展进步，增强了全县人民对家乡的自豪感和认同感。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预拨2024年宣传文化体育活动经费通知》（塔财经会〔2024〕3号）文件立项，项目实施符合《关于预拨2024年宣传文化体育活动经费通知》（塔财经会〔2024〕3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项目预算安排21.65万元，实际支出21.65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项目产出：截止评价日，已支付2024年宣传文化体育活动费用21.65万元，用于塔什库尔干县70周年庆祝活动广告设计、策划、布展及图片采集等，工程验收合格率达100%，资金支付及时性达100%。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项目效益：通过实施该项目，全方位、数字化的展示了塔什库尔干县70年在各方面取得的辉煌成就，让全县人民直观地感受到了家乡的巨大变化和发展进步，增强了全县人民对家乡的自豪感和认同感。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宣传文化体育活动经费进行客观评价，最终评分结果：评价总分100分，绩效等级为“优”。</w:t>
      </w:r>
    </w:p>
    <w:p w14:paraId="1BAAE8A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F27EFB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58DE2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项目决策类指标包括绩效目标和资金投入两方面的内容，由6个三级指标构成，权重分为15分，实际得分15分，得分率100%。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项目根据《关于预拨2024年宣传文化体育活动经费通知》（塔财经会〔2024〕3号）立项，属于公共财政支持范围，符合中央、地方事权支出责任划分原则；经检查我单位财政管理一体化信息系统，本项目不存在重复。结合塔什库尔干县人民政府办公室单位职责，并组织实施该项目。围绕塔什库尔干县人民政府办公室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预拨2024年宣传文化体育活动经费通知》（塔财经会〔2024〕3号）以及《塔什库尔干县2024年宣传文化体育活动经费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资金21.65万元，计划用于塔什库尔干县70周年庆祝活动广告设计、策划、布展及图片采集等，通过项目实施可全方位、数字化展示塔什库尔干县70年在各方面取得的辉煌成就，让全县人民直观地感受到家乡的巨大变化和发展进步，从而增强对家乡的自豪感和认同感，激励大家</w:t>
      </w:r>
      <w:r>
        <w:rPr>
          <w:rStyle w:val="18"/>
          <w:rFonts w:hint="eastAsia" w:ascii="仿宋" w:hAnsi="仿宋" w:eastAsia="仿宋" w:cs="仿宋"/>
          <w:b w:val="0"/>
          <w:bCs w:val="0"/>
          <w:spacing w:val="-4"/>
          <w:sz w:val="32"/>
          <w:szCs w:val="32"/>
          <w:lang w:eastAsia="zh-CN"/>
        </w:rPr>
        <w:t>继往开来</w:t>
      </w:r>
      <w:r>
        <w:rPr>
          <w:rStyle w:val="18"/>
          <w:rFonts w:hint="eastAsia" w:ascii="仿宋" w:hAnsi="仿宋" w:eastAsia="仿宋" w:cs="仿宋"/>
          <w:b w:val="0"/>
          <w:bCs w:val="0"/>
          <w:spacing w:val="-4"/>
          <w:sz w:val="32"/>
          <w:szCs w:val="32"/>
        </w:rPr>
        <w:t>、自强不息。”。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预算资金21.65万元，实际支出21.65万元，用于塔什库尔干县70周年庆祝活动广告设计、策划、布展及图片采集等，通过实施该项目，全方位、数字化的展示了塔什库尔干县70年在各方面取得的辉煌成就，让全县人民直观地感受到了家乡的巨大变化和发展进步，增强了全县人民对家乡的自豪感和认同感。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塔什库尔干县70周年庆祝活动广告设计、策划、布展及图片采集等，通过实施该项目，全方位、数字化的展示了塔什库尔干县70年在各方面取得的辉煌成就，让全县人民直观地感受到了家乡的巨大变化和发展进步，增强了全县人民对家乡的自豪感和认同感。绩效目标与实际工作内容一致，两者具有相关性。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④该项目批复的预算金额为21.65万元，《项目支出绩效目标表》中预算金额为21.65万元，预算确定的项目资金与预算确定的项目投资额相匹配。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⑤本单位制定了《2024年宣传文化体育活动经费项目实施方案》，明确了总体思路及目标、并对任务进行了详细分解，对目标进行了细化。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4个一级指标，其中：产出指标、成本指标、效益指标、满意度指标。二级指标；数量指标、质量指标、时效指标、经济成本指标、经济收益指标、社会效益指标满意度指标7个二级指标，三级指标7个，定量指标6个，定性指标1个，指标量化率达85.71%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购买办公用品次数2次，三级指标的年度指标值与年度绩效目标中任务数一致，已设置时效指标资金拨付及时性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塔什库尔干县70周年庆祝活动广告设计、策划、布展及图片采集等，支出21.65万元，项目实际内容为用于塔什库尔干县70周年庆祝活动广告设计、策划、布展及图片采集等，总投资21.65万元，预算申请与《2024年宣传文化体育活动经费项目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21.65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2024年宣传文化体育活动经费项目实施方案》为依据进行资金分配，预算资金分配依据充分。根据《关于预拨2024年宣传文化体育活动经费通知》（塔财经会〔2024〕3号）本项目实际到位资金21.65万元，资金分配额度合理，与我单位实际需求相适应。资金分配与实际相适应，根据评分标准，该指标不扣分，得2分。</w:t>
      </w:r>
    </w:p>
    <w:p w14:paraId="31EE470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51AD4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21.65万元，其中：财政安排资金21.65万元，实际到位资金21.65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（2）预算执行率：本项目实际支出资金21.65万元，预算执行率100%；通过分析可知，该项目预算编制较为详细，项目资金支出总体能够按照预算执行，根据评分标准，该指标不扣分，得3分。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人民政府办公室资金管理办法》《塔什库尔干县人民政府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人民政府办公室资金管理办法》《塔什库尔干县人民政府办公室收支业务管理制度》《塔什库尔干县人民政府办公室政府采购业务管理制度》《塔什库尔干县人民政府办公室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人民政府办公室资金管理办法》《塔什库尔干县人民政府办公室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所需要的项目人员和场地设备均已落实到位，具体涉及内容包括：项目资金支出严格按照自治区、地区以及本单位资金管理办法执行，项目启动实施后，为了加快本项目的实施，由宣传部成立了70年大庆专班项目工作领导小组，由宣传部部长任组长。</w:t>
      </w:r>
    </w:p>
    <w:p w14:paraId="2813296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07AE90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购买办公用品次数，预期指标值为大于等于2次，实际完成值为2次，指标完成率为100%，与预期目标一致，根据评分标准，该指标不扣分，得10分。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采购用品合格率指标，预期指标值为100%，实际完成值为100%，指标完成率为100%，与预期目标一致，根据评分标准，该指标不扣分，得10分。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资金拨付及时性指标，预期指标值为100%，实际完成值为100%，指标完成率为100%，与预期目标一致，根据评分标准，该指标不扣分，得10分。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平均每次购买办公用品金额，预期指标值为小于等于10.83万元，实际完成值为10.83万元，指标完成率为100%，项目经费都能控制绩效目标范围内，根据评分标准，该指标不扣分，得15分。</w:t>
      </w:r>
    </w:p>
    <w:p w14:paraId="5E71F6C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A7F02D8">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项目可持续影响年限指标，该指标预期指标值为大于等于1年，实际完成值为1年，指标完成率为100%，与预期指标一致，根据评分标准，该指标不扣分，得5分。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有效提升办公条件环境该指标预期指标值为有效提升，实际完成值为有效提升，指标完成率为100%，与预期指标一致，根据评分标准，该指标不扣分，得5分。</w:t>
      </w:r>
    </w:p>
    <w:p w14:paraId="2955EC8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70C02B8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对于“满意度指标：单位干部满意度，该指标预期指标值为98%，实际完成值为100%，指标完成率为102.04%，与预期目标一致，根据评分标准，该指标不扣分,得10分。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偏差原因分析：项目实施情况较好，单位干部满意度超预期，导致出现正偏差，改进措施：基于当前良好表现，重新审视绩效目标，在以后绩效目标设置时设置更具挑战性的目标，以推动业务持续发展。</w:t>
      </w:r>
    </w:p>
    <w:p w14:paraId="69BF64D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C321789">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宣传文化体育活动经费项目预算21.65万元，到位21.65万元，实际支出21.65万元，预算执行率为100%，项目绩效指标总体完成率为100.3%，因项目完成情况良好，单位干部满意度超预期，出现正偏差，改进措施：基于当前良好表现，重新审视绩效目标，在以后绩效目标设置时设置更具挑战性的目标，以推动业务持续发展。</w:t>
      </w:r>
    </w:p>
    <w:p w14:paraId="3F814CE8">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D2CB87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本项目切实落实管理制度，质量管理，在项目开展过程中做好相关记录，使项目过程清晰化，并且主动接受监督、确保项目工作的透明度。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预算调整灵活性不足，设计创意审核不够严格。</w:t>
      </w:r>
    </w:p>
    <w:p w14:paraId="0DFD681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CD1B63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优化预算管理：预留一定弹性预算，应对突发变化。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加强创意管理：完善创意审核标准与流程，提升展板吸引力</w:t>
      </w:r>
    </w:p>
    <w:p w14:paraId="0A9FD98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1D4646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D8FEAF4">
        <w:pPr>
          <w:pStyle w:val="12"/>
          <w:jc w:val="center"/>
        </w:pPr>
        <w:r>
          <w:fldChar w:fldCharType="begin"/>
        </w:r>
        <w:r>
          <w:instrText xml:space="preserve">PAGE   \* MERGEFORMAT</w:instrText>
        </w:r>
        <w:r>
          <w:fldChar w:fldCharType="separate"/>
        </w:r>
        <w:r>
          <w:rPr>
            <w:lang w:val="zh-CN"/>
          </w:rPr>
          <w:t>1</w:t>
        </w:r>
        <w:r>
          <w:fldChar w:fldCharType="end"/>
        </w:r>
      </w:p>
    </w:sdtContent>
  </w:sdt>
  <w:p w14:paraId="2BC30A4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E043E52"/>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8125</Words>
  <Characters>8539</Characters>
  <Lines>5</Lines>
  <Paragraphs>1</Paragraphs>
  <TotalTime>0</TotalTime>
  <ScaleCrop>false</ScaleCrop>
  <LinksUpToDate>false</LinksUpToDate>
  <CharactersWithSpaces>9822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2025-09-04T08:16:31Z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