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0"/>
        <w:gridCol w:w="2694"/>
        <w:gridCol w:w="2764"/>
        <w:gridCol w:w="2786"/>
        <w:gridCol w:w="2089"/>
        <w:gridCol w:w="996"/>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390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44"/>
                <w:szCs w:val="44"/>
                <w:u w:val="none"/>
              </w:rPr>
            </w:pPr>
            <w:r>
              <w:rPr>
                <w:rFonts w:hint="eastAsia" w:ascii="Times New Roman" w:hAnsi="Times New Roman" w:eastAsia="方正小标宋_GBK" w:cs="Times New Roman"/>
                <w:i w:val="0"/>
                <w:color w:val="000000"/>
                <w:kern w:val="0"/>
                <w:sz w:val="40"/>
                <w:szCs w:val="40"/>
                <w:u w:val="none"/>
                <w:lang w:val="en-US" w:eastAsia="zh-CN" w:bidi="ar"/>
              </w:rPr>
              <w:t>塔什库尔干县</w:t>
            </w:r>
            <w:r>
              <w:rPr>
                <w:rFonts w:hint="default" w:ascii="Times New Roman" w:hAnsi="Times New Roman" w:eastAsia="方正小标宋_GBK" w:cs="Times New Roman"/>
                <w:i w:val="0"/>
                <w:color w:val="000000"/>
                <w:kern w:val="0"/>
                <w:sz w:val="40"/>
                <w:szCs w:val="40"/>
                <w:u w:val="none"/>
                <w:lang w:val="en-US" w:eastAsia="zh-CN" w:bidi="ar"/>
              </w:rPr>
              <w:t>行政规范性文件和政策文件清单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序号</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县（市）行政规范性文件、政策文件名称</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文号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制定机关</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印发（公布）</w:t>
            </w:r>
            <w:r>
              <w:rPr>
                <w:rFonts w:hint="default" w:ascii="Times New Roman" w:hAnsi="Times New Roman" w:eastAsia="方正黑体_GBK" w:cs="Times New Roman"/>
                <w:i w:val="0"/>
                <w:color w:val="000000"/>
                <w:kern w:val="0"/>
                <w:sz w:val="24"/>
                <w:szCs w:val="24"/>
                <w:u w:val="none"/>
                <w:lang w:val="en-US" w:eastAsia="zh-CN" w:bidi="ar"/>
              </w:rPr>
              <w:br w:type="textWrapping"/>
            </w:r>
            <w:r>
              <w:rPr>
                <w:rFonts w:hint="default" w:ascii="Times New Roman" w:hAnsi="Times New Roman" w:eastAsia="方正黑体_GBK" w:cs="Times New Roman"/>
                <w:i w:val="0"/>
                <w:color w:val="000000"/>
                <w:kern w:val="0"/>
                <w:sz w:val="24"/>
                <w:szCs w:val="24"/>
                <w:u w:val="none"/>
                <w:lang w:val="en-US" w:eastAsia="zh-CN" w:bidi="ar"/>
              </w:rPr>
              <w:t>日期</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状态</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color="auto" w:fill="auto"/>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1"/>
                <w:szCs w:val="21"/>
                <w:u w:val="none"/>
                <w:lang w:val="en-US" w:eastAsia="zh-CN" w:bidi="ar"/>
              </w:rPr>
              <w:t>关于印发《塔什库尔干县塔吉克自治县统一社会保险费征收模式实施方案》的通知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塔政办发〔2023〕19号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7</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27</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行政规范性文件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关于印发《塔什库尔干县“三零”服务报装指南（试行）》的通知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20</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8</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30</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行政规范性文件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关于印发《塔什库尔干塔吉克自治县公园管理制度》等9个文件的通知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塔政办发〔2023〕23号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10</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14</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行政规范性文件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关于印发《塔什库尔干县12345政务服务便民热线与110报警服务台高效对接联动实施方案》的通知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塔政办发〔2023〕25号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11</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13</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行政规范性文件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关于印发《关于进一步加强塔县外籍人员和港澳台同胞服务保障工作的实施方案》的通知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塔政办发〔2023〕26号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11</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13</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行政规范性文件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6</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关于印发《塔什库尔干县消防救援事业发展“十四五”规划（2023-2025年）实施方案》的通知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塔政发〔2023〕6号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2</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24</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7</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关于印发《关于调整充实塔什库尔干县群众防空组织建设的实施方案》的通知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243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12</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8</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关于印发《塔什库尔干县义务教育“十四五”特殊教育发展提升行动计划》的通知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7</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19</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关于印发《塔什库尔干县2023年爱国卫生运动实施方案》的通知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8</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19</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10</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关于印发《塔什库尔干县基层大宣讲方案》的通知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9</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20</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11</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关于印发《塔什库尔干县2023年法治政府建设工作要点》的通知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10</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27</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12</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关于印发《塔什库尔干塔吉克自治县气象高质量发展三年行动方案（2023-2025年）》的通知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12</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6</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13</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关于印发《塔什库尔干塔吉克自治县2023年禁牧和草畜平衡工作实施方案》的通知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13</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6</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7</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14</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关于印发《塔什库尔干县税费协同共治实施方案》的通知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14</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6</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12</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15</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关于印发《塔什库尔干县“十四五”巩固拓展脱贫攻坚成果同乡村振兴有效衔接规划》的通知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15</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6</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16</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16</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关于印发《塔什库尔干塔吉克自治县“十四五”固边兴边富民行动规划》的通知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16</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7</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17</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17</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关于印发《塔什库尔干县良种羊良繁中心（莎车羊场）良种羊发放责任分解方案》的通知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17</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7</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27</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18</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关于印发《塔什库尔干县塔吉克自治县地震应急预案》《塔什库尔干塔吉克自治县防汛抗旱应急预案》的通知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塔政发〔2023〕</w:t>
            </w:r>
            <w:r>
              <w:rPr>
                <w:rFonts w:hint="eastAsia" w:ascii="Times New Roman" w:hAnsi="Times New Roman" w:eastAsia="方正仿宋_GBK" w:cs="Times New Roman"/>
                <w:i w:val="0"/>
                <w:color w:val="000000"/>
                <w:kern w:val="0"/>
                <w:sz w:val="24"/>
                <w:szCs w:val="24"/>
                <w:u w:val="none"/>
                <w:lang w:val="en-US" w:eastAsia="zh-CN" w:bidi="ar"/>
              </w:rPr>
              <w:t>18</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7</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27</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19</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关于印发《塔什库尔干县消防安全治本攻坚三年行动方案（2024—2026年）》的通知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w:t>
            </w: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1</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24</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7</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20</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关于印发《塔什库尔干县2024年民兵整组工作实施方案》的通知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w:t>
            </w: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2</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24</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21</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关于印发《塔什库尔干县艾滋病防治工作任务实施方案》的通知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塔政办发〔2024〕4号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24</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7</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22</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关于印发《塔什库尔干县2024年法治政府建设工作要点》的通知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w:t>
            </w: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6</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24</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20</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23</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关于印发《塔什库尔干县进一步优化政务服务提升行政效能推动“高效办成一件事”实施方案》的通知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w:t>
            </w: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6</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24</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20</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24</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塔什库尔干县贯彻落实《喀什地区贯彻落实&lt;中共中央、国务院关于加快构建新发展格局的意见&gt;的实施方案》的工作方案</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7</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17</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25</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塔什库尔干县贯彻落实《喀什地区全面加强基础设施建设行动方案》的责任分解方案</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8</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17</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26</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关于印发《塔什库尔干县关于在重点工程项目中大力实施以工代赈促进当地群众就业增收的实施方案》的通知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12</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6</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19</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27</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关于印发《塔什库尔干县创建自治区园林县城工作实施方案》的通知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22</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10</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14</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现行有效</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28</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关于印发《2023年塔什库尔干县人民政府工作要点》的通知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2</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16</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已清理</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29</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关于印发《2023年塔什库尔干县人民政府督查工作方案》的通知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塔政发〔202</w:t>
            </w:r>
            <w:r>
              <w:rPr>
                <w:rFonts w:hint="eastAsia" w:ascii="Times New Roman" w:hAnsi="Times New Roman" w:eastAsia="方正仿宋_GBK"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塔什库尔干</w:t>
            </w:r>
            <w:r>
              <w:rPr>
                <w:rFonts w:hint="default" w:ascii="Times New Roman" w:hAnsi="Times New Roman" w:eastAsia="方正仿宋_GBK" w:cs="Times New Roman"/>
                <w:i w:val="0"/>
                <w:color w:val="000000"/>
                <w:kern w:val="0"/>
                <w:sz w:val="24"/>
                <w:szCs w:val="24"/>
                <w:u w:val="none"/>
                <w:lang w:val="en-US" w:eastAsia="zh-CN" w:bidi="ar"/>
              </w:rPr>
              <w:t>县人民政府</w:t>
            </w:r>
          </w:p>
        </w:tc>
        <w:tc>
          <w:tcPr>
            <w:tcW w:w="20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r>
              <w:rPr>
                <w:rFonts w:hint="eastAsia" w:ascii="Times New Roman" w:hAnsi="Times New Roman" w:eastAsia="方正仿宋_GBK" w:cs="Times New Roman"/>
                <w:i w:val="0"/>
                <w:color w:val="000000"/>
                <w:kern w:val="0"/>
                <w:sz w:val="24"/>
                <w:szCs w:val="24"/>
                <w:u w:val="none"/>
                <w:lang w:val="en-US" w:eastAsia="zh-CN" w:bidi="ar"/>
              </w:rPr>
              <w:t>23</w:t>
            </w:r>
            <w:r>
              <w:rPr>
                <w:rFonts w:hint="default" w:ascii="Times New Roman" w:hAnsi="Times New Roman" w:eastAsia="方正仿宋_GBK" w:cs="Times New Roman"/>
                <w:i w:val="0"/>
                <w:color w:val="000000"/>
                <w:kern w:val="0"/>
                <w:sz w:val="24"/>
                <w:szCs w:val="24"/>
                <w:u w:val="none"/>
                <w:lang w:val="en-US" w:eastAsia="zh-CN" w:bidi="ar"/>
              </w:rPr>
              <w:t>年</w:t>
            </w: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月</w:t>
            </w:r>
            <w:r>
              <w:rPr>
                <w:rFonts w:hint="eastAsia" w:ascii="Times New Roman" w:hAnsi="Times New Roman" w:eastAsia="方正仿宋_GBK" w:cs="Times New Roman"/>
                <w:i w:val="0"/>
                <w:color w:val="000000"/>
                <w:kern w:val="0"/>
                <w:sz w:val="24"/>
                <w:szCs w:val="24"/>
                <w:u w:val="none"/>
                <w:lang w:val="en-US" w:eastAsia="zh-CN" w:bidi="ar"/>
              </w:rPr>
              <w:t>24</w:t>
            </w:r>
            <w:r>
              <w:rPr>
                <w:rFonts w:hint="default" w:ascii="Times New Roman" w:hAnsi="Times New Roman" w:eastAsia="方正仿宋_GBK" w:cs="Times New Roman"/>
                <w:i w:val="0"/>
                <w:color w:val="000000"/>
                <w:kern w:val="0"/>
                <w:sz w:val="24"/>
                <w:szCs w:val="24"/>
                <w:u w:val="none"/>
                <w:lang w:val="en-US" w:eastAsia="zh-CN" w:bidi="ar"/>
              </w:rPr>
              <w:t>日</w:t>
            </w:r>
          </w:p>
        </w:tc>
        <w:tc>
          <w:tcPr>
            <w:tcW w:w="9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已清理</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政策性文件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合计</w:t>
            </w:r>
          </w:p>
        </w:tc>
        <w:tc>
          <w:tcPr>
            <w:tcW w:w="10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行政规范性文件</w:t>
            </w:r>
            <w:r>
              <w:rPr>
                <w:rFonts w:hint="eastAsia" w:ascii="Times New Roman" w:hAnsi="Times New Roman" w:eastAsia="方正仿宋_GBK"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件</w:t>
            </w:r>
            <w:r>
              <w:rPr>
                <w:rFonts w:hint="eastAsia" w:ascii="Times New Roman" w:hAnsi="Times New Roman" w:eastAsia="方正仿宋_GBK" w:cs="Times New Roman"/>
                <w:i w:val="0"/>
                <w:color w:val="000000"/>
                <w:kern w:val="0"/>
                <w:sz w:val="24"/>
                <w:szCs w:val="24"/>
                <w:u w:val="none"/>
                <w:lang w:val="en-US" w:eastAsia="zh-CN" w:bidi="ar"/>
              </w:rPr>
              <w:t>、均继续有效，</w:t>
            </w:r>
            <w:r>
              <w:rPr>
                <w:rFonts w:hint="default" w:ascii="Times New Roman" w:hAnsi="Times New Roman" w:eastAsia="方正仿宋_GBK" w:cs="Times New Roman"/>
                <w:i w:val="0"/>
                <w:color w:val="000000"/>
                <w:kern w:val="0"/>
                <w:sz w:val="24"/>
                <w:szCs w:val="24"/>
                <w:u w:val="none"/>
                <w:lang w:val="en-US" w:eastAsia="zh-CN" w:bidi="ar"/>
              </w:rPr>
              <w:t>政策文件</w:t>
            </w:r>
            <w:r>
              <w:rPr>
                <w:rFonts w:hint="eastAsia" w:ascii="Times New Roman" w:hAnsi="Times New Roman" w:eastAsia="方正仿宋_GBK" w:cs="Times New Roman"/>
                <w:i w:val="0"/>
                <w:color w:val="000000"/>
                <w:kern w:val="0"/>
                <w:sz w:val="24"/>
                <w:szCs w:val="24"/>
                <w:u w:val="none"/>
                <w:lang w:val="en-US" w:eastAsia="zh-CN" w:bidi="ar"/>
              </w:rPr>
              <w:t>共24</w:t>
            </w:r>
            <w:r>
              <w:rPr>
                <w:rFonts w:hint="default" w:ascii="Times New Roman" w:hAnsi="Times New Roman" w:eastAsia="方正仿宋_GBK" w:cs="Times New Roman"/>
                <w:i w:val="0"/>
                <w:color w:val="000000"/>
                <w:kern w:val="0"/>
                <w:sz w:val="24"/>
                <w:szCs w:val="24"/>
                <w:u w:val="none"/>
                <w:lang w:val="en-US" w:eastAsia="zh-CN" w:bidi="ar"/>
              </w:rPr>
              <w:t>件</w:t>
            </w:r>
            <w:r>
              <w:rPr>
                <w:rFonts w:hint="eastAsia" w:ascii="Times New Roman" w:hAnsi="Times New Roman" w:eastAsia="方正仿宋_GBK" w:cs="Times New Roman"/>
                <w:i w:val="0"/>
                <w:color w:val="000000"/>
                <w:kern w:val="0"/>
                <w:sz w:val="24"/>
                <w:szCs w:val="24"/>
                <w:u w:val="none"/>
                <w:lang w:val="en-US" w:eastAsia="zh-CN" w:bidi="ar"/>
              </w:rPr>
              <w:t>、其中继续有效22件、清理2件</w:t>
            </w:r>
            <w:r>
              <w:rPr>
                <w:rFonts w:hint="default" w:ascii="Times New Roman" w:hAnsi="Times New Roman" w:eastAsia="方正仿宋_GBK" w:cs="Times New Roman"/>
                <w:i w:val="0"/>
                <w:color w:val="000000"/>
                <w:kern w:val="0"/>
                <w:sz w:val="24"/>
                <w:szCs w:val="24"/>
                <w:u w:val="none"/>
                <w:lang w:val="en-US" w:eastAsia="zh-CN" w:bidi="ar"/>
              </w:rPr>
              <w:t>。</w:t>
            </w:r>
          </w:p>
        </w:tc>
      </w:tr>
    </w:tbl>
    <w:p>
      <w:pPr>
        <w:rPr>
          <w:rFonts w:hint="eastAsia" w:ascii="Times New Roman" w:hAnsi="Times New Roman"/>
          <w:lang w:eastAsia="zh-CN"/>
        </w:rPr>
        <w:sectPr>
          <w:pgSz w:w="16838" w:h="11906" w:orient="landscape"/>
          <w:pgMar w:top="1417" w:right="1417" w:bottom="1417" w:left="1417" w:header="851" w:footer="992" w:gutter="0"/>
          <w:cols w:space="425" w:num="1"/>
          <w:docGrid w:type="lines" w:linePitch="312" w:charSpace="0"/>
        </w:sectPr>
      </w:pPr>
      <w:bookmarkStart w:id="0" w:name="_GoBack"/>
      <w:bookmarkEnd w:id="0"/>
    </w:p>
    <w:p>
      <w:pPr>
        <w:pStyle w:val="2"/>
        <w:rPr>
          <w:rFonts w:hint="eastAsia" w:ascii="Times New Roman" w:hAnsi="Times New Roman"/>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TdhYmM5OTNhMDZlN2M0ZDY4ZWM2ZDliZjJjZDMifQ=="/>
  </w:docVars>
  <w:rsids>
    <w:rsidRoot w:val="00000000"/>
    <w:rsid w:val="08F33D56"/>
    <w:rsid w:val="0E7B2823"/>
    <w:rsid w:val="17872239"/>
    <w:rsid w:val="1C6A5624"/>
    <w:rsid w:val="2DB6306B"/>
    <w:rsid w:val="33B43F5E"/>
    <w:rsid w:val="3FAB6BE3"/>
    <w:rsid w:val="458F1C0F"/>
    <w:rsid w:val="50FA4B24"/>
    <w:rsid w:val="544217FC"/>
    <w:rsid w:val="56476295"/>
    <w:rsid w:val="60E9651A"/>
    <w:rsid w:val="63A3400F"/>
    <w:rsid w:val="68B735CD"/>
    <w:rsid w:val="6C2122B7"/>
    <w:rsid w:val="74825313"/>
    <w:rsid w:val="7AD41DBD"/>
    <w:rsid w:val="7B58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unhideWhenUsed/>
    <w:qFormat/>
    <w:uiPriority w:val="39"/>
    <w:pPr>
      <w:spacing w:line="540" w:lineRule="exact"/>
      <w:jc w:val="left"/>
    </w:pPr>
    <w:rPr>
      <w:rFonts w:ascii="黑体" w:hAnsi="黑体" w:eastAsia="黑体"/>
      <w:sz w:val="32"/>
      <w:szCs w:val="32"/>
    </w:r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2327</Words>
  <Characters>2627</Characters>
  <Lines>0</Lines>
  <Paragraphs>0</Paragraphs>
  <TotalTime>3</TotalTime>
  <ScaleCrop>false</ScaleCrop>
  <LinksUpToDate>false</LinksUpToDate>
  <CharactersWithSpaces>2627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2024-09-02T04:46:00Z</dcterms:created>
  <dc:creator>35421</dc:creator>
  <cp:lastModifiedBy>Administrator</cp:lastModifiedBy>
  <dcterms:modified xsi:type="dcterms:W3CDTF">2024-09-03T08:47:06Z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E47C9636BBB548769C357CA971656DCE_13</vt:lpwstr>
  </property>
</Properties>
</file>